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ind w:start="0"/>
        <w:jc w:val="center"/>
        <w:rPr>
          <w:lang w:val="en-GB"/>
        </w:rPr>
      </w:pPr>
      <w:bookmarkStart w:id="0" w:name="_r5673jtw5xrr"/>
      <w:bookmarkEnd w:id="0"/>
      <w:r>
        <w:rPr>
          <w:lang w:val="en-GB"/>
        </w:rPr>
        <w:t>Supplementary Information (SI)</w:t>
      </w:r>
    </w:p>
    <w:p>
      <w:pPr>
        <w:pStyle w:val="Normal"/>
        <w:ind w:start="0"/>
        <w:jc w:val="center"/>
        <w:rPr>
          <w:b/>
          <w:lang w:val="en-GB"/>
        </w:rPr>
      </w:pPr>
      <w:r>
        <w:rPr>
          <w:b/>
          <w:lang w:val="en-GB"/>
        </w:rPr>
      </w:r>
    </w:p>
    <w:p>
      <w:pPr>
        <w:pStyle w:val="Normal"/>
        <w:ind w:start="0"/>
        <w:jc w:val="center"/>
        <w:rPr>
          <w:lang w:val="en-GB"/>
        </w:rPr>
      </w:pPr>
      <w:r>
        <w:rPr>
          <w:lang w:val="en-GB"/>
        </w:rPr>
        <w:t>for</w:t>
      </w:r>
    </w:p>
    <w:p>
      <w:pPr>
        <w:pStyle w:val="Normal"/>
        <w:ind w:start="0"/>
        <w:jc w:val="center"/>
        <w:rPr>
          <w:lang w:val="en-GB"/>
        </w:rPr>
      </w:pPr>
      <w:r>
        <w:rPr>
          <w:lang w:val="en-GB"/>
        </w:rPr>
      </w:r>
    </w:p>
    <w:p>
      <w:pPr>
        <w:pStyle w:val="Normal"/>
        <w:ind w:start="0"/>
        <w:jc w:val="center"/>
        <w:rPr>
          <w:b/>
          <w:lang w:val="en-GB"/>
        </w:rPr>
      </w:pPr>
      <w:r>
        <w:rPr>
          <w:b/>
          <w:lang w:val="en-GB"/>
        </w:rPr>
        <w:t>Fine particulate matter and environmental injustice: A review of global inequalities in exposure and its health effects</w:t>
      </w:r>
    </w:p>
    <w:p>
      <w:pPr>
        <w:pStyle w:val="Normal"/>
        <w:ind w:start="0"/>
        <w:jc w:val="center"/>
        <w:rPr>
          <w:lang w:val="en-GB"/>
        </w:rPr>
      </w:pPr>
      <w:r>
        <w:rPr>
          <w:lang w:val="en-GB"/>
        </w:rPr>
      </w:r>
    </w:p>
    <w:p>
      <w:pPr>
        <w:pStyle w:val="Normal"/>
        <w:ind w:start="0"/>
        <w:jc w:val="center"/>
        <w:rPr>
          <w:lang w:val="en-GB"/>
        </w:rPr>
      </w:pPr>
      <w:r>
        <w:rPr>
          <w:lang w:val="en-GB"/>
        </w:rPr>
        <w:t>Giulia Mariano Machado¹, Prashant Kumar²</w:t>
      </w:r>
      <w:r>
        <w:rPr>
          <w:vertAlign w:val="superscript"/>
          <w:lang w:val="en-GB"/>
        </w:rPr>
        <w:t>,3,</w:t>
      </w:r>
      <w:r>
        <w:rPr/>
        <w:t xml:space="preserve"> </w:t>
      </w:r>
      <w:r>
        <w:rPr>
          <w:lang w:val="en-GB"/>
        </w:rPr>
        <w:t>Thiago Nogueira¹</w:t>
      </w:r>
      <w:r>
        <w:rPr>
          <w:vertAlign w:val="superscript"/>
          <w:lang w:val="en-GB"/>
        </w:rPr>
        <w:t>,</w:t>
      </w:r>
      <w:r>
        <w:rPr>
          <w:lang w:val="en-GB"/>
        </w:rPr>
        <w:t>*</w:t>
      </w:r>
    </w:p>
    <w:p>
      <w:pPr>
        <w:pStyle w:val="Normal"/>
        <w:ind w:start="0"/>
        <w:jc w:val="center"/>
        <w:rPr>
          <w:lang w:val="en-GB"/>
        </w:rPr>
      </w:pPr>
      <w:r>
        <w:rPr>
          <w:lang w:val="en-GB"/>
        </w:rPr>
      </w:r>
    </w:p>
    <w:p>
      <w:pPr>
        <w:pStyle w:val="Normal"/>
        <w:ind w:start="0"/>
        <w:jc w:val="center"/>
        <w:rPr>
          <w:i/>
          <w:i/>
          <w:lang w:val="en-GB"/>
        </w:rPr>
      </w:pPr>
      <w:r>
        <w:rPr>
          <w:lang w:val="en-GB"/>
        </w:rPr>
        <w:t>¹</w:t>
      </w:r>
      <w:r>
        <w:rPr>
          <w:i/>
          <w:lang w:val="en-GB"/>
        </w:rPr>
        <w:t>Department of Environmental Health, School of Public Health, University of São Paulo, São Paulo, 01246-904, Brazil</w:t>
      </w:r>
    </w:p>
    <w:p>
      <w:pPr>
        <w:pStyle w:val="Normal"/>
        <w:ind w:start="0"/>
        <w:jc w:val="center"/>
        <w:rPr>
          <w:i/>
          <w:i/>
          <w:lang w:val="en-GB"/>
        </w:rPr>
      </w:pPr>
      <w:r>
        <w:rPr>
          <w:lang w:val="en-GB"/>
        </w:rPr>
        <w:t>²</w:t>
      </w:r>
      <w:r>
        <w:rPr>
          <w:i/>
          <w:lang w:val="en-GB"/>
        </w:rPr>
        <w:t>Global Centre for Clean Air Research (GCARE), School of Engineering, Civil and Environmental Engineering, Faculty of Engineering and Physical Sciences, University of Surrey, Guildford GU2 7XH, United Kingdom</w:t>
      </w:r>
    </w:p>
    <w:p>
      <w:pPr>
        <w:pStyle w:val="Normal"/>
        <w:ind w:start="0"/>
        <w:jc w:val="center"/>
        <w:rPr>
          <w:lang w:val="en-GB"/>
        </w:rPr>
      </w:pPr>
      <w:r>
        <w:rPr>
          <w:vertAlign w:val="superscript"/>
          <w:lang w:val="en-GB"/>
        </w:rPr>
        <w:t>3</w:t>
      </w:r>
      <w:r>
        <w:rPr>
          <w:i/>
          <w:lang w:val="en-GB"/>
        </w:rPr>
        <w:t>Institute for Sustainability, University of Surrey, Guildford GU2 7XH, United Kingdom</w:t>
      </w:r>
    </w:p>
    <w:p>
      <w:pPr>
        <w:pStyle w:val="Normal"/>
        <w:ind w:start="0"/>
        <w:jc w:val="start"/>
        <w:rPr>
          <w:lang w:val="en-GB"/>
        </w:rPr>
      </w:pPr>
      <w:r>
        <w:rPr>
          <w:lang w:val="en-GB"/>
        </w:rPr>
      </w:r>
    </w:p>
    <w:p>
      <w:pPr>
        <w:pStyle w:val="Normal"/>
        <w:ind w:start="0"/>
        <w:jc w:val="start"/>
        <w:rPr>
          <w:lang w:val="en-GB"/>
        </w:rPr>
      </w:pPr>
      <w:r>
        <w:rPr>
          <w:lang w:val="en-GB"/>
        </w:rPr>
        <w:t xml:space="preserve">Corresponding author: </w:t>
      </w:r>
    </w:p>
    <w:p>
      <w:pPr>
        <w:pStyle w:val="Normal"/>
        <w:ind w:start="0"/>
        <w:jc w:val="start"/>
        <w:rPr>
          <w:lang w:val="en-GB"/>
        </w:rPr>
      </w:pPr>
      <w:r>
        <w:rPr>
          <w:lang w:val="en-GB"/>
        </w:rPr>
        <w:t>E-mail address: thiagonogueira@usp.br (T. Nogueira).</w:t>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jc w:val="center"/>
        <w:rPr>
          <w:lang w:val="en-GB"/>
        </w:rPr>
      </w:pPr>
      <w:r>
        <w:rPr>
          <w:lang w:val="en-GB"/>
        </w:rPr>
      </w:r>
    </w:p>
    <w:p>
      <w:pPr>
        <w:pStyle w:val="Normal"/>
        <w:ind w:start="0"/>
        <w:rPr>
          <w:lang w:val="en-GB"/>
        </w:rPr>
      </w:pPr>
      <w:r>
        <w:rPr>
          <w:lang w:val="en-GB"/>
        </w:rPr>
      </w:r>
    </w:p>
    <w:p>
      <w:pPr>
        <w:pStyle w:val="Normal"/>
        <w:ind w:start="0"/>
        <w:rPr>
          <w:lang w:val="en-GB"/>
        </w:rPr>
      </w:pPr>
      <w:r>
        <w:rPr>
          <w:sz w:val="22"/>
          <w:szCs w:val="22"/>
          <w:lang w:val="en-GB"/>
        </w:rPr>
        <w:t>Table S1. This table displays the most cited articles on environmental health and inequalities, ranked by their total number of citations. It includes the journal where each article was published, the total citation count, and the average number of citations per year (TC per year). This average considers the year of publication to facilitate comparisons, minimizing the impact of time on the citation count.</w:t>
      </w:r>
    </w:p>
    <w:tbl>
      <w:tblPr>
        <w:tblStyle w:val="a2"/>
        <w:tblW w:w="9075" w:type="dxa"/>
        <w:jc w:val="start"/>
        <w:tblInd w:w="0" w:type="dxa"/>
        <w:tblLayout w:type="fixed"/>
        <w:tblCellMar>
          <w:top w:w="40" w:type="dxa"/>
          <w:start w:w="40" w:type="dxa"/>
          <w:bottom w:w="40" w:type="dxa"/>
          <w:end w:w="40" w:type="dxa"/>
        </w:tblCellMar>
        <w:tblLook w:firstRow="0" w:noVBand="1" w:lastRow="0" w:firstColumn="0" w:lastColumn="0" w:noHBand="1" w:val="0600"/>
      </w:tblPr>
      <w:tblGrid>
        <w:gridCol w:w="2835"/>
        <w:gridCol w:w="3659"/>
        <w:gridCol w:w="1335"/>
        <w:gridCol w:w="1245"/>
      </w:tblGrid>
      <w:tr>
        <w:trPr>
          <w:trHeight w:val="330" w:hRule="atLeast"/>
        </w:trPr>
        <w:tc>
          <w:tcPr>
            <w:tcW w:w="2835" w:type="dxa"/>
            <w:tcBorders>
              <w:top w:val="single" w:sz="4" w:space="0" w:color="000000"/>
              <w:bottom w:val="single" w:sz="4" w:space="0" w:color="000000"/>
            </w:tcBorders>
            <w:vAlign w:val="bottom"/>
          </w:tcPr>
          <w:p>
            <w:pPr>
              <w:pStyle w:val="Normal"/>
              <w:widowControl w:val="false"/>
              <w:spacing w:lineRule="auto" w:line="276"/>
              <w:ind w:start="0"/>
              <w:jc w:val="start"/>
              <w:rPr>
                <w:rFonts w:ascii="Arial" w:hAnsi="Arial" w:eastAsia="Arial" w:cs="Arial"/>
                <w:sz w:val="20"/>
                <w:szCs w:val="20"/>
                <w:lang w:val="en-GB"/>
              </w:rPr>
            </w:pPr>
            <w:r>
              <w:rPr>
                <w:b/>
                <w:sz w:val="22"/>
                <w:szCs w:val="22"/>
                <w:lang w:val="en-GB"/>
              </w:rPr>
              <w:t>Author</w:t>
            </w:r>
          </w:p>
        </w:tc>
        <w:tc>
          <w:tcPr>
            <w:tcW w:w="3659" w:type="dxa"/>
            <w:tcBorders>
              <w:top w:val="single" w:sz="4" w:space="0" w:color="000000"/>
              <w:bottom w:val="single" w:sz="4" w:space="0" w:color="000000"/>
            </w:tcBorders>
            <w:vAlign w:val="bottom"/>
          </w:tcPr>
          <w:p>
            <w:pPr>
              <w:pStyle w:val="Normal"/>
              <w:widowControl w:val="false"/>
              <w:spacing w:lineRule="auto" w:line="276"/>
              <w:ind w:start="0"/>
              <w:jc w:val="start"/>
              <w:rPr>
                <w:rFonts w:ascii="Arial" w:hAnsi="Arial" w:eastAsia="Arial" w:cs="Arial"/>
                <w:sz w:val="20"/>
                <w:szCs w:val="20"/>
                <w:lang w:val="en-GB"/>
              </w:rPr>
            </w:pPr>
            <w:r>
              <w:rPr>
                <w:b/>
                <w:sz w:val="22"/>
                <w:szCs w:val="22"/>
                <w:lang w:val="en-GB"/>
              </w:rPr>
              <w:t>Journal</w:t>
            </w:r>
          </w:p>
        </w:tc>
        <w:tc>
          <w:tcPr>
            <w:tcW w:w="1335" w:type="dxa"/>
            <w:tcBorders>
              <w:top w:val="single" w:sz="4" w:space="0" w:color="000000"/>
              <w:bottom w:val="single" w:sz="4" w:space="0" w:color="000000"/>
            </w:tcBorders>
            <w:vAlign w:val="bottom"/>
          </w:tcPr>
          <w:p>
            <w:pPr>
              <w:pStyle w:val="Normal"/>
              <w:widowControl w:val="false"/>
              <w:spacing w:lineRule="auto" w:line="276"/>
              <w:ind w:start="0"/>
              <w:jc w:val="center"/>
              <w:rPr>
                <w:rFonts w:ascii="Arial" w:hAnsi="Arial" w:eastAsia="Arial" w:cs="Arial"/>
                <w:sz w:val="20"/>
                <w:szCs w:val="20"/>
                <w:lang w:val="en-GB"/>
              </w:rPr>
            </w:pPr>
            <w:r>
              <w:rPr>
                <w:b/>
                <w:sz w:val="22"/>
                <w:szCs w:val="22"/>
                <w:lang w:val="en-GB"/>
              </w:rPr>
              <w:t>Total Citations</w:t>
            </w:r>
          </w:p>
        </w:tc>
        <w:tc>
          <w:tcPr>
            <w:tcW w:w="1245" w:type="dxa"/>
            <w:tcBorders>
              <w:top w:val="single" w:sz="4" w:space="0" w:color="000000"/>
              <w:bottom w:val="single" w:sz="4" w:space="0" w:color="000000"/>
            </w:tcBorders>
            <w:vAlign w:val="bottom"/>
          </w:tcPr>
          <w:p>
            <w:pPr>
              <w:pStyle w:val="Normal"/>
              <w:widowControl w:val="false"/>
              <w:spacing w:lineRule="auto" w:line="276"/>
              <w:ind w:start="0"/>
              <w:jc w:val="center"/>
              <w:rPr>
                <w:rFonts w:ascii="Arial" w:hAnsi="Arial" w:eastAsia="Arial" w:cs="Arial"/>
                <w:sz w:val="20"/>
                <w:szCs w:val="20"/>
                <w:lang w:val="en-GB"/>
              </w:rPr>
            </w:pPr>
            <w:r>
              <w:rPr>
                <w:b/>
                <w:sz w:val="22"/>
                <w:szCs w:val="22"/>
                <w:lang w:val="en-GB"/>
              </w:rPr>
              <w:t>TC per Year</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Song, et al. (2017)</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Environmental Pollution</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496</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55,11</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Bell and Ebisu (2012)</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Environmental Health Perspectives</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324</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23,83</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Vardoulakis, et al. (2015)</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 International</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204</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23,14</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Sera, et al. (2019)</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International Journal of Epidemiology</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161</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23,00</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Xiao, et al. (2020)</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 International</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143</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23,00</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Shen, et al. (2020)</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 International</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138</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19,43</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Zhao, et al. (2019)</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Nature Communications</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136</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18,55</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Su, et al. (2011)</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Environmental Research</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119</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15,57</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Rivas, et al. (2017)</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 International</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110</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15,00</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Reyes, et al. (2019)</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Energy Policy</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109</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12,22</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Bolaño-Ortiz, et al. (2020)</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Environmental Research</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90</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11,71</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Su, et al. (2017)</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Land Use Policy</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87</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10,17</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Tonne and Wilkinson (2013)</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European Heart Journal</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85</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10,00</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Fann, et al. (2011)</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Risk Analysis</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85</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10,00</w:t>
            </w:r>
          </w:p>
        </w:tc>
      </w:tr>
      <w:tr>
        <w:trPr>
          <w:trHeight w:val="570"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Fairburn, et al. (2019)</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International Journal of Environmental Research and Public Health</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82</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9,75</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Tonne, et al. (2018)</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 International</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80</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9,67</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Rosofsky, et al. (2018)</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Environmental Research</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80</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9,67</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Cushing, et al. (2018)</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PLOS Medicine</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78</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8,43</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Kravitz-wirtz, et al. (2016)</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Du Bois Review</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74</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7,93</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Levy, et al. (2007)</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Environmental Health Perspectives</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66</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7,40</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Khomenko, et al. (2020)</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Environmental Research</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61</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7,00</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Hill, et al. (2019)</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SSM - Population Health</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59</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6,54</w:t>
            </w:r>
          </w:p>
        </w:tc>
      </w:tr>
      <w:tr>
        <w:trPr>
          <w:trHeight w:val="315"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Zhang, et al. (2020)</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Energy</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58</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6,33</w:t>
            </w:r>
          </w:p>
        </w:tc>
      </w:tr>
      <w:tr>
        <w:trPr>
          <w:trHeight w:val="570" w:hRule="atLeast"/>
        </w:trPr>
        <w:tc>
          <w:tcPr>
            <w:tcW w:w="2835"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Milojevic, et al. (2017)</w:t>
            </w:r>
          </w:p>
        </w:tc>
        <w:tc>
          <w:tcPr>
            <w:tcW w:w="3659" w:type="dxa"/>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Environmental Health: A Global Access Science Source</w:t>
            </w:r>
          </w:p>
        </w:tc>
        <w:tc>
          <w:tcPr>
            <w:tcW w:w="133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57</w:t>
            </w:r>
          </w:p>
        </w:tc>
        <w:tc>
          <w:tcPr>
            <w:tcW w:w="1245" w:type="dxa"/>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5,67</w:t>
            </w:r>
          </w:p>
        </w:tc>
      </w:tr>
      <w:tr>
        <w:trPr>
          <w:trHeight w:val="570" w:hRule="atLeast"/>
        </w:trPr>
        <w:tc>
          <w:tcPr>
            <w:tcW w:w="2835" w:type="dxa"/>
            <w:tcBorders>
              <w:bottom w:val="single" w:sz="4" w:space="0" w:color="000000"/>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Kravitz-wirtz, et al. (2018)</w:t>
            </w:r>
          </w:p>
        </w:tc>
        <w:tc>
          <w:tcPr>
            <w:tcW w:w="3659" w:type="dxa"/>
            <w:tcBorders>
              <w:bottom w:val="single" w:sz="4" w:space="0" w:color="000000"/>
            </w:tcBorders>
            <w:vAlign w:val="bottom"/>
          </w:tcPr>
          <w:p>
            <w:pPr>
              <w:pStyle w:val="Normal"/>
              <w:widowControl w:val="false"/>
              <w:spacing w:lineRule="auto" w:line="276"/>
              <w:ind w:start="0"/>
              <w:jc w:val="start"/>
              <w:rPr>
                <w:rFonts w:ascii="Arial" w:hAnsi="Arial" w:eastAsia="Arial" w:cs="Arial"/>
                <w:sz w:val="20"/>
                <w:szCs w:val="20"/>
                <w:lang w:val="en-GB"/>
              </w:rPr>
            </w:pPr>
            <w:r>
              <w:rPr>
                <w:sz w:val="22"/>
                <w:szCs w:val="22"/>
                <w:lang w:val="en-GB"/>
              </w:rPr>
              <w:t>International Journal of Environmental Research and Public Health</w:t>
            </w:r>
          </w:p>
        </w:tc>
        <w:tc>
          <w:tcPr>
            <w:tcW w:w="1335" w:type="dxa"/>
            <w:tcBorders>
              <w:bottom w:val="single" w:sz="4" w:space="0" w:color="000000"/>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56</w:t>
            </w:r>
          </w:p>
        </w:tc>
        <w:tc>
          <w:tcPr>
            <w:tcW w:w="1245" w:type="dxa"/>
            <w:tcBorders>
              <w:bottom w:val="single" w:sz="4" w:space="0" w:color="000000"/>
            </w:tcBorders>
            <w:vAlign w:val="bottom"/>
          </w:tcPr>
          <w:p>
            <w:pPr>
              <w:pStyle w:val="Normal"/>
              <w:widowControl w:val="false"/>
              <w:spacing w:lineRule="auto" w:line="276"/>
              <w:ind w:start="0"/>
              <w:jc w:val="center"/>
              <w:rPr>
                <w:rFonts w:ascii="Arial" w:hAnsi="Arial" w:eastAsia="Arial" w:cs="Arial"/>
                <w:sz w:val="20"/>
                <w:szCs w:val="20"/>
                <w:lang w:val="en-GB"/>
              </w:rPr>
            </w:pPr>
            <w:r>
              <w:rPr>
                <w:sz w:val="22"/>
                <w:szCs w:val="22"/>
                <w:lang w:val="en-GB"/>
              </w:rPr>
              <w:t>3,47</w:t>
            </w:r>
          </w:p>
        </w:tc>
      </w:tr>
    </w:tbl>
    <w:p>
      <w:pPr>
        <w:pStyle w:val="Normal"/>
        <w:ind w:start="0"/>
        <w:rPr>
          <w:lang w:val="en-GB"/>
        </w:rPr>
      </w:pPr>
      <w:r>
        <w:rPr>
          <w:lang w:val="en-GB"/>
        </w:rPr>
      </w:r>
    </w:p>
    <w:p>
      <w:pPr>
        <w:pStyle w:val="Heading1"/>
        <w:ind w:start="0"/>
        <w:rPr>
          <w:color w:val="FF0000"/>
          <w:highlight w:val="yellow"/>
          <w:lang w:val="en-GB"/>
        </w:rPr>
      </w:pPr>
      <w:bookmarkStart w:id="1" w:name="_disos7hz9bid"/>
      <w:bookmarkEnd w:id="1"/>
      <w:r>
        <w:rPr>
          <w:lang w:val="en-GB"/>
        </w:rPr>
        <w:t>References</w:t>
      </w:r>
    </w:p>
    <w:p>
      <w:pPr>
        <w:pStyle w:val="Normal"/>
        <w:spacing w:before="120" w:after="0"/>
        <w:ind w:start="0"/>
        <w:rPr>
          <w:lang w:val="en-GB"/>
        </w:rPr>
      </w:pPr>
      <w:r>
        <w:rPr>
          <w:lang w:val="en-GB"/>
        </w:rPr>
        <w:t xml:space="preserve">Bell, M. L., &amp; Ebisu, K. (2012). Environmental inequality in exposures to airborne particulate matter components in the United States. </w:t>
      </w:r>
      <w:r>
        <w:rPr>
          <w:i/>
          <w:lang w:val="en-GB"/>
        </w:rPr>
        <w:t>Environmental Health Perspectives</w:t>
      </w:r>
      <w:r>
        <w:rPr>
          <w:lang w:val="en-GB"/>
        </w:rPr>
        <w:t xml:space="preserve">, </w:t>
      </w:r>
      <w:r>
        <w:rPr>
          <w:i/>
          <w:lang w:val="en-GB"/>
        </w:rPr>
        <w:t>120</w:t>
      </w:r>
      <w:r>
        <w:rPr>
          <w:lang w:val="en-GB"/>
        </w:rPr>
        <w:t>(12), 1699–1704. https://doi.org/10.1289/ehp.1205201</w:t>
      </w:r>
    </w:p>
    <w:p>
      <w:pPr>
        <w:pStyle w:val="Normal"/>
        <w:spacing w:before="120" w:after="0"/>
        <w:ind w:start="0"/>
        <w:rPr>
          <w:lang w:val="en-GB"/>
        </w:rPr>
      </w:pPr>
      <w:r>
        <w:rPr>
          <w:lang w:val="en-GB"/>
        </w:rPr>
        <w:t xml:space="preserve">Bolaño-Ortiz, T. R., Camargo-Caicedo, Y., Puliafito, S. E., Ruggeri, M. F., Bolaño-Diaz, S., Pascual-Flores, R., Saturno, J., Ibarra-Espinosa, S., Mayol-Bracero, O. L., Torres-Delgado, E., &amp; Cereceda-Balic, F. (2020). Spread of SARS-CoV-2 through Latin America and the Caribbean region: A look from its economic conditions, climate and air pollution indicators. </w:t>
      </w:r>
      <w:r>
        <w:rPr>
          <w:i/>
          <w:lang w:val="en-GB"/>
        </w:rPr>
        <w:t>Environmental Research</w:t>
      </w:r>
      <w:r>
        <w:rPr>
          <w:lang w:val="en-GB"/>
        </w:rPr>
        <w:t xml:space="preserve">, </w:t>
      </w:r>
      <w:r>
        <w:rPr>
          <w:i/>
          <w:lang w:val="en-GB"/>
        </w:rPr>
        <w:t>191</w:t>
      </w:r>
      <w:r>
        <w:rPr>
          <w:lang w:val="en-GB"/>
        </w:rPr>
        <w:t>, 109938. https://doi.org/10.1016/J.ENVRES.2020.109938</w:t>
      </w:r>
    </w:p>
    <w:p>
      <w:pPr>
        <w:pStyle w:val="Normal"/>
        <w:spacing w:before="120" w:after="0"/>
        <w:ind w:start="0"/>
        <w:rPr>
          <w:lang w:val="en-GB"/>
        </w:rPr>
      </w:pPr>
      <w:r>
        <w:rPr>
          <w:lang w:val="en-GB"/>
        </w:rPr>
        <w:t xml:space="preserve">Cushing, L., Blaustein-Rejto, D., Wander, M., Pastor, M., Sadd, J., Zhu, A., &amp; Morello-Frosch, R. (2018). Carbon trading, co-pollutants, and environmental equity: Evidence from California’s cap-and-trade program (2011–2015). </w:t>
      </w:r>
      <w:r>
        <w:rPr>
          <w:i/>
          <w:lang w:val="en-GB"/>
        </w:rPr>
        <w:t>PLoS Medicine</w:t>
      </w:r>
      <w:r>
        <w:rPr>
          <w:lang w:val="en-GB"/>
        </w:rPr>
        <w:t xml:space="preserve">, </w:t>
      </w:r>
      <w:r>
        <w:rPr>
          <w:i/>
          <w:lang w:val="en-GB"/>
        </w:rPr>
        <w:t>15</w:t>
      </w:r>
      <w:r>
        <w:rPr>
          <w:lang w:val="en-GB"/>
        </w:rPr>
        <w:t>(7). https://doi.org/10.1371/journal.pmed.1002604</w:t>
      </w:r>
    </w:p>
    <w:p>
      <w:pPr>
        <w:pStyle w:val="Normal"/>
        <w:spacing w:before="120" w:after="0"/>
        <w:ind w:start="0"/>
        <w:rPr>
          <w:lang w:val="en-GB"/>
        </w:rPr>
      </w:pPr>
      <w:r>
        <w:rPr>
          <w:lang w:val="en-GB"/>
        </w:rPr>
        <w:t xml:space="preserve">Fairburn, J., Schüle, S. A., Dreger, S., Hilz, L. K., &amp; Bolte, G. (2019). Social inequalities in exposure to ambient air pollution: A systematic review in the WHO European region. In </w:t>
      </w:r>
      <w:r>
        <w:rPr>
          <w:i/>
          <w:lang w:val="en-GB"/>
        </w:rPr>
        <w:t>International Journal of Environmental Research and Public Health</w:t>
      </w:r>
      <w:r>
        <w:rPr>
          <w:lang w:val="en-GB"/>
        </w:rPr>
        <w:t xml:space="preserve"> (Vol. 16, Issue 17). MDPI AG. https://doi.org/10.3390/ijerph16173127</w:t>
      </w:r>
    </w:p>
    <w:p>
      <w:pPr>
        <w:pStyle w:val="Normal"/>
        <w:spacing w:before="120" w:after="0"/>
        <w:ind w:start="0"/>
        <w:rPr>
          <w:lang w:val="en-GB"/>
        </w:rPr>
      </w:pPr>
      <w:r>
        <w:rPr>
          <w:lang w:val="en-GB"/>
        </w:rPr>
        <w:t xml:space="preserve">Fann, N., Roman, H. A., Fulcher, C. M., Gentile, M. A., Hubbell, B. J., Wesson, K., &amp; Levy, J. I. (2011). Maximizing Health Benefits and Minimizing Inequality: Incorporating Local-Scale Data in the Design and Evaluation of Air Quality Policies. </w:t>
      </w:r>
      <w:r>
        <w:rPr>
          <w:i/>
          <w:lang w:val="en-GB"/>
        </w:rPr>
        <w:t>Risk Analysis</w:t>
      </w:r>
      <w:r>
        <w:rPr>
          <w:lang w:val="en-GB"/>
        </w:rPr>
        <w:t xml:space="preserve">, </w:t>
      </w:r>
      <w:r>
        <w:rPr>
          <w:i/>
          <w:lang w:val="en-GB"/>
        </w:rPr>
        <w:t>31</w:t>
      </w:r>
      <w:r>
        <w:rPr>
          <w:lang w:val="en-GB"/>
        </w:rPr>
        <w:t>(6), 908–922. https://doi.org/10.1111/j.1539-6924.2011.01629.x</w:t>
      </w:r>
    </w:p>
    <w:p>
      <w:pPr>
        <w:pStyle w:val="Normal"/>
        <w:spacing w:before="120" w:after="0"/>
        <w:ind w:start="0"/>
        <w:rPr>
          <w:lang w:val="en-GB"/>
        </w:rPr>
      </w:pPr>
      <w:r>
        <w:rPr>
          <w:lang w:val="en-GB"/>
        </w:rPr>
        <w:t xml:space="preserve">Hill, T. D., Jorgenson, A. K., Ore, P., Balistreri, K. S., &amp; Clark, B. (2019). Air quality and life expectancy in the United States: An analysis of the moderating effect of income inequality. </w:t>
      </w:r>
      <w:r>
        <w:rPr>
          <w:i/>
          <w:lang w:val="en-GB"/>
        </w:rPr>
        <w:t>SSM - Population Health</w:t>
      </w:r>
      <w:r>
        <w:rPr>
          <w:lang w:val="en-GB"/>
        </w:rPr>
        <w:t xml:space="preserve">, </w:t>
      </w:r>
      <w:r>
        <w:rPr>
          <w:i/>
          <w:lang w:val="en-GB"/>
        </w:rPr>
        <w:t>7</w:t>
      </w:r>
      <w:r>
        <w:rPr>
          <w:lang w:val="en-GB"/>
        </w:rPr>
        <w:t>. https://doi.org/10.1016/j.ssmph.2018.100346</w:t>
      </w:r>
    </w:p>
    <w:p>
      <w:pPr>
        <w:pStyle w:val="Normal"/>
        <w:spacing w:before="120" w:after="0"/>
        <w:ind w:start="0"/>
        <w:rPr>
          <w:lang w:val="en-GB"/>
        </w:rPr>
      </w:pPr>
      <w:r>
        <w:rPr>
          <w:lang w:val="en-GB"/>
        </w:rPr>
        <w:t xml:space="preserve">Khomenko, S., Nieuwenhuijsen, M., Ambròs, A., Wegener, S., &amp; Mueller, N. (2020). Is a liveable city a healthy city? Health impacts of urban and transport planning in Vienna, Austria. </w:t>
      </w:r>
      <w:r>
        <w:rPr>
          <w:i/>
          <w:lang w:val="en-GB"/>
        </w:rPr>
        <w:t>Environmental Research</w:t>
      </w:r>
      <w:r>
        <w:rPr>
          <w:lang w:val="en-GB"/>
        </w:rPr>
        <w:t xml:space="preserve">, </w:t>
      </w:r>
      <w:r>
        <w:rPr>
          <w:i/>
          <w:lang w:val="en-GB"/>
        </w:rPr>
        <w:t>183</w:t>
      </w:r>
      <w:r>
        <w:rPr>
          <w:lang w:val="en-GB"/>
        </w:rPr>
        <w:t>. https://doi.org/10.1016/j.envres.2020.109238</w:t>
      </w:r>
    </w:p>
    <w:p>
      <w:pPr>
        <w:pStyle w:val="Normal"/>
        <w:spacing w:before="120" w:after="0"/>
        <w:ind w:start="0"/>
        <w:rPr>
          <w:lang w:val="en-GB"/>
        </w:rPr>
      </w:pPr>
      <w:r>
        <w:rPr>
          <w:lang w:val="en-GB"/>
        </w:rPr>
        <w:t xml:space="preserve">Kravitz-Wirtz, N., Crowder, K., Hajat, A., &amp; Sass, V. (2016). THE LONG-TERM DYNAMICS of RACIAL/ETHNIC INEQUALITY in NEIGHBORHOOD AIR POLLUTION EXPOSURE, 1990-2009. </w:t>
      </w:r>
      <w:r>
        <w:rPr>
          <w:i/>
          <w:lang w:val="en-GB"/>
        </w:rPr>
        <w:t>Du Bois Review</w:t>
      </w:r>
      <w:r>
        <w:rPr>
          <w:lang w:val="en-GB"/>
        </w:rPr>
        <w:t xml:space="preserve">, </w:t>
      </w:r>
      <w:r>
        <w:rPr>
          <w:i/>
          <w:lang w:val="en-GB"/>
        </w:rPr>
        <w:t>13</w:t>
      </w:r>
      <w:r>
        <w:rPr>
          <w:lang w:val="en-GB"/>
        </w:rPr>
        <w:t>(2), 237–259. https://doi.org/10.1017/S1742058X16000205</w:t>
      </w:r>
    </w:p>
    <w:p>
      <w:pPr>
        <w:pStyle w:val="Normal"/>
        <w:spacing w:before="120" w:after="0"/>
        <w:ind w:start="0"/>
        <w:rPr>
          <w:lang w:val="en-GB"/>
        </w:rPr>
      </w:pPr>
      <w:r>
        <w:rPr>
          <w:lang w:val="en-GB"/>
        </w:rPr>
        <w:t>Kravitz-Wirtz N, Teixeira S, Hajat A, Woo B, Crowder K, Takeuchi D. Early-Life Air Pollution Exposure, Neighborhood Poverty, and Childhood Asthma in the United States, 1990⁻2014. Int J Environ Res Public Health. 2018 May 30;15(6):1114. doi: 10.3390/ijerph15061114</w:t>
      </w:r>
    </w:p>
    <w:p>
      <w:pPr>
        <w:pStyle w:val="Normal"/>
        <w:spacing w:before="120" w:after="0"/>
        <w:ind w:start="0"/>
        <w:rPr>
          <w:lang w:val="en-GB"/>
        </w:rPr>
      </w:pPr>
      <w:r>
        <w:rPr>
          <w:lang w:val="en-GB"/>
        </w:rPr>
        <w:t xml:space="preserve">Levy, J. I., Wilson, A. M., &amp; Zwack, L. M. (2007). Quantifying the efficiency and equity implications of power plant air pollution control strategies in the United States. </w:t>
      </w:r>
      <w:r>
        <w:rPr>
          <w:i/>
          <w:lang w:val="en-GB"/>
        </w:rPr>
        <w:t>Environmental Health Perspectives</w:t>
      </w:r>
      <w:r>
        <w:rPr>
          <w:lang w:val="en-GB"/>
        </w:rPr>
        <w:t xml:space="preserve">, </w:t>
      </w:r>
      <w:r>
        <w:rPr>
          <w:i/>
          <w:lang w:val="en-GB"/>
        </w:rPr>
        <w:t>115</w:t>
      </w:r>
      <w:r>
        <w:rPr>
          <w:lang w:val="en-GB"/>
        </w:rPr>
        <w:t>(5), 743–750. https://doi.org/10.1289/ehp.9712</w:t>
      </w:r>
    </w:p>
    <w:p>
      <w:pPr>
        <w:pStyle w:val="Normal"/>
        <w:spacing w:before="120" w:after="0"/>
        <w:ind w:start="0"/>
        <w:rPr>
          <w:lang w:val="en-GB"/>
        </w:rPr>
      </w:pPr>
      <w:r>
        <w:rPr>
          <w:lang w:val="en-GB"/>
        </w:rPr>
        <w:t xml:space="preserve">Milojevic, A., Niedzwiedz, C. L., Pearce, J., Milner, J., MacKenzie, I. A., Doherty, R. M., &amp; Wilkinson, P. (2017). Socioeconomic and urban-rural differentials in exposure to air pollution and mortality burden in England. </w:t>
      </w:r>
      <w:r>
        <w:rPr>
          <w:i/>
          <w:lang w:val="en-GB"/>
        </w:rPr>
        <w:t>Environmental Health: A Global Access Science Source</w:t>
      </w:r>
      <w:r>
        <w:rPr>
          <w:lang w:val="en-GB"/>
        </w:rPr>
        <w:t xml:space="preserve">, </w:t>
      </w:r>
      <w:r>
        <w:rPr>
          <w:i/>
          <w:lang w:val="en-GB"/>
        </w:rPr>
        <w:t>16</w:t>
      </w:r>
      <w:r>
        <w:rPr>
          <w:lang w:val="en-GB"/>
        </w:rPr>
        <w:t>(1). https://doi.org/10.1186/s12940-017-0314-5</w:t>
      </w:r>
    </w:p>
    <w:p>
      <w:pPr>
        <w:pStyle w:val="Normal"/>
        <w:spacing w:before="120" w:after="0"/>
        <w:ind w:start="0"/>
        <w:rPr>
          <w:lang w:val="en-GB"/>
        </w:rPr>
      </w:pPr>
      <w:r>
        <w:rPr>
          <w:lang w:val="en-GB"/>
        </w:rPr>
        <w:t xml:space="preserve">Reyes, R., Schueftan, A., Ruiz, C., &amp; González, A. D. (2019). Controlling air pollution in a context of high energy poverty levels in southern Chile: Clean air but colder houses? </w:t>
      </w:r>
      <w:r>
        <w:rPr>
          <w:i/>
          <w:lang w:val="en-GB"/>
        </w:rPr>
        <w:t>Energy Policy</w:t>
      </w:r>
      <w:r>
        <w:rPr>
          <w:lang w:val="en-GB"/>
        </w:rPr>
        <w:t xml:space="preserve">, </w:t>
      </w:r>
      <w:r>
        <w:rPr>
          <w:i/>
          <w:lang w:val="en-GB"/>
        </w:rPr>
        <w:t>124</w:t>
      </w:r>
      <w:r>
        <w:rPr>
          <w:lang w:val="en-GB"/>
        </w:rPr>
        <w:t>, 301–311. https://doi.org/10.1016/j.enpol.2018.10.022</w:t>
      </w:r>
    </w:p>
    <w:p>
      <w:pPr>
        <w:pStyle w:val="Normal"/>
        <w:spacing w:before="120" w:after="0"/>
        <w:ind w:start="0"/>
        <w:rPr>
          <w:lang w:val="en-GB"/>
        </w:rPr>
      </w:pPr>
      <w:r>
        <w:rPr>
          <w:lang w:val="en-GB"/>
        </w:rPr>
        <w:t xml:space="preserve">Rivas, I., Kumar, P., &amp; Hagen-Zanker, A. (2017). Exposure to air pollutants during commuting in London: Are there inequalities among different socio-economic groups? </w:t>
      </w:r>
      <w:r>
        <w:rPr>
          <w:i/>
          <w:lang w:val="en-GB"/>
        </w:rPr>
        <w:t>Environment International</w:t>
      </w:r>
      <w:r>
        <w:rPr>
          <w:lang w:val="en-GB"/>
        </w:rPr>
        <w:t xml:space="preserve">, </w:t>
      </w:r>
      <w:r>
        <w:rPr>
          <w:i/>
          <w:lang w:val="en-GB"/>
        </w:rPr>
        <w:t>101</w:t>
      </w:r>
      <w:r>
        <w:rPr>
          <w:lang w:val="en-GB"/>
        </w:rPr>
        <w:t>, 143–157. https://doi.org/10.1016/J.ENVINT.2017.01.019</w:t>
      </w:r>
    </w:p>
    <w:p>
      <w:pPr>
        <w:pStyle w:val="Normal"/>
        <w:spacing w:before="120" w:after="0"/>
        <w:ind w:start="0"/>
        <w:rPr>
          <w:lang w:val="en-GB"/>
        </w:rPr>
      </w:pPr>
      <w:r>
        <w:rPr>
          <w:lang w:val="en-GB"/>
        </w:rPr>
        <w:t xml:space="preserve">Rosofsky, A., Levy, J. I., Zanobetti, A., Janulewicz, P., &amp; Fabian, M. P. (2018). Temporal trends in air pollution exposure inequality in Massachusetts. </w:t>
      </w:r>
      <w:r>
        <w:rPr>
          <w:i/>
          <w:lang w:val="en-GB"/>
        </w:rPr>
        <w:t>Environmental Research</w:t>
      </w:r>
      <w:r>
        <w:rPr>
          <w:lang w:val="en-GB"/>
        </w:rPr>
        <w:t xml:space="preserve">, </w:t>
      </w:r>
      <w:r>
        <w:rPr>
          <w:i/>
          <w:lang w:val="en-GB"/>
        </w:rPr>
        <w:t>161</w:t>
      </w:r>
      <w:r>
        <w:rPr>
          <w:lang w:val="en-GB"/>
        </w:rPr>
        <w:t>, 76–86. https://doi.org/10.1016/j.envres.2017.10.028</w:t>
      </w:r>
    </w:p>
    <w:p>
      <w:pPr>
        <w:pStyle w:val="Normal"/>
        <w:spacing w:before="120" w:after="0"/>
        <w:ind w:start="0"/>
        <w:rPr>
          <w:lang w:val="en-GB"/>
        </w:rPr>
      </w:pPr>
      <w:r>
        <w:rPr>
          <w:lang w:val="en-GB"/>
        </w:rPr>
        <w:t xml:space="preserve">Sera, F., Armstrong, B., Tobias, A., Vicedo-Cabrera, A. M., Åström, C., Bell, M. L., Chen, B. Y., De Sousa Zanotti Stagliorio Coelho, M., Correa, P. M., Cruz, J. C., Dang, T. N., Hurtado-Diaz, M., Do Van, D., Forsberg, B., Guo, Y. L., Guo, Y., Hashizume, M., Honda, Y., Iñiguez, C., … Gasparrini, A. (2019). How urban characteristics affect vulnerability to heat and cold: A multi-country analysis. </w:t>
      </w:r>
      <w:r>
        <w:rPr>
          <w:i/>
          <w:lang w:val="en-GB"/>
        </w:rPr>
        <w:t>International Journal of Epidemiology</w:t>
      </w:r>
      <w:r>
        <w:rPr>
          <w:lang w:val="en-GB"/>
        </w:rPr>
        <w:t xml:space="preserve">, </w:t>
      </w:r>
      <w:r>
        <w:rPr>
          <w:i/>
          <w:lang w:val="en-GB"/>
        </w:rPr>
        <w:t>48</w:t>
      </w:r>
      <w:r>
        <w:rPr>
          <w:lang w:val="en-GB"/>
        </w:rPr>
        <w:t>(4), 1101–1112. https://doi.org/10.1093/ije/dyz008</w:t>
      </w:r>
    </w:p>
    <w:p>
      <w:pPr>
        <w:pStyle w:val="Normal"/>
        <w:spacing w:before="120" w:after="0"/>
        <w:ind w:start="0"/>
        <w:rPr>
          <w:lang w:val="en-GB"/>
        </w:rPr>
      </w:pPr>
      <w:r>
        <w:rPr>
          <w:lang w:val="en-GB"/>
        </w:rPr>
        <w:t xml:space="preserve">Shen, F., Zhang, L., Jiang, L., Tang, M., Gai, X., Chen, M., &amp; Ge, X. (2020). Temporal variations of six ambient criteria air pollutants from 2015 to 2018, their spatial distributions, health risks and relationships with socioeconomic factors during 2018 in China. </w:t>
      </w:r>
      <w:r>
        <w:rPr>
          <w:i/>
          <w:lang w:val="en-GB"/>
        </w:rPr>
        <w:t>Environment International</w:t>
      </w:r>
      <w:r>
        <w:rPr>
          <w:lang w:val="en-GB"/>
        </w:rPr>
        <w:t xml:space="preserve">, </w:t>
      </w:r>
      <w:r>
        <w:rPr>
          <w:i/>
          <w:lang w:val="en-GB"/>
        </w:rPr>
        <w:t>137</w:t>
      </w:r>
      <w:r>
        <w:rPr>
          <w:lang w:val="en-GB"/>
        </w:rPr>
        <w:t>, 105556. https://doi.org/10.1016/J.ENVINT.2020.105556</w:t>
      </w:r>
    </w:p>
    <w:p>
      <w:pPr>
        <w:pStyle w:val="Normal"/>
        <w:spacing w:before="120" w:after="0"/>
        <w:ind w:start="0"/>
        <w:rPr>
          <w:lang w:val="en-GB"/>
        </w:rPr>
      </w:pPr>
      <w:r>
        <w:rPr>
          <w:lang w:val="en-GB"/>
        </w:rPr>
        <w:t xml:space="preserve">Song, C., He, J., Wu, L., Jin, T., Chen, X., Li, R., Ren, P., Zhang, L., &amp; Mao, H. (2017). Health burden attributable to ambient PM2.5 in China. </w:t>
      </w:r>
      <w:r>
        <w:rPr>
          <w:i/>
          <w:lang w:val="en-GB"/>
        </w:rPr>
        <w:t>Environmental Pollution</w:t>
      </w:r>
      <w:r>
        <w:rPr>
          <w:lang w:val="en-GB"/>
        </w:rPr>
        <w:t xml:space="preserve">, </w:t>
      </w:r>
      <w:r>
        <w:rPr>
          <w:i/>
          <w:lang w:val="en-GB"/>
        </w:rPr>
        <w:t>223</w:t>
      </w:r>
      <w:r>
        <w:rPr>
          <w:lang w:val="en-GB"/>
        </w:rPr>
        <w:t>, 575–586. https://doi.org/10.1016/J.ENVPOL.2017.01.060</w:t>
      </w:r>
    </w:p>
    <w:p>
      <w:pPr>
        <w:pStyle w:val="Normal"/>
        <w:spacing w:before="120" w:after="0"/>
        <w:ind w:start="0"/>
        <w:rPr>
          <w:lang w:val="en-GB"/>
        </w:rPr>
      </w:pPr>
      <w:r>
        <w:rPr>
          <w:lang w:val="en-GB"/>
        </w:rPr>
        <w:t xml:space="preserve">Su, J. G., Jerrett, M., de Nazelle, A., &amp; Wolch, J. (2011). Does exposure to air pollution in urban parks have socioeconomic, racial or ethnic gradients? </w:t>
      </w:r>
      <w:r>
        <w:rPr>
          <w:i/>
          <w:lang w:val="en-GB"/>
        </w:rPr>
        <w:t>Environmental Research</w:t>
      </w:r>
      <w:r>
        <w:rPr>
          <w:lang w:val="en-GB"/>
        </w:rPr>
        <w:t xml:space="preserve">, </w:t>
      </w:r>
      <w:r>
        <w:rPr>
          <w:i/>
          <w:lang w:val="en-GB"/>
        </w:rPr>
        <w:t>111</w:t>
      </w:r>
      <w:r>
        <w:rPr>
          <w:lang w:val="en-GB"/>
        </w:rPr>
        <w:t>(3), 319–328. https://doi.org/10.1016/j.envres.2011.01.002</w:t>
      </w:r>
    </w:p>
    <w:p>
      <w:pPr>
        <w:pStyle w:val="Normal"/>
        <w:spacing w:before="120" w:after="0"/>
        <w:ind w:start="0"/>
        <w:rPr>
          <w:lang w:val="en-GB"/>
        </w:rPr>
      </w:pPr>
      <w:r>
        <w:rPr>
          <w:lang w:val="en-GB"/>
        </w:rPr>
        <w:t xml:space="preserve">Su, S., Pi, J., Xie, H., Cai, Z., &amp; Weng, M. (2017). Community deprivation, walkability, and public health: Highlighting the social inequalities in land use planning for health promotion. </w:t>
      </w:r>
      <w:r>
        <w:rPr>
          <w:i/>
          <w:lang w:val="en-GB"/>
        </w:rPr>
        <w:t>Land Use Policy</w:t>
      </w:r>
      <w:r>
        <w:rPr>
          <w:lang w:val="en-GB"/>
        </w:rPr>
        <w:t xml:space="preserve">, </w:t>
      </w:r>
      <w:r>
        <w:rPr>
          <w:i/>
          <w:lang w:val="en-GB"/>
        </w:rPr>
        <w:t>67</w:t>
      </w:r>
      <w:r>
        <w:rPr>
          <w:lang w:val="en-GB"/>
        </w:rPr>
        <w:t>, 315–326. https://doi.org/10.1016/j.landusepol.2017.06.005</w:t>
      </w:r>
    </w:p>
    <w:p>
      <w:pPr>
        <w:pStyle w:val="Normal"/>
        <w:spacing w:before="120" w:after="0"/>
        <w:ind w:start="0"/>
        <w:rPr>
          <w:lang w:val="en-GB"/>
        </w:rPr>
      </w:pPr>
      <w:r>
        <w:rPr>
          <w:lang w:val="en-GB"/>
        </w:rPr>
        <w:t xml:space="preserve">Tonne, C., Milà, C., Fecht, D., Alvarez, M., Gulliver, J., Smith, J., Beevers, S., Ross Anderson, H., &amp; Kelly, F. (2018). Socioeconomic and ethnic inequalities in exposure to air and noise pollution in London. </w:t>
      </w:r>
      <w:r>
        <w:rPr>
          <w:i/>
          <w:lang w:val="en-GB"/>
        </w:rPr>
        <w:t>Environment International</w:t>
      </w:r>
      <w:r>
        <w:rPr>
          <w:lang w:val="en-GB"/>
        </w:rPr>
        <w:t xml:space="preserve">, </w:t>
      </w:r>
      <w:r>
        <w:rPr>
          <w:i/>
          <w:lang w:val="en-GB"/>
        </w:rPr>
        <w:t>115</w:t>
      </w:r>
      <w:r>
        <w:rPr>
          <w:lang w:val="en-GB"/>
        </w:rPr>
        <w:t>, 170–179. https://doi.org/10.1016/j.envint.2018.03.023</w:t>
      </w:r>
    </w:p>
    <w:p>
      <w:pPr>
        <w:pStyle w:val="Normal"/>
        <w:spacing w:before="120" w:after="0"/>
        <w:ind w:start="0"/>
        <w:rPr>
          <w:lang w:val="en-GB"/>
        </w:rPr>
      </w:pPr>
      <w:r>
        <w:rPr>
          <w:lang w:val="en-GB"/>
        </w:rPr>
        <w:t xml:space="preserve">Tonne, C. W. P. (2013). Airborne pollution and cardiovascular disease: Burden and causes of an epidemic. In </w:t>
      </w:r>
      <w:r>
        <w:rPr>
          <w:i/>
          <w:lang w:val="en-GB"/>
        </w:rPr>
        <w:t>European Heart Journal</w:t>
      </w:r>
      <w:r>
        <w:rPr>
          <w:lang w:val="en-GB"/>
        </w:rPr>
        <w:t xml:space="preserve"> (Vol. 34, Issue 17, pp. 1251–1253). https://doi.org/10.1093/eurheartj/eht045</w:t>
      </w:r>
    </w:p>
    <w:p>
      <w:pPr>
        <w:pStyle w:val="Normal"/>
        <w:spacing w:before="120" w:after="0"/>
        <w:ind w:start="0"/>
        <w:rPr>
          <w:lang w:val="en-GB"/>
        </w:rPr>
      </w:pPr>
      <w:r>
        <w:rPr>
          <w:lang w:val="en-GB"/>
        </w:rPr>
        <w:t xml:space="preserve">Vardoulakis, S., Dimitroulopoulou, C., Thornes, J., Lai, K. M., Taylor, J., Myers, I., Heaviside, C., Mavrogianni, A., Shrubsole, C., Chalabi, Z., Davies, M., &amp; Wilkinson, P. (2015). Impact of climate change on the domestic indoor environment and associated health risks in the UK. </w:t>
      </w:r>
      <w:r>
        <w:rPr>
          <w:i/>
          <w:lang w:val="en-GB"/>
        </w:rPr>
        <w:t>Environment International</w:t>
      </w:r>
      <w:r>
        <w:rPr>
          <w:lang w:val="en-GB"/>
        </w:rPr>
        <w:t xml:space="preserve">, </w:t>
      </w:r>
      <w:r>
        <w:rPr>
          <w:i/>
          <w:lang w:val="en-GB"/>
        </w:rPr>
        <w:t>85</w:t>
      </w:r>
      <w:r>
        <w:rPr>
          <w:lang w:val="en-GB"/>
        </w:rPr>
        <w:t>, 299–313. https://doi.org/10.1016/J.ENVINT.2015.09.010</w:t>
      </w:r>
    </w:p>
    <w:p>
      <w:pPr>
        <w:pStyle w:val="Normal"/>
        <w:spacing w:before="120" w:after="0"/>
        <w:ind w:start="0"/>
        <w:rPr>
          <w:lang w:val="en-GB"/>
        </w:rPr>
      </w:pPr>
      <w:r>
        <w:rPr>
          <w:lang w:val="en-GB"/>
        </w:rPr>
        <w:t xml:space="preserve">Xiao, Q., Geng, G., Liang, F., Wang, X., Lv, Z., Lei, Y., Huang, X., Zhang, Q., Liu, Y., &amp; He, K. (2020). Changes in spatial patterns of PM2.5 pollution in China 2000–2018: Impact of clean air policies. </w:t>
      </w:r>
      <w:r>
        <w:rPr>
          <w:i/>
          <w:lang w:val="en-GB"/>
        </w:rPr>
        <w:t>Environment International</w:t>
      </w:r>
      <w:r>
        <w:rPr>
          <w:lang w:val="en-GB"/>
        </w:rPr>
        <w:t xml:space="preserve">, </w:t>
      </w:r>
      <w:r>
        <w:rPr>
          <w:i/>
          <w:lang w:val="en-GB"/>
        </w:rPr>
        <w:t>141</w:t>
      </w:r>
      <w:r>
        <w:rPr>
          <w:lang w:val="en-GB"/>
        </w:rPr>
        <w:t>, 105776. https://doi.org/10.1016/J.ENVINT.2020.105776</w:t>
      </w:r>
    </w:p>
    <w:p>
      <w:pPr>
        <w:pStyle w:val="Normal"/>
        <w:spacing w:before="120" w:after="0"/>
        <w:ind w:start="0"/>
        <w:rPr>
          <w:lang w:val="en-GB"/>
        </w:rPr>
      </w:pPr>
      <w:r>
        <w:rPr>
          <w:lang w:val="en-GB"/>
        </w:rPr>
        <w:t xml:space="preserve">Zhang, Y., Li, W., &amp; Wu, F. (2020). Does energy transition improve air quality? Evidence derived from China’s Winter Clean Heating Pilot (WCHP) project. </w:t>
      </w:r>
      <w:r>
        <w:rPr>
          <w:i/>
          <w:lang w:val="en-GB"/>
        </w:rPr>
        <w:t>Energy</w:t>
      </w:r>
      <w:r>
        <w:rPr>
          <w:lang w:val="en-GB"/>
        </w:rPr>
        <w:t xml:space="preserve">, </w:t>
      </w:r>
      <w:r>
        <w:rPr>
          <w:i/>
          <w:lang w:val="en-GB"/>
        </w:rPr>
        <w:t>206</w:t>
      </w:r>
      <w:r>
        <w:rPr>
          <w:lang w:val="en-GB"/>
        </w:rPr>
        <w:t>. https://doi.org/10.1016/j.energy.2020.118130</w:t>
      </w:r>
    </w:p>
    <w:p>
      <w:pPr>
        <w:pStyle w:val="Normal"/>
        <w:spacing w:before="120" w:after="240"/>
        <w:ind w:start="0"/>
        <w:rPr>
          <w:lang w:val="en-GB"/>
        </w:rPr>
      </w:pPr>
      <w:r>
        <w:rPr>
          <w:lang w:val="en-GB"/>
        </w:rPr>
        <w:t xml:space="preserve">Zhao, H., Geng, G., Zhang, Q., Davis, S. J., Li, X., Liu, Y., Peng, L., Li, M., Zheng, B., Huo, H., Zhang, L., Henze, D. K., Mi, Z., Liu, Z., Guan, D., &amp; He, K. (2019). Inequality of household consumption and air pollution-related deaths in China. </w:t>
      </w:r>
      <w:r>
        <w:rPr>
          <w:i/>
          <w:lang w:val="en-GB"/>
        </w:rPr>
        <w:t>Nature Communications</w:t>
      </w:r>
      <w:r>
        <w:rPr>
          <w:lang w:val="en-GB"/>
        </w:rPr>
        <w:t xml:space="preserve">, </w:t>
      </w:r>
      <w:r>
        <w:rPr>
          <w:i/>
          <w:lang w:val="en-GB"/>
        </w:rPr>
        <w:t>10</w:t>
      </w:r>
      <w:r>
        <w:rPr>
          <w:lang w:val="en-GB"/>
        </w:rPr>
        <w:t>(1). https://doi.org/10.1038/s41467-019-12254-x</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0" w:right="1133" w:gutter="0" w:header="720" w:top="1700" w:footer="720" w:bottom="1133"/>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10"/>
  <w:displayBackgroundShape/>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360" w:before="0" w:after="0"/>
      <w:ind w:start="283"/>
      <w:jc w:val="both"/>
    </w:pPr>
    <w:rPr>
      <w:rFonts w:ascii="Times New Roman" w:hAnsi="Times New Roman" w:eastAsia="Times New Roman" w:cs="Times New Roman"/>
      <w:color w:val="auto"/>
      <w:kern w:val="0"/>
      <w:sz w:val="24"/>
      <w:szCs w:val="24"/>
      <w:lang w:val="pt-BR" w:eastAsia="pt-BR" w:bidi="ar-SA"/>
    </w:rPr>
  </w:style>
  <w:style w:type="paragraph" w:styleId="Heading1">
    <w:name w:val="heading 1"/>
    <w:basedOn w:val="Normal"/>
    <w:next w:val="Normal"/>
    <w:uiPriority w:val="9"/>
    <w:qFormat/>
    <w:pPr>
      <w:keepNext w:val="true"/>
      <w:keepLines/>
      <w:outlineLvl w:val="0"/>
    </w:pPr>
    <w:rPr>
      <w:b/>
    </w:rPr>
  </w:style>
  <w:style w:type="paragraph" w:styleId="Heading2">
    <w:name w:val="heading 2"/>
    <w:basedOn w:val="Normal"/>
    <w:next w:val="Normal"/>
    <w:uiPriority w:val="9"/>
    <w:unhideWhenUsed/>
    <w:qFormat/>
    <w:pPr>
      <w:keepNext w:val="true"/>
      <w:keepLines/>
      <w:ind w:firstLine="568"/>
      <w:outlineLvl w:val="1"/>
    </w:pPr>
    <w:rPr>
      <w:b/>
    </w:rPr>
  </w:style>
  <w:style w:type="paragraph" w:styleId="Heading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val="true"/>
      <w:keepLines/>
      <w:spacing w:before="280" w:after="80"/>
      <w:outlineLvl w:val="3"/>
    </w:pPr>
    <w:rPr>
      <w:color w:val="666666"/>
    </w:rPr>
  </w:style>
  <w:style w:type="paragraph" w:styleId="Heading5">
    <w:name w:val="heading 5"/>
    <w:basedOn w:val="Normal"/>
    <w:next w:val="Normal"/>
    <w:uiPriority w:val="9"/>
    <w:semiHidden/>
    <w:unhideWhenUsed/>
    <w:qFormat/>
    <w:pPr>
      <w:keepNext w:val="true"/>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val="true"/>
      <w:keepLines/>
      <w:spacing w:before="240" w:after="80"/>
      <w:outlineLvl w:val="5"/>
    </w:pPr>
    <w:rPr>
      <w:i/>
      <w:color w:val="666666"/>
      <w:sz w:val="22"/>
      <w:szCs w:val="22"/>
    </w:rPr>
  </w:style>
  <w:style w:type="character" w:styleId="DefaultParagraphFont" w:default="1">
    <w:name w:val="Default Paragraph Font"/>
    <w:uiPriority w:val="1"/>
    <w:semiHidden/>
    <w:unhideWhenUsed/>
    <w:qFormat/>
    <w:rPr/>
  </w:style>
  <w:style w:type="character" w:styleId="TextodecomentrioChar" w:customStyle="1">
    <w:name w:val="Texto de comentário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CabealhoChar" w:customStyle="1">
    <w:name w:val="Cabeçalho Char"/>
    <w:basedOn w:val="DefaultParagraphFont"/>
    <w:link w:val="Header"/>
    <w:uiPriority w:val="99"/>
    <w:qFormat/>
    <w:rsid w:val="00ce39ef"/>
    <w:rPr/>
  </w:style>
  <w:style w:type="character" w:styleId="RodapChar" w:customStyle="1">
    <w:name w:val="Rodapé Char"/>
    <w:basedOn w:val="DefaultParagraphFont"/>
    <w:link w:val="Footer"/>
    <w:uiPriority w:val="99"/>
    <w:qFormat/>
    <w:rsid w:val="00ce39ef"/>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uiPriority w:val="10"/>
    <w:qFormat/>
    <w:pPr>
      <w:keepNext w:val="true"/>
      <w:keepLines/>
      <w:ind w:hanging="360" w:start="720"/>
    </w:pPr>
    <w:rPr/>
  </w:style>
  <w:style w:type="paragraph" w:styleId="Subtitle">
    <w:name w:val="Subtitle"/>
    <w:basedOn w:val="Normal"/>
    <w:next w:val="Normal"/>
    <w:uiPriority w:val="11"/>
    <w:qFormat/>
    <w:pPr>
      <w:keepNext w:val="true"/>
      <w:keepLines/>
      <w:spacing w:before="0" w:after="320"/>
    </w:pPr>
    <w:rPr>
      <w:rFonts w:ascii="Arial" w:hAnsi="Arial" w:eastAsia="Arial" w:cs="Arial"/>
      <w:color w:val="666666"/>
      <w:sz w:val="30"/>
      <w:szCs w:val="30"/>
    </w:rPr>
  </w:style>
  <w:style w:type="paragraph" w:styleId="CommentText">
    <w:name w:val="annotation text"/>
    <w:basedOn w:val="Normal"/>
    <w:link w:val="TextodecomentrioChar"/>
    <w:uiPriority w:val="99"/>
    <w:semiHidden/>
    <w:unhideWhenUsed/>
    <w:pPr>
      <w:spacing w:lineRule="auto" w:line="240"/>
    </w:pPr>
    <w:rPr>
      <w:sz w:val="20"/>
      <w:szCs w:val="20"/>
    </w:rPr>
  </w:style>
  <w:style w:type="paragraph" w:styleId="HeaderandFooter">
    <w:name w:val="Header and Footer"/>
    <w:basedOn w:val="Normal"/>
    <w:qFormat/>
    <w:pPr/>
    <w:rPr/>
  </w:style>
  <w:style w:type="paragraph" w:styleId="Header">
    <w:name w:val="header"/>
    <w:basedOn w:val="Normal"/>
    <w:link w:val="CabealhoChar"/>
    <w:uiPriority w:val="99"/>
    <w:unhideWhenUsed/>
    <w:rsid w:val="00ce39ef"/>
    <w:pPr>
      <w:tabs>
        <w:tab w:val="clear" w:pos="720"/>
        <w:tab w:val="center" w:pos="4252" w:leader="none"/>
        <w:tab w:val="right" w:pos="8504" w:leader="none"/>
      </w:tabs>
      <w:spacing w:lineRule="auto" w:line="240"/>
    </w:pPr>
    <w:rPr/>
  </w:style>
  <w:style w:type="paragraph" w:styleId="Footer">
    <w:name w:val="footer"/>
    <w:basedOn w:val="Normal"/>
    <w:link w:val="RodapChar"/>
    <w:uiPriority w:val="99"/>
    <w:unhideWhenUsed/>
    <w:rsid w:val="00ce39ef"/>
    <w:pPr>
      <w:tabs>
        <w:tab w:val="clear" w:pos="720"/>
        <w:tab w:val="center" w:pos="4252" w:leader="none"/>
        <w:tab w:val="right" w:pos="8504" w:leader="none"/>
      </w:tabs>
      <w:spacing w:lineRule="auto" w:line="240"/>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LibreOffice/25.8.0.4$Windows_X86_64 LibreOffice_project/48f00303701489684e67c38c28aff00cd5929e67</Application>
  <AppVersion>15.0000</AppVersion>
  <Pages>2</Pages>
  <Words>1369</Words>
  <Characters>8512</Characters>
  <CharactersWithSpaces>9718</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2025-09-26T16:34:00Z</dcterms:created>
  <dc:creator/>
  <dc:description/>
  <dc:language>en-US</dc:language>
  <cp:lastModifiedBy>Thiago Nogueira</cp:lastModifiedBy>
  <dcterms:modified xsi:type="dcterms:W3CDTF">2025-09-26T16:35:00Z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