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21ED2" w14:textId="77777777" w:rsidR="00C76776" w:rsidRPr="006B38ED" w:rsidRDefault="00C76776" w:rsidP="006B38ED">
      <w:pPr>
        <w:spacing w:before="240" w:after="240"/>
        <w:jc w:val="both"/>
        <w:rPr>
          <w:rFonts w:ascii="Times New Roman" w:eastAsia="Times New Roman" w:hAnsi="Times New Roman" w:cs="Times New Roman"/>
          <w:b/>
          <w:bCs/>
          <w:sz w:val="24"/>
          <w:szCs w:val="24"/>
          <w:u w:val="single"/>
        </w:rPr>
      </w:pPr>
      <w:r w:rsidRPr="006B38ED">
        <w:rPr>
          <w:rFonts w:ascii="Times New Roman" w:eastAsia="Times New Roman" w:hAnsi="Times New Roman" w:cs="Times New Roman"/>
          <w:b/>
          <w:bCs/>
          <w:sz w:val="24"/>
          <w:szCs w:val="24"/>
          <w:u w:val="single"/>
        </w:rPr>
        <w:t>Appendices:</w:t>
      </w:r>
    </w:p>
    <w:p w14:paraId="24755BDF" w14:textId="77777777" w:rsidR="00C76776" w:rsidRPr="006B38ED" w:rsidRDefault="00C76776" w:rsidP="006B38ED">
      <w:pPr>
        <w:spacing w:before="240" w:after="240"/>
        <w:jc w:val="both"/>
        <w:rPr>
          <w:rFonts w:ascii="Times New Roman" w:eastAsia="Times New Roman" w:hAnsi="Times New Roman" w:cs="Times New Roman"/>
          <w:b/>
          <w:bCs/>
          <w:sz w:val="24"/>
          <w:szCs w:val="24"/>
          <w:u w:val="single"/>
        </w:rPr>
      </w:pPr>
      <w:r w:rsidRPr="006B38ED">
        <w:rPr>
          <w:rFonts w:ascii="Times New Roman" w:eastAsia="Times New Roman" w:hAnsi="Times New Roman" w:cs="Times New Roman"/>
          <w:b/>
          <w:bCs/>
          <w:sz w:val="24"/>
          <w:szCs w:val="24"/>
          <w:u w:val="single"/>
        </w:rPr>
        <w:t>Appendix 1</w:t>
      </w:r>
    </w:p>
    <w:p w14:paraId="45523DF9" w14:textId="77777777" w:rsidR="00C76776" w:rsidRPr="006B38ED" w:rsidRDefault="00C76776" w:rsidP="006B38ED">
      <w:pPr>
        <w:jc w:val="both"/>
        <w:rPr>
          <w:rFonts w:ascii="Times New Roman" w:eastAsia="Times New Roman" w:hAnsi="Times New Roman" w:cs="Times New Roman"/>
          <w:b/>
          <w:i/>
          <w:sz w:val="24"/>
          <w:szCs w:val="24"/>
        </w:rPr>
      </w:pPr>
      <w:r w:rsidRPr="006B38ED">
        <w:rPr>
          <w:rFonts w:ascii="Times New Roman" w:eastAsia="Times New Roman" w:hAnsi="Times New Roman" w:cs="Times New Roman"/>
          <w:b/>
          <w:i/>
          <w:sz w:val="24"/>
          <w:szCs w:val="24"/>
        </w:rPr>
        <w:t>Area Deprivation Index</w:t>
      </w:r>
    </w:p>
    <w:p w14:paraId="7F2049A0" w14:textId="4340FF81" w:rsidR="00C76776" w:rsidRPr="006B38ED" w:rsidRDefault="00C76776" w:rsidP="006B38ED">
      <w:pPr>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sz w:val="24"/>
          <w:szCs w:val="24"/>
        </w:rPr>
        <w:t xml:space="preserve">There </w:t>
      </w:r>
      <w:proofErr w:type="gramStart"/>
      <w:r w:rsidRPr="006B38ED">
        <w:rPr>
          <w:rFonts w:ascii="Times New Roman" w:eastAsia="Times New Roman" w:hAnsi="Times New Roman" w:cs="Times New Roman"/>
          <w:sz w:val="24"/>
          <w:szCs w:val="24"/>
        </w:rPr>
        <w:t>are</w:t>
      </w:r>
      <w:proofErr w:type="gramEnd"/>
      <w:r w:rsidRPr="006B38ED">
        <w:rPr>
          <w:rFonts w:ascii="Times New Roman" w:eastAsia="Times New Roman" w:hAnsi="Times New Roman" w:cs="Times New Roman"/>
          <w:sz w:val="24"/>
          <w:szCs w:val="24"/>
        </w:rPr>
        <w:t xml:space="preserve"> multiple health indices used to capture an aggregate of social risk to determine a particular outcome. </w:t>
      </w:r>
      <w:r w:rsidR="00430009" w:rsidRPr="006B38ED">
        <w:rPr>
          <w:rFonts w:ascii="Times New Roman" w:eastAsia="Times New Roman" w:hAnsi="Times New Roman" w:cs="Times New Roman"/>
          <w:sz w:val="24"/>
          <w:szCs w:val="24"/>
        </w:rPr>
        <w:t xml:space="preserve">Supplementary </w:t>
      </w:r>
      <w:r w:rsidRPr="006B38ED">
        <w:rPr>
          <w:rFonts w:ascii="Times New Roman" w:eastAsia="Times New Roman" w:hAnsi="Times New Roman" w:cs="Times New Roman"/>
          <w:sz w:val="24"/>
          <w:szCs w:val="24"/>
        </w:rPr>
        <w:t>Table 1 outlines 3 of the major indices utilized in current research with the most robust data comparing their origin and function, ultimately determining their utility. Although there have been other area-based deprivation indices used in Europe and Australia, this review will focus on those developed in the United States</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{"citationID":"6FYOreBq","properties":{"formattedCitation":"(96,97)","plainCitation":"(96,97)","noteIndex":0},"citationItems":[{"id":2740,"uris":["http://zotero.org/users/local/KFNpogR5/items/LBPJ4KNZ"],"itemData":{"id":2740,"type":"article-journal","abstract":"To detect reasons for the difference in mortality between Scotland and England and Wales a measure of deprivation was studied, comprising overcrowding, unemployment of men, low social class, and not having a car. Data for Scotland for 1980-2 showed this measure to be strongly associated with mortality, with gradients being particularly steep in young adults. Deprivation was much severe in Scotland than in England and Wales. These findings suggest that much excess mortality may be ascribed to more adverse conditions. Standardising the mortality ratios to take account of the relative affluence and deprivation of the two populations led to the differentials observed being radically adjusted, while standardising for social class had little effect. Deprivation measures based on areas overcome many of the limitations associated with social class analysis and also show much greater discrimination between populations. Measures of deprivation apparently provide a powerful basis for explanation of health differences. Such measures should therefore form part of the 1991 census output to facilitate their use on a consistent basis.","container-title":"BMJ : British Medical Journal","ISSN":"0959-8138","issue":"6704","journalAbbreviation":"BMJ","note":"PMID: 2510878\nPMCID: PMC1837760","page":"886-889","source":"PubMed Central","title":"Deprivation: explaining differences in mortality between Scotland and England and Wales.","title-short":"Deprivation","volume":"299","author":[{"family":"Carstairs","given":"V."},{"family":"Morris","given":"R."}],"issued":{"date-parts":[["1989",10,7]]}}},{"id":2742,"uris":["http://zotero.org/users/local/KFNpogR5/items/2MP8HAHN"],"itemData":{"id":2742,"type":"article-journal","abstract":"Integrating public health and medicine to address social determinants of health is essential to achieving the Triple Aim of lower costs, improved care, and population health. There is intense interest in the United States in using social determinants of health to direct clinical and community health interventions, and to adjust quality measures and payments. The United Kingdom and New Zealand use data representing aspects of material and social deprivation from their censuses or from administrative data sets to construct indices designed to measure socioeconomic variation across communities, assess community needs, inform research, adjust clinical funding, allocate community resources, and determine policy impact. Indices provide these countries with comparable data and serve as a universal language and tool set to define organizing principles for population health. In this article we examine how these countries develop, validate, and operationalize their indices; explore their use in policy; and propose the development of a similar deprivation index for the United States.","container-title":"Health Affairs (Project Hope)","DOI":"10.1377/hlthaff.2016.0709","ISSN":"2694-233X","issue":"11","journalAbbreviation":"Health Aff (Millwood)","language":"eng","note":"PMID: 27834238","page":"1991-1998","source":"PubMed","title":"How Other Countries Use Deprivation Indices-And Why The United States Desperately Needs One","volume":"35","author":[{"family":"Phillips","given":"Robert L."},{"family":"Liaw","given":"Winston"},{"family":"Crampton","given":"Peter"},{"family":"Exeter","given":"Daniel J."},{"family":"Bazemore","given":"Andrew"},{"family":"Vickery","given":"Katherine Diaz"},{"family":"Petterson","given":"Stephen"},{"family":"Carrozza","given":"Mark"}],"issued":{"date-parts":[["2016",11,1]]}}}],"schema":"https://github.com/citation-style-language/schema/raw/master/csl-citation.json"}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w:t>
      </w:r>
      <w:r w:rsidR="004272C9">
        <w:rPr>
          <w:rFonts w:ascii="Times New Roman" w:hAnsi="Times New Roman" w:cs="Times New Roman"/>
          <w:sz w:val="24"/>
          <w:szCs w:val="24"/>
        </w:rPr>
        <w:t>102,103</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The first contemporary community level index that was developed is the Area Deprivation Index (ADI) which was developed by a Health Resources and Services Administration (HRSA) senior researcher, Gopal Singh in 2003. This index was developed to provide a composite area-based score to understand how community level socioeconomic disadvantage impacts changes in all-cause mortality over time</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{"citationID":"0BWwdajV","properties":{"formattedCitation":"(98)","plainCitation":"(98)","noteIndex":0},"citationItems":[{"id":2744,"uris":["http://zotero.org/users/local/KFNpogR5/items/VFVLENFY"],"itemData":{"id":2744,"type":"article-journal","abstract":"OBJECTIVES: This study examined age-, sex-, and race-specific gradients in US mortality by area deprivation between 1969 and 1998.\nMETHODS: A census-based area deprivation index was linked to county mortality data.\nRESULTS: Area deprivation gradients in US mortality increased substantially during 1969 through 1998. The gradients were steepest for men and women aged 25 to 44 years and those younger than 25 years, with higher mortality rates observed in more deprived areas. Although area gradients were less pronounced for women in each age group, they rose sharply for women aged 25 to 44 and 45 to 64 years.\nCONCLUSIONS: Areal inequalities in mortality widened because of slower mortality declines in more deprived areas. Future research needs to examine population-level social, behavioral, and medical care factors that may account for the increasing gradient.","container-title":"American Journal of Public Health","DOI":"10.2105/ajph.93.7.1137","ISSN":"0090-0036","issue":"7","journalAbbreviation":"Am J Public Health","language":"eng","note":"PMID: 12835199\nPMCID: PMC1447923","page":"1137-1143","source":"PubMed","title":"Area deprivation and widening inequalities in US mortality, 1969-1998","volume":"93","author":[{"family":"Singh","given":"Gopal K."}],"issued":{"date-parts":[["2003",7]]}}}],"schema":"https://github.com/citation-style-language/schema/raw/master/csl-citation.json"}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w:t>
      </w:r>
      <w:r w:rsidR="00237847" w:rsidRPr="006B38ED">
        <w:rPr>
          <w:rFonts w:ascii="Times New Roman" w:hAnsi="Times New Roman" w:cs="Times New Roman"/>
          <w:sz w:val="24"/>
          <w:szCs w:val="24"/>
        </w:rPr>
        <w:t>10</w:t>
      </w:r>
      <w:r w:rsidR="004272C9">
        <w:rPr>
          <w:rFonts w:ascii="Times New Roman" w:hAnsi="Times New Roman" w:cs="Times New Roman"/>
          <w:sz w:val="24"/>
          <w:szCs w:val="24"/>
        </w:rPr>
        <w:t>4</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Through principal component analysis, Singh identified 17 measures that had a strong factor loading mortality which were included as their relative weighted fraction in the index based on their factor loading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{"citationID":"fhy6XN2o","properties":{"formattedCitation":"(98)","plainCitation":"(98)","noteIndex":0},"citationItems":[{"id":2744,"uris":["http://zotero.org/users/local/KFNpogR5/items/VFVLENFY"],"itemData":{"id":2744,"type":"article-journal","abstract":"OBJECTIVES: This study examined age-, sex-, and race-specific gradients in US mortality by area deprivation between 1969 and 1998.\nMETHODS: A census-based area deprivation index was linked to county mortality data.\nRESULTS: Area deprivation gradients in US mortality increased substantially during 1969 through 1998. The gradients were steepest for men and women aged 25 to 44 years and those younger than 25 years, with higher mortality rates observed in more deprived areas. Although area gradients were less pronounced for women in each age group, they rose sharply for women aged 25 to 44 and 45 to 64 years.\nCONCLUSIONS: Areal inequalities in mortality widened because of slower mortality declines in more deprived areas. Future research needs to examine population-level social, behavioral, and medical care factors that may account for the increasing gradient.","container-title":"American Journal of Public Health","DOI":"10.2105/ajph.93.7.1137","ISSN":"0090-0036","issue":"7","journalAbbreviation":"Am J Public Health","language":"eng","note":"PMID: 12835199\nPMCID: PMC1447923","page":"1137-1143","source":"PubMed","title":"Area deprivation and widening inequalities in US mortality, 1969-1998","volume":"93","author":[{"family":"Singh","given":"Gopal K."}],"issued":{"date-parts":[["2003",7]]}}}],"schema":"https://github.com/citation-style-language/schema/raw/master/csl-citation.json"}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w:t>
      </w:r>
      <w:r w:rsidR="00237847" w:rsidRPr="006B38ED">
        <w:rPr>
          <w:rFonts w:ascii="Times New Roman" w:hAnsi="Times New Roman" w:cs="Times New Roman"/>
          <w:sz w:val="24"/>
          <w:szCs w:val="24"/>
        </w:rPr>
        <w:t>10</w:t>
      </w:r>
      <w:r w:rsidR="004272C9">
        <w:rPr>
          <w:rFonts w:ascii="Times New Roman" w:hAnsi="Times New Roman" w:cs="Times New Roman"/>
          <w:sz w:val="24"/>
          <w:szCs w:val="24"/>
        </w:rPr>
        <w:t>4</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ADI was further validated, modified, and made publicly available in the form of national rankings (1-100) and state level rankings (1-10) by a research team at the Center for Health Disparities Research at the University of Wisconsin School of Medicine and Public Health in 2018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{"citationID":"lRah19cm","properties":{"formattedCitation":"(99,100)","plainCitation":"(99,100)","noteIndex":0},"citationItems":[{"id":2746,"uris":["http://zotero.org/users/local/KFNpogR5/items/SNDQ6WCI"],"itemData":{"id":2746,"type":"article-journal","abstract":"BACKGROUND: Measures of socioeconomic disadvantage may enable improved targeting of programs to prevent rehospitalizations, but obtaining such information directly from patients can be difficult. Measures of U.S. neighborhood socioeconomic disadvantage are more readily available but are rarely used clinically.\nOBJECTIVE: To evaluate the association between neighborhood socioeconomic disadvantage at the census block group level, as measured by the Singh validated area deprivation index (ADI), and 30-day rehospitalization.\nDESIGN: Retrospective cohort study.\nSETTING: United States.\nPATIENTS: Random 5% national sample of Medicare patients discharged with congestive heart failure, pneumonia, or myocardial infarction between 2004 and 2009 (n = 255,744).\nMEASUREMENTS: Medicare data were linked to 2000 census data to construct an ADI for each patient's census block group, which were then sorted into percentiles by increasing ADI. Relationships between neighborhood ADI grouping and 30-day rehospitalization were evaluated using multivariate logistic regression models, controlling for patient sociodemographic characteristics, comorbid conditions and severity, and index hospital characteristics.\nRESULTS: The 30-day rehospitalization rate did not vary significantly across the least disadvantaged 85% of neighborhoods, which had an average rehospitalization rate of 21%. However, within the most disadvantaged 15% of neighborhoods, rehospitalization rates increased from 22% to 27% with worsening ADI. This relationship persisted after full adjustment, with the most disadvantaged neighborhoods having a rehospitalization risk (adjusted risk ratio, 1.09 [95% CI, 1.05 to 1.12]) similar to that of chronic pulmonary disease (adjusted risk ratio, 1.06 [CI, 1.04 to 1.08]) and greater than that of uncomplicated diabetes (adjusted risk ratio, 0.95 [CI, 0.94 to 0.97]).\nLIMITATION: No direct markers of care quality or access.\nCONCLUSION: Residence within a disadvantaged U.S. neighborhood is a rehospitalization predictor of magnitude similar to chronic pulmonary disease. Measures of neighborhood disadvantage, such as the ADI, could potentially be used to inform policy and care after hospital discharge.\nPRIMARY FUNDING SOURCE: National Institute on Aging and University of Wisconsin School of Medicine and Public Health's Institute for Clinical and Translational Research and Health Innovation Program.","container-title":"Annals of Internal Medicine","DOI":"10.7326/M13-2946","ISSN":"1539-3704","issue":"11","journalAbbreviation":"Ann Intern Med","language":"eng","note":"PMID: 25437404\nPMCID: PMC4251560","page":"765-774","source":"PubMed","title":"Neighborhood socioeconomic disadvantage and 30-day rehospitalization: a retrospective cohort study","title-short":"Neighborhood socioeconomic disadvantage and 30-day rehospitalization","volume":"161","author":[{"family":"Kind","given":"Amy J. H."},{"family":"Jencks","given":"Steve"},{"family":"Brock","given":"Jane"},{"family":"Yu","given":"Menggang"},{"family":"Bartels","given":"Christie"},{"family":"Ehlenbach","given":"William"},{"family":"Greenberg","given":"Caprice"},{"family":"Smith","given":"Maureen"}],"issued":{"date-parts":[["2014",12,2]]}}},{"id":2749,"uris":["http://zotero.org/users/local/KFNpogR5/items/CCVQ7XQQ"],"itemData":{"id":2749,"type":"webpage","title":"Making Neighborhood-Disadvantage Metrics Accessible - The Neighborhood Atlas - PubMed","URL":"https://pubmed.ncbi.nlm.nih.gov/29949490/","accessed":{"date-parts":[["2025",4,26]]}}}],"schema":"https://github.com/citation-style-language/schema/raw/master/csl-citation.json"}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w:t>
      </w:r>
      <w:r w:rsidR="006B38ED" w:rsidRPr="006B38ED">
        <w:rPr>
          <w:rFonts w:ascii="Times New Roman" w:hAnsi="Times New Roman" w:cs="Times New Roman"/>
          <w:sz w:val="24"/>
          <w:szCs w:val="24"/>
        </w:rPr>
        <w:t>9</w:t>
      </w:r>
      <w:r w:rsidR="004272C9">
        <w:rPr>
          <w:rFonts w:ascii="Times New Roman" w:hAnsi="Times New Roman" w:cs="Times New Roman"/>
          <w:sz w:val="24"/>
          <w:szCs w:val="24"/>
        </w:rPr>
        <w:t>6</w:t>
      </w:r>
      <w:r w:rsidR="006B38ED" w:rsidRPr="006B38ED">
        <w:rPr>
          <w:rFonts w:ascii="Times New Roman" w:hAnsi="Times New Roman" w:cs="Times New Roman"/>
          <w:sz w:val="24"/>
          <w:szCs w:val="24"/>
        </w:rPr>
        <w:t>,</w:t>
      </w:r>
      <w:r w:rsidR="00237847" w:rsidRPr="006B38ED">
        <w:rPr>
          <w:rFonts w:ascii="Times New Roman" w:hAnsi="Times New Roman" w:cs="Times New Roman"/>
          <w:sz w:val="24"/>
          <w:szCs w:val="24"/>
        </w:rPr>
        <w:t>10</w:t>
      </w:r>
      <w:r w:rsidR="004272C9">
        <w:rPr>
          <w:rFonts w:ascii="Times New Roman" w:hAnsi="Times New Roman" w:cs="Times New Roman"/>
          <w:sz w:val="24"/>
          <w:szCs w:val="24"/>
        </w:rPr>
        <w:t>5</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Since publicly available, there has been a dense amount of research examining the association of ADI and a range of cardiovascular outcomes, along with utilization in policy development and implementation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A7lspNAq","properties":{"formattedCitation":"(101\\uc0\\u8211{}103)","plainCitation":"(101–103)","noteIndex":0},"citationItems":[{"id":2751,"uris":["http://zotero.org/users/local/KFNpogR5/items/GQDBP8NM"],"itemData":{"id":2751,"type":"article-journal","abstract":"BACKGROUND: Understanding the relationship between neighborhood environment and cardiovascular outcomes is important to achieve health equity and implement effective quality strategies. We conducted a population-based cohort study to determine the association of neighborhood socioeconomic deprivation and 30-day mortality and readmission rate for patients admitted with common cardiovascular conditions.\nMETHODS AND RESULTS: We examined claims data from fee-for-service Medicare beneficiaries aged ≥65 years between 2017 and 2019 admitted for heart failure, valvular heart disease, ischemic heart disease, or cardiac arrhythmias. The primary exposure was the Area Deprivation Index; outcomes were 30-day all-cause death and unplanned readmission. More than 2 million admissions were included. After sequential adjustment for patient characteristics (demographics, dual eligibility, comorbidities), area health care resources (primary care clinicians, specialists, and hospital beds per capita), and admitting hospital characteristics (ownership, size, teaching status), there was a dose-dependent association between neighborhood socioeconomic deprivation and 30-day mortality rate for all conditions. In the fully adjusted model for death, estimated effect sizes of residence in the most disadvantaged versus least disadvantaged neighborhoods ranged from adjusted odds ratio 1.29 (95% CI, 1.22-1.36) for the heart failure group to adjusted odds ratio 1.63 (95% CI, 1.36-1.95) for the valvular heart disease group. Neighborhood deprivation was associated with increased adjusted 30-day readmission rates, with estimated effect sizes from adjusted odds ratio 1.09 (95% CI, 1.05-1.14) for heart failure to adjusted odds ratio 1.19 (95% CI, 1.13-1.26) for arrhythmia.\nCONCLUSIONS: Neighborhood socioeconomic disadvantage was associated with 30-day mortality rate and readmission for patients admitted with common cardiovascular conditions independent of individual demographics, socioeconomic status, medical risk, care access, or admitting hospital characteristics.","container-title":"Journal of the American Heart Association","DOI":"10.1161/JAHA.124.036265","ISSN":"2047-9980","issue":"16","journalAbbreviation":"J Am Heart Assoc","language":"eng","note":"PMID: 39119993\nPMCID: PMC11963947","page":"e036265","source":"PubMed","title":"Neighborhood Socioeconomic Disadvantage and 30-Day Outcomes for Common Cardiovascular Conditions","volume":"13","author":[{"family":"Lusk","given":"Jay B."},{"family":"Blass","given":"Beau"},{"family":"Mahoney","given":"Hannah"},{"family":"Hoffman","given":"Molly N."},{"family":"Clark","given":"Amy G."},{"family":"Bae","given":"Jonathan"},{"family":"Mentz","given":"Robert J."},{"family":"Wang","given":"Tracy Y."},{"family":"Patel","given":"Manesh"},{"family":"Hammill","given":"Bradley G."}],"issued":{"date-parts":[["2024",8,20]]}}},{"id":2753,"uris":["http://zotero.org/users/local/KFNpogR5/items/J7K7R94I"],"itemData":{"id":2753,"type":"article-journal","abstract":"BackgroundAssessment of the social determinants of post‐hospital cardiac care is needed. We examined the association and predictive ability of neighborhood‐level determinants (area deprivation index, ADI), readmission risk, and mortality for heart failure, myocardial ischemia, and atrial fibrillation.Methods and ResultsUsing a retrospective (January 1, 2011–December 31, 2018) analysis of a large healthcare system, we assess the predictive ability of ADI on 30‐day and 1‐year readmission and mortality following hospitalization. Cox proportional hazards models analyzed time‐to‐event. Log rank analyses determined survival. C‐statistic and net reclassification index determined the model’s discriminative power. Covariates included age, sex, race, comorbidity, number of medications, length of stay, and insurance. The cohort (n=27 694) had a median follow‐up of 46.5 months. There were 14 469 (52.2%) men and 25 219 White (91.1%) patients. Patients in the highest ADI quintile (versus lowest) were more likely to be admitted within 1 year of index heart failure admission (hazard ratio [HR], 1.25; 95% CI, 1.03‒1.51). Patients with myocardial ischemia in the highest ADI quintile were twice as likely to be readmitted at 1 year (HR, 2.04; 95% CI, 1.44‒2.91]). Patients with atrial fibrillation living in areas with highest ADI were less likely to be admitted within 1 year (HR, 0.79; 95% CI, 0.65‒0.95). As ADI increased, risk of readmission increased, and risk reclassification was improved with ADI in the models. Patients in the highest ADI quintile were 25% more likely to die within a year (HR, 1.25 1.08‒1.44).ConclusionsResidence in socioeconomically disadvantaged communities predicts rehospitalization and mortality. Measuring neighborhood deprivation can identify individuals at risk following cardiac hospitalization.","container-title":"Journal of the American Heart Association","DOI":"10.1161/JAHA.120.020466","issue":"13","note":"publisher: Wiley","page":"e020466","source":"ahajournals.org (Atypon)","title":"Area Deprivation Index and Cardiac Readmissions: Evaluating Risk‐Prediction in an Electronic Health Record","title-short":"Area Deprivation Index and Cardiac Readmissions","volume":"10","author":[{"family":"Johnson","given":"Amber E."},{"family":"Zhu","given":"Jianhui"},{"family":"Garrard","given":"William"},{"family":"Thoma","given":"Floyd W."},{"family":"Mulukutla","given":"Suresh"},{"family":"Kershaw","given":"Kiarri N."},{"family":"Magnani","given":"Jared W."}],"issued":{"date-parts":[["2021",7,6]]}}},{"id":2770,"uris":["http://zotero.org/users/local/KFNpogR5/items/SLPQXYJW"],"itemData":{"id":2770,"type":"article-journal","abstract":"OBJECTIVE: To determine the variability in county cardiovascular (CV) premature mortality explained by integrated metrics of socioeconomic deprivation and to explore temporal trends in CV mortality by county socioeconomic deprivation.\nMETHODS: This is a cross-sectional analysis of US county-level death certificate data from 1999 to 2018 of age-adjusted premature (25 to 64 years) CV mortality. Integrated metrics of socioeconomic deprivation (Social Deprivation Index [SDI] and county Area Deprivation Index [ADI]) were associated with mortality using linear regression analysis. Relative change in county CV mortality from 1999 to 2018 was associated with indices using linear regression analysis.\nRESULTS: Counties with higher quartile SDI and ADI had significantly higher total, non-Hispanic Black/African American, and female premature CV mortality (P&lt;.001). Both SDI and ADI were significantly associated with CV mortality by linear regression (P&lt;.001) explaining 40% and 44% of county variability in CV mortality, respectively. Counties with lower deprivation indices experienced a larger decreased in premature CV mortality (P&lt;.001).\nCONCLUSION: This study demonstrates an association between multiple integrated metrics of socioeconomic deprivation and premature cardiovascular mortality and shows potentially worsening disparities.","container-title":"Mayo Clinic Proceedings","DOI":"10.1016/j.mayocp.2022.01.018","ISSN":"1942-5546","issue":"6","journalAbbreviation":"Mayo Clin Proc","language":"eng","note":"PMID: 35300876\nPMCID: PMC10411485","page":"1108-1113","source":"PubMed","title":"Socioeconomic Deprivation and Premature Cardiovascular Mortality in the United States","volume":"97","author":[{"family":"Bevan","given":"Graham H."},{"family":"Nasir","given":"Khurram"},{"family":"Rajagopalan","given":"Sanjay"},{"family":"Al-Kindi","given":"Sadeer"}],"issued":{"date-parts":[["2022",6]]}}}],"schema":"https://github.com/citation-style-language/schema/raw/master/csl-citation.json"}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w:t>
      </w:r>
      <w:r w:rsidR="006B38ED" w:rsidRPr="006B38ED">
        <w:rPr>
          <w:rFonts w:ascii="Times New Roman" w:hAnsi="Times New Roman" w:cs="Times New Roman"/>
          <w:sz w:val="24"/>
          <w:szCs w:val="24"/>
        </w:rPr>
        <w:t>9</w:t>
      </w:r>
      <w:r w:rsidR="004272C9">
        <w:rPr>
          <w:rFonts w:ascii="Times New Roman" w:hAnsi="Times New Roman" w:cs="Times New Roman"/>
          <w:sz w:val="24"/>
          <w:szCs w:val="24"/>
        </w:rPr>
        <w:t>8</w:t>
      </w:r>
      <w:r w:rsidR="006B38ED" w:rsidRPr="006B38ED">
        <w:rPr>
          <w:rFonts w:ascii="Times New Roman" w:hAnsi="Times New Roman" w:cs="Times New Roman"/>
          <w:sz w:val="24"/>
          <w:szCs w:val="24"/>
        </w:rPr>
        <w:t>,10</w:t>
      </w:r>
      <w:r w:rsidR="004272C9">
        <w:rPr>
          <w:rFonts w:ascii="Times New Roman" w:hAnsi="Times New Roman" w:cs="Times New Roman"/>
          <w:sz w:val="24"/>
          <w:szCs w:val="24"/>
        </w:rPr>
        <w:t>6</w:t>
      </w:r>
      <w:r w:rsidR="006B38ED" w:rsidRPr="006B38ED">
        <w:rPr>
          <w:rFonts w:ascii="Times New Roman" w:hAnsi="Times New Roman" w:cs="Times New Roman"/>
          <w:sz w:val="24"/>
          <w:szCs w:val="24"/>
        </w:rPr>
        <w:t>,10</w:t>
      </w:r>
      <w:r w:rsidR="004272C9">
        <w:rPr>
          <w:rFonts w:ascii="Times New Roman" w:hAnsi="Times New Roman" w:cs="Times New Roman"/>
          <w:sz w:val="24"/>
          <w:szCs w:val="24"/>
        </w:rPr>
        <w:t>7</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 From a policy standpoint, examples of policy use cases include the Centers for Medicare &amp; Medicaid Services (CMS) Accountable Care Organization Realizing Equity, Access, and Community Health (ACO REACH) model that increases payments to facilities that care for patients in areas of high deprivation recognizing the high degree of disease burden and barriers to care</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{"citationID":"6SUyKsGJ","properties":{"formattedCitation":"(104,105)","plainCitation":"(104,105)","noteIndex":0},"citationItems":[{"id":2757,"uris":["http://zotero.org/users/local/KFNpogR5/items/PQ6ZVEAM"],"itemData":{"id":2757,"type":"article-journal","abstract":"The 2014 IMPACT Act opened the door for adjusting federal health care payments to provide enhanced resources for clinicians to address the social needs of disadvantaged patient populations. Existing deprivation indices can support this work.","DOI":"10.1377/forefront.20210526.933567","language":"en","source":"www.healthaffairs.org","title":"Adjusting Medicare Payments For Social Risk To Better Support Social Needs","URL":"https://www.healthaffairs.org/do/10.1377/forefront.20210526.933567/full/","author":[{"family":"Robert L. \n    Phillips","given":"Jr"},{"family":"Ostrovsky","given":"Andrey"},{"family":"Bazemore","given":"Andrew W."}],"accessed":{"date-parts":[["2025",4,26]]}}},{"id":2759,"uris":["http://zotero.org/users/local/KFNpogR5/items/9A8C4HC5"],"itemData":{"id":2759,"type":"webpage","title":"Accountable Care Organization (ACO) Realizing Equity, Access, and Community Health (REACH) Model | CMS","URL":"https://www.cms.gov/newsroom/fact-sheets/accountable-care-organization-aco-realizing-equity-access-and-community-health-reach-model","accessed":{"date-parts":[["2025",4,26]]}}}],"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(10</w:t>
      </w:r>
      <w:r w:rsidR="004272C9">
        <w:rPr>
          <w:rFonts w:ascii="Times New Roman" w:hAnsi="Times New Roman" w:cs="Times New Roman"/>
          <w:sz w:val="24"/>
          <w:szCs w:val="24"/>
        </w:rPr>
        <w:t>8</w:t>
      </w:r>
      <w:r w:rsidRPr="006B38ED">
        <w:rPr>
          <w:rFonts w:ascii="Times New Roman" w:hAnsi="Times New Roman" w:cs="Times New Roman"/>
          <w:sz w:val="24"/>
          <w:szCs w:val="24"/>
        </w:rPr>
        <w:t>,10</w:t>
      </w:r>
      <w:r w:rsidR="004272C9">
        <w:rPr>
          <w:rFonts w:ascii="Times New Roman" w:hAnsi="Times New Roman" w:cs="Times New Roman"/>
          <w:sz w:val="24"/>
          <w:szCs w:val="24"/>
        </w:rPr>
        <w:t>9</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A systematic review of literature using ADI since 2015 found 222 original research articles utilizing ADI or the Neighborhood Atlas (online version of ADI) to examine associations with health outcomes with 17% focusing on cardiovascular health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{"citationID":"RGmgFWje","properties":{"formattedCitation":"(101)","plainCitation":"(101)","noteIndex":0},"citationItems":[{"id":2751,"uris":["http://zotero.org/users/local/KFNpogR5/items/GQDBP8NM"],"itemData":{"id":2751,"type":"article-journal","abstract":"BACKGROUND: Understanding the relationship between neighborhood environment and cardiovascular outcomes is important to achieve health equity and implement effective quality strategies. We conducted a population-based cohort study to determine the association of neighborhood socioeconomic deprivation and 30-day mortality and readmission rate for patients admitted with common cardiovascular conditions.\nMETHODS AND RESULTS: We examined claims data from fee-for-service Medicare beneficiaries aged ≥65 years between 2017 and 2019 admitted for heart failure, valvular heart disease, ischemic heart disease, or cardiac arrhythmias. The primary exposure was the Area Deprivation Index; outcomes were 30-day all-cause death and unplanned readmission. More than 2 million admissions were included. After sequential adjustment for patient characteristics (demographics, dual eligibility, comorbidities), area health care resources (primary care clinicians, specialists, and hospital beds per capita), and admitting hospital characteristics (ownership, size, teaching status), there was a dose-dependent association between neighborhood socioeconomic deprivation and 30-day mortality rate for all conditions. In the fully adjusted model for death, estimated effect sizes of residence in the most disadvantaged versus least disadvantaged neighborhoods ranged from adjusted odds ratio 1.29 (95% CI, 1.22-1.36) for the heart failure group to adjusted odds ratio 1.63 (95% CI, 1.36-1.95) for the valvular heart disease group. Neighborhood deprivation was associated with increased adjusted 30-day readmission rates, with estimated effect sizes from adjusted odds ratio 1.09 (95% CI, 1.05-1.14) for heart failure to adjusted odds ratio 1.19 (95% CI, 1.13-1.26) for arrhythmia.\nCONCLUSIONS: Neighborhood socioeconomic disadvantage was associated with 30-day mortality rate and readmission for patients admitted with common cardiovascular conditions independent of individual demographics, socioeconomic status, medical risk, care access, or admitting hospital characteristics.","container-title":"Journal of the American Heart Association","DOI":"10.1161/JAHA.124.036265","ISSN":"2047-9980","issue":"16","journalAbbreviation":"J Am Heart Assoc","language":"eng","note":"PMID: 39119993\nPMCID: PMC11963947","page":"e036265","source":"PubMed","title":"Neighborhood Socioeconomic Disadvantage and 30-Day Outcomes for Common Cardiovascular Conditions","volume":"13","author":[{"family":"Lusk","given":"Jay B."},{"family":"Blass","given":"Beau"},{"family":"Mahoney","given":"Hannah"},{"family":"Hoffman","given":"Molly N."},{"family":"Clark","given":"Amy G."},{"family":"Bae","given":"Jonathan"},{"family":"Mentz","given":"Robert J."},{"family":"Wang","given":"Tracy Y."},{"family":"Patel","given":"Manesh"},{"family":"Hammill","given":"Bradley G."}],"issued":{"date-parts":[["2024",8,20]]}}}],"schema":"https://github.com/citation-style-language/schema/raw/master/csl-citation.json"}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w:t>
      </w:r>
      <w:r w:rsidR="006B38ED" w:rsidRPr="006B38ED">
        <w:rPr>
          <w:rFonts w:ascii="Times New Roman" w:hAnsi="Times New Roman" w:cs="Times New Roman"/>
          <w:sz w:val="24"/>
          <w:szCs w:val="24"/>
        </w:rPr>
        <w:t>9</w:t>
      </w:r>
      <w:r w:rsidR="004272C9">
        <w:rPr>
          <w:rFonts w:ascii="Times New Roman" w:hAnsi="Times New Roman" w:cs="Times New Roman"/>
          <w:sz w:val="24"/>
          <w:szCs w:val="24"/>
        </w:rPr>
        <w:t>8</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Studies have identified that increased ADI scores are associated with increased 30 day cardiovascular mortality, heart failure, ischemic heart disease, and cardiac arrhythmias</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{"citationID":"22CgbDVR","properties":{"formattedCitation":"(101,106)","plainCitation":"(101,106)","noteIndex":0},"citationItems":[{"id":2751,"uris":["http://zotero.org/users/local/KFNpogR5/items/GQDBP8NM"],"itemData":{"id":2751,"type":"article-journal","abstract":"BACKGROUND: Understanding the relationship between neighborhood environment and cardiovascular outcomes is important to achieve health equity and implement effective quality strategies. We conducted a population-based cohort study to determine the association of neighborhood socioeconomic deprivation and 30-day mortality and readmission rate for patients admitted with common cardiovascular conditions.\nMETHODS AND RESULTS: We examined claims data from fee-for-service Medicare beneficiaries aged ≥65 years between 2017 and 2019 admitted for heart failure, valvular heart disease, ischemic heart disease, or cardiac arrhythmias. The primary exposure was the Area Deprivation Index; outcomes were 30-day all-cause death and unplanned readmission. More than 2 million admissions were included. After sequential adjustment for patient characteristics (demographics, dual eligibility, comorbidities), area health care resources (primary care clinicians, specialists, and hospital beds per capita), and admitting hospital characteristics (ownership, size, teaching status), there was a dose-dependent association between neighborhood socioeconomic deprivation and 30-day mortality rate for all conditions. In the fully adjusted model for death, estimated effect sizes of residence in the most disadvantaged versus least disadvantaged neighborhoods ranged from adjusted odds ratio 1.29 (95% CI, 1.22-1.36) for the heart failure group to adjusted odds ratio 1.63 (95% CI, 1.36-1.95) for the valvular heart disease group. Neighborhood deprivation was associated with increased adjusted 30-day readmission rates, with estimated effect sizes from adjusted odds ratio 1.09 (95% CI, 1.05-1.14) for heart failure to adjusted odds ratio 1.19 (95% CI, 1.13-1.26) for arrhythmia.\nCONCLUSIONS: Neighborhood socioeconomic disadvantage was associated with 30-day mortality rate and readmission for patients admitted with common cardiovascular conditions independent of individual demographics, socioeconomic status, medical risk, care access, or admitting hospital characteristics.","container-title":"Journal of the American Heart Association","DOI":"10.1161/JAHA.124.036265","ISSN":"2047-9980","issue":"16","journalAbbreviation":"J Am Heart Assoc","language":"eng","note":"PMID: 39119993\nPMCID: PMC11963947","page":"e036265","source":"PubMed","title":"Neighborhood Socioeconomic Disadvantage and 30-Day Outcomes for Common Cardiovascular Conditions","volume":"13","author":[{"family":"Lusk","given":"Jay B."},{"family":"Blass","given":"Beau"},{"family":"Mahoney","given":"Hannah"},{"family":"Hoffman","given":"Molly N."},{"family":"Clark","given":"Amy G."},{"family":"Bae","given":"Jonathan"},{"family":"Mentz","given":"Robert J."},{"family":"Wang","given":"Tracy Y."},{"family":"Patel","given":"Manesh"},{"family":"Hammill","given":"Bradley G."}],"issued":{"date-parts":[["2024",8,20]]}}},{"id":2763,"uris":["http://zotero.org/users/local/KFNpogR5/items/MSHTA3I7"],"itemData":{"id":2763,"type":"article-journal","abstract":"Socioeconomic disadvantage is associated with poor health outcomes. However, whether socioeconomic factors are associated with post–myocardial infarction (MI) outcomes in younger patient populations is unknown.To evaluate the association of neighborhood-level socioeconomic disadvantage with long-term outcomes among patients who experienced an MI at a young age.This cohort study analyzed patients in the Mass General Brigham YOUNG-MI Registry (at Brigham and Women’s Hospital and Massachusetts General Hospital in Boston, Massachusetts) who experienced an MI at or before 50 years of age between January 1, 2000, and April 30, 2016. Each patient’s home address was mapped to the Area Deprivation Index (ADI) to capture higher rates of socioeconomic disadvantage. The median follow-up duration was 11.3 years. The dates of analysis were May 1, 2020, to June 30, 2020.Patients were assigned an ADI ranking according to their home address and then stratified into 3 groups (least disadvantaged group, middle group, and most disadvantaged group).The outcomes of interest were all-cause and cardiovascular mortality. Cause of death was adjudicated from national registries and electronic medical records. Cox proportional hazards regression modeling was used to evaluate the association of ADI with all-cause and cardiovascular mortality.The cohort consisted of 2097 patients, of whom 2002 (95.5%) with an ADI ranking were included (median [interquartile range] age, 45 [42-48] years; 1607 male individuals [80.3%]). Patients in the most disadvantaged neighborhoods were more likely to be Black or Hispanic, have public insurance or no insurance, and have higher rates of traditional cardiovascular risk factors such as hypertension and diabetes. Among the 1964 patients who survived to hospital discharge, 74 (13.6%) in the most disadvantaged group compared with 88 (12.6%) in the middle group and 41 (5.7%) in the least disadvantaged group died. Even after adjusting for a comprehensive set of clinical covariates, higher neighborhood disadvantage was associated with a 32% higher all-cause mortality (hazard ratio, 1.32; 95% CI, 1.10-1.60; P = .004) and a 57% higher cardiovascular mortality (hazard ratio, 1.57; 95% CI, 1.17-2.10; P = .003).This study found that, among patients who experienced an MI at or before age 50 years, socioeconomic disadvantage was associated with higher all-cause and cardiovascular mortality even after adjusting for clinical comorbidities. These findings suggest that neighborhood and socioeconomic factors have an important role in long-term post-MI survival.","container-title":"JAMA Cardiology","DOI":"10.1001/jamacardio.2021.0487","ISSN":"2380-6583","issue":"8","journalAbbreviation":"JAMA Cardiology","page":"880-888","source":"Silverchair","title":"Association of Socioeconomic Disadvantage With Long-term Mortality After Myocardial Infarction: The Mass General Brigham YOUNG-MI Registry","title-short":"Association of Socioeconomic Disadvantage With Long-term Mortality After Myocardial Infarction","volume":"6","author":[{"family":"Berman","given":"Adam N."},{"family":"Biery","given":"David W."},{"family":"Ginder","given":"Curtis"},{"family":"Singh","given":"Avinainder"},{"family":"Baek","given":"Jonggyu"},{"family":"Wadhera","given":"Rishi K."},{"family":"Wu","given":"Wanda Y."},{"family":"Divakaran","given":"Sanjay"},{"family":"DeFilippis","given":"Ersilia M."},{"family":"Hainer","given":"Jon"},{"family":"Cannon","given":"Christopher P."},{"family":"Plutzky","given":"Jorge"},{"family":"Polk","given":"Donna M."},{"family":"Nasir","given":"Khurram"},{"family":"Di Carli","given":"Marcelo F."},{"family":"Ash","given":"Arlene S."},{"family":"Bhatt","given":"Deepak L."},{"family":"Blankstein","given":"Ron"}],"issued":{"date-parts":[["2021",8,1]]}}}],"schema":"https://github.com/citation-style-language/schema/raw/master/csl-citation.json"}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w:t>
      </w:r>
      <w:r w:rsidR="006B38ED" w:rsidRPr="006B38ED">
        <w:rPr>
          <w:rFonts w:ascii="Times New Roman" w:hAnsi="Times New Roman" w:cs="Times New Roman"/>
          <w:sz w:val="24"/>
          <w:szCs w:val="24"/>
        </w:rPr>
        <w:t>9</w:t>
      </w:r>
      <w:r w:rsidR="004272C9">
        <w:rPr>
          <w:rFonts w:ascii="Times New Roman" w:hAnsi="Times New Roman" w:cs="Times New Roman"/>
          <w:sz w:val="24"/>
          <w:szCs w:val="24"/>
        </w:rPr>
        <w:t>8</w:t>
      </w:r>
      <w:r w:rsidRPr="006B38ED">
        <w:rPr>
          <w:rFonts w:ascii="Times New Roman" w:hAnsi="Times New Roman" w:cs="Times New Roman"/>
          <w:sz w:val="24"/>
          <w:szCs w:val="24"/>
        </w:rPr>
        <w:t>,1</w:t>
      </w:r>
      <w:r w:rsidR="004272C9">
        <w:rPr>
          <w:rFonts w:ascii="Times New Roman" w:hAnsi="Times New Roman" w:cs="Times New Roman"/>
          <w:sz w:val="24"/>
          <w:szCs w:val="24"/>
        </w:rPr>
        <w:t>10</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 </w:t>
      </w:r>
    </w:p>
    <w:p w14:paraId="14B58CF8" w14:textId="77777777" w:rsidR="00C76776" w:rsidRPr="006B38ED" w:rsidRDefault="00C76776" w:rsidP="006B38ED">
      <w:pPr>
        <w:jc w:val="both"/>
        <w:rPr>
          <w:rFonts w:ascii="Times New Roman" w:eastAsia="Times New Roman" w:hAnsi="Times New Roman" w:cs="Times New Roman"/>
          <w:sz w:val="24"/>
          <w:szCs w:val="24"/>
        </w:rPr>
      </w:pPr>
    </w:p>
    <w:p w14:paraId="13EDB3BA" w14:textId="77777777" w:rsidR="00C76776" w:rsidRPr="006B38ED" w:rsidRDefault="00C76776" w:rsidP="006B38ED">
      <w:pPr>
        <w:jc w:val="both"/>
        <w:rPr>
          <w:rFonts w:ascii="Times New Roman" w:eastAsia="Times New Roman" w:hAnsi="Times New Roman" w:cs="Times New Roman"/>
          <w:b/>
          <w:i/>
          <w:sz w:val="24"/>
          <w:szCs w:val="24"/>
        </w:rPr>
      </w:pPr>
      <w:r w:rsidRPr="006B38ED">
        <w:rPr>
          <w:rFonts w:ascii="Times New Roman" w:eastAsia="Times New Roman" w:hAnsi="Times New Roman" w:cs="Times New Roman"/>
          <w:b/>
          <w:i/>
          <w:sz w:val="24"/>
          <w:szCs w:val="24"/>
        </w:rPr>
        <w:t>Social Vulnerability Index</w:t>
      </w:r>
    </w:p>
    <w:p w14:paraId="2114B1CD" w14:textId="60499A75" w:rsidR="00C76776" w:rsidRPr="006B38ED" w:rsidRDefault="00C76776" w:rsidP="006B38ED">
      <w:pPr>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sz w:val="24"/>
          <w:szCs w:val="24"/>
        </w:rPr>
        <w:t>The Social Vulnerability Index (SVI) developed by the Centers for Disease Control and Prevention following the Pandemic and All-Hazards Preparedness Act signed by President George W. Bush in 2006, aimed to help public health officials allocate resources and plan interventions in communities most at risk during natural disasters</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{"citationID":"fw9kKVkq","properties":{"formattedCitation":"(107,108)","plainCitation":"(107,108)","noteIndex":0},"citationItems":[{"id":2723,"uris":["http://zotero.org/users/local/KFNpogR5/items/FGG6KJRR"],"itemData":{"id":2723,"type":"article-journal","abstract":"Social vulnerability refers to the socioeconomic and demographic factors that affect the resilience of communities. Studies have shown that in disaster events the socially vulnerable are more likely to be adversely affected, i.e. they are less likely to recover and more likely to die. Effectively addressing social vulnerability decreases both human suffering and the economic loss related to providing social services and public assistance after a disaster. This paper describes the development of a social vulnerability index (SVI), from 15 census variables at the census tract level, for use in emergency management. It also examines the potential value of the SVI by exploring the impact of Hurricane Katrina on local populations.","container-title":"Journal of Homeland Security and Emergency Management","DOI":"10.2202/1547-7355.1792","issue":"1","note":"publisher: De Gruyter","source":"EconPapers","title":"A Social Vulnerability Index for Disaster Management","URL":"https://EconPapers.repec.org/RePEc:bpj:johsem:v:8:y:2011:i:1:p:24:n:23","volume":"8","author":[{"family":"E.","given":"Flanagan Barry"},{"family":"W.","given":"Gregory Edward"},{"family":"J","given":"Hallisey Elaine"},{"family":"L.","given":"Heitgerd Janet"},{"family":"Brian","given":"Lewis"}],"accessed":{"date-parts":[["2025",4,26]]},"issued":{"date-parts":[["2011"]]}}},{"id":2718,"uris":["http://zotero.org/users/local/KFNpogR5/items/Q52MW27L"],"itemData":{"id":2718,"type":"webpage","abstract":"Pandemic and All Hazards Preparedness Act (PAHPA): Learn about the key provisions of this law, including the creation of ASPR, funding for medical countermeasures, and the establishment of the National Health Security Strategy.","language":"en","title":"Pandemic and All Hazards Preparedness Act","URL":"https://aspr.hhs.gov:443/legal/pahpa/Pages/default.aspx","accessed":{"date-parts":[["2025",4,26]]}}}],"schema":"https://github.com/citation-style-language/schema/raw/master/csl-citation.json"}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w:t>
      </w:r>
      <w:r w:rsidR="004272C9">
        <w:rPr>
          <w:rFonts w:ascii="Times New Roman" w:hAnsi="Times New Roman" w:cs="Times New Roman"/>
          <w:sz w:val="24"/>
          <w:szCs w:val="24"/>
        </w:rPr>
        <w:t>11</w:t>
      </w:r>
      <w:r w:rsidRPr="006B38ED">
        <w:rPr>
          <w:rFonts w:ascii="Times New Roman" w:hAnsi="Times New Roman" w:cs="Times New Roman"/>
          <w:sz w:val="24"/>
          <w:szCs w:val="24"/>
        </w:rPr>
        <w:t>,1</w:t>
      </w:r>
      <w:r w:rsidR="004272C9">
        <w:rPr>
          <w:rFonts w:ascii="Times New Roman" w:hAnsi="Times New Roman" w:cs="Times New Roman"/>
          <w:sz w:val="24"/>
          <w:szCs w:val="24"/>
        </w:rPr>
        <w:t>12</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The SVI is composed of 16 social factors grouped into 4 themes: socioeconomic status, household composition and disability, minority status and language, and housing type and transportation (</w:t>
      </w:r>
      <w:r w:rsidR="00430009" w:rsidRPr="006B38ED">
        <w:rPr>
          <w:rFonts w:ascii="Times New Roman" w:eastAsia="Times New Roman" w:hAnsi="Times New Roman" w:cs="Times New Roman"/>
          <w:sz w:val="24"/>
          <w:szCs w:val="24"/>
        </w:rPr>
        <w:t xml:space="preserve">Supplementary </w:t>
      </w:r>
      <w:r w:rsidRPr="006B38ED">
        <w:rPr>
          <w:rFonts w:ascii="Times New Roman" w:eastAsia="Times New Roman" w:hAnsi="Times New Roman" w:cs="Times New Roman"/>
          <w:sz w:val="24"/>
          <w:szCs w:val="24"/>
        </w:rPr>
        <w:t xml:space="preserve">Table 1)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{"citationID":"XpnmE5Dm","properties":{"formattedCitation":"(107)","plainCitation":"(107)","noteIndex":0},"citationItems":[{"id":2723,"uris":["http://zotero.org/users/local/KFNpogR5/items/FGG6KJRR"],"itemData":{"id":2723,"type":"article-journal","abstract":"Social vulnerability refers to the socioeconomic and demographic factors that affect the resilience of communities. Studies have shown that in disaster events the socially vulnerable are more likely to be adversely affected, i.e. they are less likely to recover and more likely to die. Effectively addressing social vulnerability decreases both human suffering and the economic loss related to providing social services and public assistance after a disaster. This paper describes the development of a social vulnerability index (SVI), from 15 census variables at the census tract level, for use in emergency management. It also examines the potential value of the SVI by exploring the impact of Hurricane Katrina on local populations.","container-title":"Journal of Homeland Security and Emergency Management","DOI":"10.2202/1547-7355.1792","issue":"1","note":"publisher: De Gruyter","source":"EconPapers","title":"A Social Vulnerability Index for Disaster Management","URL":"https://EconPapers.repec.org/RePEc:bpj:johsem:v:8:y:2011:i:1:p:24:n:23","volume":"8","author":[{"family":"E.","given":"Flanagan Barry"},{"family":"W.","given":"Gregory Edward"},{"family":"J","given":"Hallisey Elaine"},{"family":"L.","given":"Heitgerd Janet"},{"family":"Brian","given":"Lewis"}],"accessed":{"date-parts":[["2025",4,26]]},"issued":{"date-parts":[["2011"]]}}}],"schema":"https://github.com/citation-style-language/schema/raw/master/csl-citation.json"}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w:t>
      </w:r>
      <w:r w:rsidR="004272C9">
        <w:rPr>
          <w:rFonts w:ascii="Times New Roman" w:hAnsi="Times New Roman" w:cs="Times New Roman"/>
          <w:sz w:val="24"/>
          <w:szCs w:val="24"/>
        </w:rPr>
        <w:t>11</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SVI has been instrumental in guiding public health response to emergencies. During the COVID-</w:t>
      </w:r>
      <w:r w:rsidRPr="006B38ED">
        <w:rPr>
          <w:rFonts w:ascii="Times New Roman" w:eastAsia="Times New Roman" w:hAnsi="Times New Roman" w:cs="Times New Roman"/>
          <w:sz w:val="24"/>
          <w:szCs w:val="24"/>
        </w:rPr>
        <w:lastRenderedPageBreak/>
        <w:t>19 pandemic, research interest grew in analyzing how SVI was associated with COVID-19 related cardiovascular outcomes. Later, the SVI was used among researchers to understand general cardiovascular disease risk across socially vulnerable populations</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VIuJ6TLL","properties":{"formattedCitation":"(13,103,109\\uc0\\u8211{}111)","plainCitation":"(13,103,109–111)","noteIndex":0},"citationItems":[{"id":2730,"uris":["http://zotero.org/users/local/KFNpogR5/items/4LXDQJDI"],"itemData":{"id":2730,"type":"article-journal","abstract":"Background:Substantial differences exist between United States counties with regards to premature (&lt;65 years of age) cardiovascular disease (CVD) mortality. Whether underlying social vulnerabilities of counties influence premature CVD mortality is uncertain.Methods:In this cross-sectional study (2014–2018), we linked county-level CDC/ATSDR SVI (Centers for Disease Control and Prevention/Agency for Toxic Substances and Disease Registry Social Vulnerability Index) data with county-level CDC WONDER (Centers for Disease Control and Prevention Wide-Ranging Online Data for Epidemiological Research) mortality data. We calculated scores for overall SVI and its 4 subcomponents (ie, socioeconomic status; household composition and disability; minority status and language; and housing type and transportation) using 15 social attributes. Scores were presented as percentile rankings by county, further classified as quartiles on the basis of their distribution among all US counties (1st [least vulnerable] = 0 to 0.25; 4th [most vulnerable = 0.75 to 1.00]). We grouped age-adjusted mortality rates per 100 000 person-years for overall CVD and its subtypes (ischemic heart disease, stroke, hypertension, and heart failure) for nonelderly (&lt;65 years of age) adults across SVI quartiles.Results:Overall, the age-adjusted CVD mortality rate per 100 000 person-years was 47.0 (ischemic heart disease, 28.3; stroke, 7.9; hypertension, 8.4; and heart failure, 2.4). The largest concentration of counties with more social vulnerabilities and CVD mortality were clustered across the southwestern and southeastern parts of the United States. The age-adjusted CVD mortality rates increased in a stepwise manner from 1st to 4th SVI quartiles. Counties in the 4th SVI quartile had significantly higher mortality for CVD (rate ratio, 1.84 [95% CI, 1.43–2.36]), ischemic heart disease (1.52 [1.09–2.13]), stroke (2.03 [1.12–3.70]), hypertension (2.71 [1.54–4.75]), and heart failure (3.38 [1.32–8.61]) than those in the 1st SVI quartile. The relative risks varied considerably by demographic characteristics. For example, among all ethnicities/races, non-Hispanic Black adults in the 4th SVI quartile versus the 1st SVI quartile exclusively had significantly higher relative risks of stroke (1.65 [1.07–2.54]) and heart failure (2.42 [1.29–4.55]) mortality. Rural counties with more social vulnerabilities had 2- to 5-fold higher mortality attributable to CVD and subtypes.Conclusions:In this analysis, US counties with more social vulnerabilities had higher premature CVD mortality, varied by demographic characteristics and rurality. Focused public health interventions should address the socioeconomic disparities faced by underserved communities to curb the growing burden of premature CVD.","container-title":"Circulation","DOI":"10.1161/CIRCULATIONAHA.121.054516","issue":"16","note":"publisher: American Heart Association","page":"1272-1279","source":"ahajournals.org (Atypon)","title":"Social Vulnerability and Premature Cardiovascular Mortality Among US Counties, 2014 to 2018","volume":"144","author":[{"family":"Khan","given":"Safi U."},{"family":"Javed","given":"Zulqarnain"},{"family":"Lone","given":"Ahmad N."},{"family":"Dani","given":"Sourbha S."},{"family":"Amin","given":"Zahir"},{"family":"Al-Kindi","given":"Sadeer G."},{"family":"Virani","given":"Salim S."},{"family":"Sharma","given":"Garima"},{"family":"Blankstein","given":"Ron"},{"family":"Blaha","given":"Michael J."},{"family":"Cainzos-Achirica","given":"Miguel"},{"family":"Nasir","given":"Khurram"}],"issued":{"date-parts":[["2021",10,19]]}}},{"id":2770,"uris":["http://zotero.org/users/local/KFNpogR5/items/SLPQXYJW"],"itemData":{"id":2770,"type":"article-journal","abstract":"OBJECTIVE: To determine the variability in county cardiovascular (CV) premature mortality explained by integrated metrics of socioeconomic deprivation and to explore temporal trends in CV mortality by county socioeconomic deprivation.\nMETHODS: This is a cross-sectional analysis of US county-level death certificate data from 1999 to 2018 of age-adjusted premature (25 to 64 years) CV mortality. Integrated metrics of socioeconomic deprivation (Social Deprivation Index [SDI] and county Area Deprivation Index [ADI]) were associated with mortality using linear regression analysis. Relative change in county CV mortality from 1999 to 2018 was associated with indices using linear regression analysis.\nRESULTS: Counties with higher quartile SDI and ADI had significantly higher total, non-Hispanic Black/African American, and female premature CV mortality (P&lt;.001). Both SDI and ADI were significantly associated with CV mortality by linear regression (P&lt;.001) explaining 40% and 44% of county variability in CV mortality, respectively. Counties with lower deprivation indices experienced a larger decreased in premature CV mortality (P&lt;.001).\nCONCLUSION: This study demonstrates an association between multiple integrated metrics of socioeconomic deprivation and premature cardiovascular mortality and shows potentially worsening disparities.","container-title":"Mayo Clinic Proceedings","DOI":"10.1016/j.mayocp.2022.01.018","ISSN":"1942-5546","issue":"6","journalAbbreviation":"Mayo Clin Proc","language":"eng","note":"PMID: 35300876\nPMCID: PMC10411485","page":"1108-1113","source":"PubMed","title":"Socioeconomic Deprivation and Premature Cardiovascular Mortality in the United States","volume":"97","author":[{"family":"Bevan","given":"Graham H."},{"family":"Nasir","given":"Khurram"},{"family":"Rajagopalan","given":"Sanjay"},{"family":"Al-Kindi","given":"Sadeer"}],"issued":{"date-parts":[["2022",6]]}}},{"id":2728,"uris":["http://zotero.org/users/local/KFNpogR5/items/73T4435N"],"itemData":{"id":2728,"type":"article-journal","abstract":"BACKGROUND: The COVID-19 pandemic has disproportionately affected low-income and racial/ethnic minority populations in the United States. However, it is unknown whether hospitalized patients with COVID-19 from socially vulnerable communities experience higher rates of death and/or major adverse cardiovascular events (MACEs). Thus, we evaluated the association between county-level social vulnerability and in-hospital mortality and MACE in a national cohort of hospitalized COVID-19 patients.\nMETHODS: Our study population included patients with COVID-19 in the American Heart Association COVID-19 Cardiovascular Disease Registry across 107 US hospitals between January 14, 2020 to November 30, 2020. The Social Vulnerability Index (SVI), a composite measure of community vulnerability developed by Centers for Disease Control and Prevention, was used to classify the county-level social vulnerability of patients' place of residence. We fit a hierarchical logistic regression model with hospital-level random intercepts to evaluate the association of SVI with in-hospital mortality and MACE.\nRESULTS: Among 16 939 hospitalized COVID-19 patients in the registry, 5065 (29.9%) resided in the most vulnerable communities (highest national quartile of SVI). Compared with those in the lowest quartile of SVI, patients in the highest quartile were younger (age 60.2 versus 62.3 years) and more likely to be Black adults (36.7% versus 12.2%) and Medicaid-insured (31.1% versus 23.0%). After adjustment for demographics (age, sex, race/ethnicity) and insurance status, the highest quartile of SVI (compared with the lowest) was associated with higher likelihood of in-hospital mortality (OR, 1.25 [1.03-1.53]; P=0.03) and MACE (OR, 1.26 [95% CI, 1.05-1.50]; P=0.01). These findings were not attenuated after accounting for clinical comorbidities and acuity of illness on admission.\nCONCLUSIONS: Patients hospitalized with COVID-19 residing in more socially vulnerable communities experienced higher rates of in-hospital mortality and MACE, independent of race, ethnicity, and several clinical factors. Clinical and health system strategies are needed to improve health outcomes for socially vulnerable patients.","container-title":"Circulation. Cardiovascular Quality and Outcomes","DOI":"10.1161/CIRCOUTCOMES.121.008612","ISSN":"1941-7705","issue":"8","journalAbbreviation":"Circ Cardiovasc Qual Outcomes","language":"eng","note":"PMID: 35862003\nPMCID: PMC9387665","page":"e008612","source":"PubMed","title":"County-Level Social Vulnerability is Associated With In-Hospital Death and Major Adverse Cardiovascular Events in Patients Hospitalized With COVID-19: An Analysis of the American Heart Association COVID-19 Cardiovascular Disease Registry","title-short":"County-Level Social Vulnerability is Associated With In-Hospital Death and Major Adverse Cardiovascular Events in Patients Hospitalized With COVID-19","volume":"15","author":[{"family":"Islam","given":"Shabatun J."},{"family":"Malla","given":"Gargya"},{"family":"Yeh","given":"Robert W."},{"family":"Quyyumi","given":"Arshed A."},{"family":"Kazi","given":"Dhruv S."},{"family":"Tian","given":"Wei"},{"family":"Song","given":"Yang"},{"family":"Nayak","given":"Aditi"},{"family":"Mehta","given":"Anurag"},{"family":"Ko","given":"Yi-An"},{"family":"Lemos","given":"James A.","non-dropping-particle":"de"},{"family":"Rodriguez","given":"Fatima"},{"family":"Goyal","given":"Abhinav"},{"family":"Wadhera","given":"Rishi K."}],"issued":{"date-parts":[["2022",8]]}}},{"id":2732,"uris":["http://zotero.org/users/local/KFNpogR5/items/ZU2ZDANQ"],"itemData":{"id":2732,"type":"article-journal","abstract":"Background Social and environmental factors play an important role in the rising health care burden of cardiovascular disease. The Centers for Disease Control and Prevention developed the Social Vulnerability Index (SVI) from US census data as a tool for public health officials to identify communities in need of support in the setting of a hazardous event. SVI (ranging from a least vulnerable score of 0 to a most vulnerable score of 1) ranks communities on 15 social factors including unemployment, minoritized groups status, and disability, and groups them under 4 broad themes: socioeconomic status, housing and transportation, minoritized groups, and household composition. We sought to assess the association of SVI with self-reported prevalent cardiovascular comorbidities and atherosclerotic cardiovascular disease (ASCVD). Methods and Results We performed a retrospective cohort analysis of adults (≥18 years) in the Behavioral Risk Factor Surveillance System 2016 to 2019. Data regarding self-reported prevalent cardiovascular comorbidities (including diabetes, hypertension, hyperlipidemia, smoking, substance use), and ASCVD was captured using participants' response to a structured telephonic interview. We divided states on the basis of the tertile of SVI (first-participant lives in the least vulnerable group of states, 0-0.32; to third-participant lives in the most vulnerable group of states, 0.54-1.0). Multivariable logistic regression models adjusting for age, race and ethnicity, sex, employment, income, health care coverage, and association with federal poverty line were constructed to assess the association of SVI with cardiovascular comorbidities. Our study sample consisted of 1 745 999 participants ≥18 years of age. States in the highest (third) tertile of social vulnerability had predominantly Black and Hispanic adults, lower levels of education, lower income, higher rates of unemployment, and higher rates of prevalent comorbidities including hypertension, diabetes, chronic kidney disease, hyperlipidemia, substance use, and ASCVD. In multivariable logistic regression models, individuals living in states in the third tertile of SVI had higher odds of having hypertension (odds ratio (OR), 1.14 [95% CI, 1.11-1.17]), diabetes (OR, 1.12 [95% CI, 1.09-1.15]), hyperlipidemia (OR, 1.09 [95% CI, 1.06-1.12]), chronic kidney disease (OR, 1.17 [95% CI, 1.12-1.23]), smoking (OR, 1.05 [95% CI, 1.03-1.07]), and ASCVD (OR, 1.15 [95% CI, 1.12-1.19]), compared with those living in the first tertile of SVI. Conclusions SVI varies across the US states and is associated with prevalent cardiovascular comorbidities and ASCVD, independent of age, race and ethnicity, sex, employment, income, and health care coverage. SVI may be a useful assessment tool for health policy makers and health systems researchers examining multilevel influences on cardiovascular-related health behaviors and identifying communities for targeted interventions pertaining to social determinants of health.","container-title":"Journal of the American Heart Association","DOI":"10.1161/JAHA.121.024414","ISSN":"2047-9980","issue":"15","journalAbbreviation":"J Am Heart Assoc","language":"eng","note":"PMID: 35904206\nPMCID: PMC9375494","page":"e024414","source":"PubMed","title":"Association Between Social Vulnerability Index and Cardiovascular Disease: A Behavioral Risk Factor Surveillance System Study","title-short":"Association Between Social Vulnerability Index and Cardiovascular Disease","volume":"11","author":[{"family":"Jain","given":"Vardhmaan"},{"family":"Al Rifai","given":"Mahmoud"},{"family":"Khan","given":"Safi U."},{"family":"Kalra","given":"Ankur"},{"family":"Rodriguez","given":"Fatima"},{"family":"Samad","given":"Zainab"},{"family":"Pokharel","given":"Yashashwi"},{"family":"Misra","given":"Arunima"},{"family":"Sperling","given":"Laurence S."},{"family":"Rana","given":"Jamal S."},{"family":"Ullah","given":"Waqas"},{"family":"Medhekar","given":"Ankit"},{"family":"Virani","given":"Salim S."}],"issued":{"date-parts":[["2022",8,2]]}}},{"id":2736,"uris":["http://zotero.org/users/local/KFNpogR5/items/ZDYHBFHC"],"itemData":{"id":2736,"type":"article-journal","abstract":"BackgroundAlthough cardiovascular mortality (CVM) rates in the United States have been declining overall, our study evaluated whether this holds true for areas with increased social deprivation.Methods and ResultsWe used county‐level cross‐sectional age‐adjusted CVM rates (aa‐CVM) (2000–2019) linked to the Centers for Disease Control and Prevention Social Vulnerability Index (SVI–2010). We grouped counties as per SVI (Groups I 0–0.2, II 0.21–0.4, III 0.41–0.6, IV 0.61–0.8, and V 0.81–1) and calculated the relative change in the aa‐CVM between 2000 to 2003 and 2016 to 2019. We used adjusted linear regression analyses to explore the association between a higher SVI and temporal aa‐CVM improvement; we studied this temporal change in aa‐CVM across subgroups of race, sex, and location. The median aa‐CVM rate (per 100 000) was 272.6 (interquartile range [IQR]: 237.5–311.7). The aa‐CVM was higher in men (315.6 [IQR: 273.4–363.9]) than women (221.3 [IQR: 189.6–256.7]), and in Black residents (347.2 [IQR: 301.1–391.1]; P&lt;0.001) than White residents (258.9 [IQR: 226–299.1]; P&lt;0.001). The aa‐CVM for SVI I (233.6 [IQR: 214.8–257.0]) was significantly lower than that of group V (323.6 [IQR: 277.2–359.2]; P&lt;0.001). The relative reduction in CVM was significantly higher for SVI group I (32.2% [IQR: 24.2–38.4]) than group V (27.2% [IQR: 19–34.1]) counties. After multivariable adjustment, a higher SVI index was associated with lower relative improvement in the age‐adjusted CVM (model coefficient −3.11 [95% CI, −5.66 to −1.22]; P&lt;0.001).ConclusionsSocially deprived counties in the United States had higher aa‐CVM rates, and the improvement in aa‐CVM over the past 20 years was lower in these counties.","container-title":"Journal of the American Heart Association","DOI":"10.1161/JAHA.123.030290","issue":"20","note":"publisher: Wiley","page":"e030290","source":"ahajournals.org (Atypon)","title":"Trends in Cardiovascular Disease Mortality by County‐Level Social Vulnerability Index in the United States","volume":"12","author":[{"family":"Terry","given":"Katrina"},{"family":"Makhlouf","given":"Mohamed"},{"family":"Altarabsheh","given":"Salah E."},{"family":"Deo","given":"Vaishali"},{"family":"Petermann‐Rocha","given":"Fanny"},{"family":"Elgudin","given":"Yakov"},{"family":"Nasir","given":"Khurram"},{"family":"Rajagopalan","given":"Sanjay"},{"family":"Al‐Kindi","given":"Sadeer"},{"family":"Deo","given":"Salil"}],"issued":{"date-parts":[["2023",10,17]]}}}],"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w:t>
      </w:r>
      <w:r w:rsidR="004272C9">
        <w:rPr>
          <w:rFonts w:ascii="Times New Roman" w:hAnsi="Times New Roman" w:cs="Times New Roman"/>
          <w:sz w:val="24"/>
          <w:szCs w:val="24"/>
        </w:rPr>
        <w:t>6</w:t>
      </w:r>
      <w:r w:rsidRPr="006B38ED">
        <w:rPr>
          <w:rFonts w:ascii="Times New Roman" w:hAnsi="Times New Roman" w:cs="Times New Roman"/>
          <w:sz w:val="24"/>
          <w:szCs w:val="24"/>
        </w:rPr>
        <w:t>,10</w:t>
      </w:r>
      <w:r w:rsidR="004272C9">
        <w:rPr>
          <w:rFonts w:ascii="Times New Roman" w:hAnsi="Times New Roman" w:cs="Times New Roman"/>
          <w:sz w:val="24"/>
          <w:szCs w:val="24"/>
        </w:rPr>
        <w:t>7</w:t>
      </w:r>
      <w:r w:rsidRPr="006B38ED">
        <w:rPr>
          <w:rFonts w:ascii="Times New Roman" w:hAnsi="Times New Roman" w:cs="Times New Roman"/>
          <w:sz w:val="24"/>
          <w:szCs w:val="24"/>
        </w:rPr>
        <w:t>,1</w:t>
      </w:r>
      <w:r w:rsidR="004272C9">
        <w:rPr>
          <w:rFonts w:ascii="Times New Roman" w:hAnsi="Times New Roman" w:cs="Times New Roman"/>
          <w:sz w:val="24"/>
          <w:szCs w:val="24"/>
        </w:rPr>
        <w:t>13</w:t>
      </w:r>
      <w:r w:rsidRPr="006B38ED">
        <w:rPr>
          <w:rFonts w:ascii="Times New Roman" w:hAnsi="Times New Roman" w:cs="Times New Roman"/>
          <w:sz w:val="24"/>
          <w:szCs w:val="24"/>
        </w:rPr>
        <w:t>–11</w:t>
      </w:r>
      <w:r w:rsidR="004272C9">
        <w:rPr>
          <w:rFonts w:ascii="Times New Roman" w:hAnsi="Times New Roman" w:cs="Times New Roman"/>
          <w:sz w:val="24"/>
          <w:szCs w:val="24"/>
        </w:rPr>
        <w:t>5</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w:t>
      </w:r>
      <w:r w:rsidR="00430009" w:rsidRPr="006B38ED">
        <w:rPr>
          <w:rFonts w:ascii="Times New Roman" w:eastAsia="Times New Roman" w:hAnsi="Times New Roman" w:cs="Times New Roman"/>
          <w:sz w:val="24"/>
          <w:szCs w:val="24"/>
        </w:rPr>
        <w:t xml:space="preserve"> Supplementary </w:t>
      </w:r>
      <w:r w:rsidRPr="006B38ED">
        <w:rPr>
          <w:rFonts w:ascii="Times New Roman" w:eastAsia="Times New Roman" w:hAnsi="Times New Roman" w:cs="Times New Roman"/>
          <w:sz w:val="24"/>
          <w:szCs w:val="24"/>
        </w:rPr>
        <w:t xml:space="preserve">Table 1 outlines some of the observed associations between SVI and cardiovascular outcomes of which include CHD prevalence and risk of CVD mortality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yWrkpD7T","properties":{"formattedCitation":"(13,103)","plainCitation":"(13,103)","noteIndex":0},"citationItems":[{"id":2730,"uris":["http://zotero.org/users/local/KFNpogR5/items/4LXDQJDI"],"itemData":{"id":2730,"type":"article-journal","abstract":"Background:Substantial differences exist between United States counties with regards to premature (&lt;65 years of age) cardiovascular disease (CVD) mortality. Whether underlying social vulnerabilities of counties influence premature CVD mortality is uncertain.Methods:In this cross-sectional study (2014–2018), we linked county-level CDC/ATSDR SVI (Centers for Disease Control and Prevention/Agency for Toxic Substances and Disease Registry Social Vulnerability Index) data with county-level CDC WONDER (Centers for Disease Control and Prevention Wide-Ranging Online Data for Epidemiological Research) mortality data. We calculated scores for overall SVI and its 4 subcomponents (ie, socioeconomic status; household composition and disability; minority status and language; and housing type and transportation) using 15 social attributes. Scores were presented as percentile rankings by county, further classified as quartiles on the basis of their distribution among all US counties (1st [least vulnerable] = 0 to 0.25; 4th [most vulnerable = 0.75 to 1.00]). We grouped age-adjusted mortality rates per 100 000 person-years for overall CVD and its subtypes (ischemic heart disease, stroke, hypertension, and heart failure) for nonelderly (&lt;65 years of age) adults across SVI quartiles.Results:Overall, the age-adjusted CVD mortality rate per 100 000 person-years was 47.0 (ischemic heart disease, 28.3; stroke, 7.9; hypertension, 8.4; and heart failure, 2.4). The largest concentration of counties with more social vulnerabilities and CVD mortality were clustered across the southwestern and southeastern parts of the United States. The age-adjusted CVD mortality rates increased in a stepwise manner from 1st to 4th SVI quartiles. Counties in the 4th SVI quartile had significantly higher mortality for CVD (rate ratio, 1.84 [95% CI, 1.43–2.36]), ischemic heart disease (1.52 [1.09–2.13]), stroke (2.03 [1.12–3.70]), hypertension (2.71 [1.54–4.75]), and heart failure (3.38 [1.32–8.61]) than those in the 1st SVI quartile. The relative risks varied considerably by demographic characteristics. For example, among all ethnicities/races, non-Hispanic Black adults in the 4th SVI quartile versus the 1st SVI quartile exclusively had significantly higher relative risks of stroke (1.65 [1.07–2.54]) and heart failure (2.42 [1.29–4.55]) mortality. Rural counties with more social vulnerabilities had 2- to 5-fold higher mortality attributable to CVD and subtypes.Conclusions:In this analysis, US counties with more social vulnerabilities had higher premature CVD mortality, varied by demographic characteristics and rurality. Focused public health interventions should address the socioeconomic disparities faced by underserved communities to curb the growing burden of premature CVD.","container-title":"Circulation","DOI":"10.1161/CIRCULATIONAHA.121.054516","issue":"16","note":"publisher: American Heart Association","page":"1272-1279","source":"ahajournals.org (Atypon)","title":"Social Vulnerability and Premature Cardiovascular Mortality Among US Counties, 2014 to 2018","volume":"144","author":[{"family":"Khan","given":"Safi U."},{"family":"Javed","given":"Zulqarnain"},{"family":"Lone","given":"Ahmad N."},{"family":"Dani","given":"Sourbha S."},{"family":"Amin","given":"Zahir"},{"family":"Al-Kindi","given":"Sadeer G."},{"family":"Virani","given":"Salim S."},{"family":"Sharma","given":"Garima"},{"family":"Blankstein","given":"Ron"},{"family":"Blaha","given":"Michael J."},{"family":"Cainzos-Achirica","given":"Miguel"},{"family":"Nasir","given":"Khurram"}],"issued":{"date-parts":[["2021",10,19]]}}},{"id":2770,"uris":["http://zotero.org/users/local/KFNpogR5/items/SLPQXYJW"],"itemData":{"id":2770,"type":"article-journal","abstract":"OBJECTIVE: To determine the variability in county cardiovascular (CV) premature mortality explained by integrated metrics of socioeconomic deprivation and to explore temporal trends in CV mortality by county socioeconomic deprivation.\nMETHODS: This is a cross-sectional analysis of US county-level death certificate data from 1999 to 2018 of age-adjusted premature (25 to 64 years) CV mortality. Integrated metrics of socioeconomic deprivation (Social Deprivation Index [SDI] and county Area Deprivation Index [ADI]) were associated with mortality using linear regression analysis. Relative change in county CV mortality from 1999 to 2018 was associated with indices using linear regression analysis.\nRESULTS: Counties with higher quartile SDI and ADI had significantly higher total, non-Hispanic Black/African American, and female premature CV mortality (P&lt;.001). Both SDI and ADI were significantly associated with CV mortality by linear regression (P&lt;.001) explaining 40% and 44% of county variability in CV mortality, respectively. Counties with lower deprivation indices experienced a larger decreased in premature CV mortality (P&lt;.001).\nCONCLUSION: This study demonstrates an association between multiple integrated metrics of socioeconomic deprivation and premature cardiovascular mortality and shows potentially worsening disparities.","container-title":"Mayo Clinic Proceedings","DOI":"10.1016/j.mayocp.2022.01.018","ISSN":"1942-5546","issue":"6","journalAbbreviation":"Mayo Clin Proc","language":"eng","note":"PMID: 35300876\nPMCID: PMC10411485","page":"1108-1113","source":"PubMed","title":"Socioeconomic Deprivation and Premature Cardiovascular Mortality in the United States","volume":"97","author":[{"family":"Bevan","given":"Graham H."},{"family":"Nasir","given":"Khurram"},{"family":"Rajagopalan","given":"Sanjay"},{"family":"Al-Kindi","given":"Sadeer"}],"issued":{"date-parts":[["2022",6]]}}}],"schema":"https://github.com/citation-style-language/schema/raw/master/csl-citation.json"}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w:t>
      </w:r>
      <w:r w:rsidR="004272C9">
        <w:rPr>
          <w:rFonts w:ascii="Times New Roman" w:hAnsi="Times New Roman" w:cs="Times New Roman"/>
          <w:sz w:val="24"/>
          <w:szCs w:val="24"/>
        </w:rPr>
        <w:t>6</w:t>
      </w:r>
      <w:r w:rsidRPr="006B38ED">
        <w:rPr>
          <w:rFonts w:ascii="Times New Roman" w:hAnsi="Times New Roman" w:cs="Times New Roman"/>
          <w:sz w:val="24"/>
          <w:szCs w:val="24"/>
        </w:rPr>
        <w:t>,10</w:t>
      </w:r>
      <w:r w:rsidR="004272C9">
        <w:rPr>
          <w:rFonts w:ascii="Times New Roman" w:hAnsi="Times New Roman" w:cs="Times New Roman"/>
          <w:sz w:val="24"/>
          <w:szCs w:val="24"/>
        </w:rPr>
        <w:t>7</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Additionally, the American College of Cardiology has integrated SVI into their Health Equity Heat Map to help institutions and clinicians to better tailor interventions for the communities around them (5</w:t>
      </w:r>
      <w:r w:rsidR="004272C9">
        <w:rPr>
          <w:rFonts w:ascii="Times New Roman" w:eastAsia="Times New Roman" w:hAnsi="Times New Roman" w:cs="Times New Roman"/>
          <w:sz w:val="24"/>
          <w:szCs w:val="24"/>
        </w:rPr>
        <w:t>4</w:t>
      </w:r>
      <w:r w:rsidRPr="006B38ED">
        <w:rPr>
          <w:rFonts w:ascii="Times New Roman" w:eastAsia="Times New Roman" w:hAnsi="Times New Roman" w:cs="Times New Roman"/>
          <w:sz w:val="24"/>
          <w:szCs w:val="24"/>
        </w:rPr>
        <w:t xml:space="preserve">). </w:t>
      </w:r>
    </w:p>
    <w:p w14:paraId="31F5C709" w14:textId="77777777" w:rsidR="00C76776" w:rsidRPr="006B38ED" w:rsidRDefault="00C76776" w:rsidP="006B38ED">
      <w:pPr>
        <w:jc w:val="both"/>
        <w:rPr>
          <w:rFonts w:ascii="Times New Roman" w:eastAsia="Times New Roman" w:hAnsi="Times New Roman" w:cs="Times New Roman"/>
          <w:sz w:val="24"/>
          <w:szCs w:val="24"/>
        </w:rPr>
      </w:pPr>
    </w:p>
    <w:p w14:paraId="3CE17BA3" w14:textId="77777777" w:rsidR="00C76776" w:rsidRPr="006B38ED" w:rsidRDefault="00C76776" w:rsidP="006B38ED">
      <w:pPr>
        <w:jc w:val="both"/>
        <w:rPr>
          <w:rFonts w:ascii="Times New Roman" w:eastAsia="Times New Roman" w:hAnsi="Times New Roman" w:cs="Times New Roman"/>
          <w:b/>
          <w:i/>
          <w:sz w:val="24"/>
          <w:szCs w:val="24"/>
        </w:rPr>
      </w:pPr>
      <w:r w:rsidRPr="006B38ED">
        <w:rPr>
          <w:rFonts w:ascii="Times New Roman" w:eastAsia="Times New Roman" w:hAnsi="Times New Roman" w:cs="Times New Roman"/>
          <w:b/>
          <w:i/>
          <w:sz w:val="24"/>
          <w:szCs w:val="24"/>
        </w:rPr>
        <w:t>Social Deprivation Index</w:t>
      </w:r>
    </w:p>
    <w:p w14:paraId="3150EE1D" w14:textId="432863B9" w:rsidR="00C76776" w:rsidRPr="006B38ED" w:rsidRDefault="00C76776" w:rsidP="006B38ED">
      <w:pPr>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sz w:val="24"/>
          <w:szCs w:val="24"/>
        </w:rPr>
        <w:t>Developed in 2013, the Social Deprivation Index (SDI) is the next largest used index. SDI was initially developed by Butler et al as a part of the Robert Graham Center utilizing 2009 American Community Survey Data and has been adapted to be a composite measure of 7 demographic characteristics to quantify the socioeconomic variation in health outcomes (</w:t>
      </w:r>
      <w:r w:rsidR="00430009" w:rsidRPr="006B38ED">
        <w:rPr>
          <w:rFonts w:ascii="Times New Roman" w:eastAsia="Times New Roman" w:hAnsi="Times New Roman" w:cs="Times New Roman"/>
          <w:sz w:val="24"/>
          <w:szCs w:val="24"/>
        </w:rPr>
        <w:t xml:space="preserve">Supplementary </w:t>
      </w:r>
      <w:r w:rsidRPr="006B38ED">
        <w:rPr>
          <w:rFonts w:ascii="Times New Roman" w:eastAsia="Times New Roman" w:hAnsi="Times New Roman" w:cs="Times New Roman"/>
          <w:sz w:val="24"/>
          <w:szCs w:val="24"/>
        </w:rPr>
        <w:t xml:space="preserve">Table 1)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{"citationID":"UIxbTWlX","properties":{"formattedCitation":"(112,113)","plainCitation":"(112,113)","noteIndex":0},"citationItems":[{"id":1101,"uris":["http://zotero.org/users/local/KFNpogR5/items/T4JE6CIX"],"itemData":{"id":1101,"type":"webpage","title":"Social Deprivation Index (SDI) | Robert Graham Center","URL":"https://www.graham-center.org/maps-data-tools/social-deprivation-index.html","accessed":{"date-parts":[["2025",2,4]]}}},{"id":2765,"uris":["http://zotero.org/users/local/KFNpogR5/items/J2XK2996"],"itemData":{"id":2765,"type":"article-journal","abstract":"OBJECTIVE: To develop a measure of social deprivation that is associated with health care access and health outcomes at a novel geographic level, primary care service area.\nDATA SOURCES/STUDY SETTING: Secondary analysis of data from the Dartmouth Atlas, AMA Masterfile, National Provider Identifier data, Small Area Health Insurance Estimates, American Community Survey, Area Resource File, and Behavioural Risk Factor Surveillance System. Data were aggregated to primary care service areas (PCSAs).\nSTUDY DESIGN: Social deprivation variables were selected from literature review and international examples. Factor analysis was used. Correlation and multivariate analyses were conducted between index, health outcomes, and measures of health care access. The derived index was compared with poverty as a predictor of health outcomes.\nDATA COLLECTION/EXTRACTION METHODS: Variables not available at the PCSA level were estimated at block level, then aggregated to PCSA level.\nPRINCIPAL FINDINGS: Our social deprivation index is positively associated with poor access and poor health outcomes. This pattern holds in multivariate analyses controlling for other measures of access. A multidimensional measure of deprivation is more strongly associated with health outcomes than a measure of poverty alone.\nCONCLUSIONS: This geographic index has utility for identifying areas in need of assistance and is timely for revision of 35-year-old provider shortage and geographic underservice designation criteria used to allocate federal resources.","container-title":"Health Services Research","DOI":"10.1111/j.1475-6773.2012.01449.x","ISSN":"1475-6773","issue":"2 Pt 1","journalAbbreviation":"Health Serv Res","language":"eng","note":"PMID: 22816561\nPMCID: PMC3626349","page":"539-559","source":"PubMed","title":"Measures of social deprivation that predict health care access and need within a rational area of primary care service delivery","volume":"48","author":[{"family":"Butler","given":"Danielle C."},{"family":"Petterson","given":"Stephen"},{"family":"Phillips","given":"Robert L."},{"family":"Bazemore","given":"Andrew W."}],"issued":{"date-parts":[["2013",4]]}}}],"schema":"https://github.com/citation-style-language/schema/raw/master/csl-citation.json"}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(11</w:t>
      </w:r>
      <w:r w:rsidR="004272C9">
        <w:rPr>
          <w:rFonts w:ascii="Times New Roman" w:hAnsi="Times New Roman" w:cs="Times New Roman"/>
          <w:sz w:val="24"/>
          <w:szCs w:val="24"/>
        </w:rPr>
        <w:t>6</w:t>
      </w:r>
      <w:r w:rsidRPr="006B38ED">
        <w:rPr>
          <w:rFonts w:ascii="Times New Roman" w:hAnsi="Times New Roman" w:cs="Times New Roman"/>
          <w:sz w:val="24"/>
          <w:szCs w:val="24"/>
        </w:rPr>
        <w:t>,11</w:t>
      </w:r>
      <w:r w:rsidR="004272C9">
        <w:rPr>
          <w:rFonts w:ascii="Times New Roman" w:hAnsi="Times New Roman" w:cs="Times New Roman"/>
          <w:sz w:val="24"/>
          <w:szCs w:val="24"/>
        </w:rPr>
        <w:t>7</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 The index was formulated utilizing a similar method of factor analysis as demonstrated with previously described indices above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{"citationID":"gM2XhVsM","properties":{"formattedCitation":"(112)","plainCitation":"(112)","noteIndex":0},"citationItems":[{"id":1101,"uris":["http://zotero.org/users/local/KFNpogR5/items/T4JE6CIX"],"itemData":{"id":1101,"type":"webpage","title":"Social Deprivation Index (SDI) | Robert Graham Center","URL":"https://www.graham-center.org/maps-data-tools/social-deprivation-index.html","accessed":{"date-parts":[["2025",2,4]]}}}],"schema":"https://github.com/citation-style-language/schema/raw/master/csl-citation.json"}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(11</w:t>
      </w:r>
      <w:r w:rsidR="004272C9">
        <w:rPr>
          <w:rFonts w:ascii="Times New Roman" w:hAnsi="Times New Roman" w:cs="Times New Roman"/>
          <w:sz w:val="24"/>
          <w:szCs w:val="24"/>
        </w:rPr>
        <w:t>6</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Each factor was </w:t>
      </w:r>
      <w:proofErr w:type="gramStart"/>
      <w:r w:rsidRPr="006B38ED">
        <w:rPr>
          <w:rFonts w:ascii="Times New Roman" w:eastAsia="Times New Roman" w:hAnsi="Times New Roman" w:cs="Times New Roman"/>
          <w:sz w:val="24"/>
          <w:szCs w:val="24"/>
        </w:rPr>
        <w:t>weighted</w:t>
      </w:r>
      <w:proofErr w:type="gramEnd"/>
      <w:r w:rsidRPr="006B38ED">
        <w:rPr>
          <w:rFonts w:ascii="Times New Roman" w:eastAsia="Times New Roman" w:hAnsi="Times New Roman" w:cs="Times New Roman"/>
          <w:sz w:val="24"/>
          <w:szCs w:val="24"/>
        </w:rPr>
        <w:t xml:space="preserve"> based on its factor loading score, ultimately leading to a decile index. Researchers have explored the relationship between SDI and cardiovascular disease, although with less robust evidence than ADI.  A greater SDI is associated with increased risk of heart failure and cardiovascular mortality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1rnV8mez","properties":{"formattedCitation":"(47,103,114)","plainCitation":"(47,103,114)","noteIndex":0},"citationItems":[{"id":2770,"uris":["http://zotero.org/users/local/KFNpogR5/items/SLPQXYJW"],"itemData":{"id":2770,"type":"article-journal","abstract":"OBJECTIVE: To determine the variability in county cardiovascular (CV) premature mortality explained by integrated metrics of socioeconomic deprivation and to explore temporal trends in CV mortality by county socioeconomic deprivation.\nMETHODS: This is a cross-sectional analysis of US county-level death certificate data from 1999 to 2018 of age-adjusted premature (25 to 64 years) CV mortality. Integrated metrics of socioeconomic deprivation (Social Deprivation Index [SDI] and county Area Deprivation Index [ADI]) were associated with mortality using linear regression analysis. Relative change in county CV mortality from 1999 to 2018 was associated with indices using linear regression analysis.\nRESULTS: Counties with higher quartile SDI and ADI had significantly higher total, non-Hispanic Black/African American, and female premature CV mortality (P&lt;.001). Both SDI and ADI were significantly associated with CV mortality by linear regression (P&lt;.001) explaining 40% and 44% of county variability in CV mortality, respectively. Counties with lower deprivation indices experienced a larger decreased in premature CV mortality (P&lt;.001).\nCONCLUSION: This study demonstrates an association between multiple integrated metrics of socioeconomic deprivation and premature cardiovascular mortality and shows potentially worsening disparities.","container-title":"Mayo Clinic Proceedings","DOI":"10.1016/j.mayocp.2022.01.018","ISSN":"1942-5546","issue":"6","journalAbbreviation":"Mayo Clin Proc","language":"eng","note":"PMID: 35300876\nPMCID: PMC10411485","page":"1108-1113","source":"PubMed","title":"Socioeconomic Deprivation and Premature Cardiovascular Mortality in the United States","volume":"97","author":[{"family":"Bevan","given":"Graham H."},{"family":"Nasir","given":"Khurram"},{"family":"Rajagopalan","given":"Sanjay"},{"family":"Al-Kindi","given":"Sadeer"}],"issued":{"date-parts":[["2022",6]]}}},{"id":2774,"uris":["http://zotero.org/users/local/KFNpogR5/items/A5TRFVHR"],"itemData":{"id":2774,"type":"article-journal","abstract":"BACKGROUND: Longstanding racial disparities in heart failure (HF) outcomes exist in the United States, in part, due to social determinants of health. We examined whether neighborhood environment modifies the disparity in 30-day HF readmissions and mortality between Black and White patients in the Southeastern United States.\nMETHODS: We created a geocoded retrospective cohort of patients hospitalized for acute HF within Emory Healthcare from 2010 to 2018. Quartiles of the Social Deprivation Index characterized neighborhood deprivation at the census tract level. We estimated the relative risk of 30-day readmission and 30-day mortality following an index hospitalization for acute HF. Excess readmissions and mortality were estimated as the absolute risk difference between Black and White patients within each Social Deprivation Index quartile, adjusted for geographic clustering, demographic, clinical, and hospital characteristics.\nRESULTS: The cohort included 30 630 patients, mean age 66 years, 48% female, 53% Black. Compared with White patients, Black patients were more likely to reside in deprived census tracts and have higher comorbidity scores. From 2010 to 2018, 29.4% of Black and 23.0% of White patients experienced either a 30-day HF readmission or 30-day death (P&lt;0.001). Excess in composite 30-day HF readmissions and mortality for Black patients ranged from 3.9% (95% CI, 1.5%-6.3%; P=0.0002) to 6.8% (95% CI, 4.1%-9.5%; P&lt;0.0001) across Social Deprivation Index quartiles. Accounting for traditional risk factors did not eliminate the Black excess in combined 30-day HF readmissions or mortality in any of the neighborhood quartiles.\nCONCLUSIONS: Excess 30-day HF readmissions and mortality are present among Black patients in every neighborhood strata and increase with progressive neighborhood socioeconomic deprivation.","container-title":"Circulation. Heart Failure","DOI":"10.1161/CIRCHEARTFAILURE.120.007947","ISSN":"1941-3297","issue":"12","journalAbbreviation":"Circ Heart Fail","language":"eng","note":"PMID: 33161734\nPMCID: PMC8164383","page":"e007947","source":"PubMed","title":"Excess 30-Day Heart Failure Readmissions and Mortality in Black Patients Increases With Neighborhood Deprivation","volume":"13","author":[{"family":"Patel","given":"Shivani A."},{"family":"Krasnow","given":"Maya"},{"family":"Long","given":"Kaitlyn"},{"family":"Shirey","given":"Theresa"},{"family":"Dickert","given":"Neal"},{"family":"Morris","given":"Alanna A."}],"issued":{"date-parts":[["2020",12]]}}},{"id":2674,"uris":["http://zotero.org/users/local/KFNpogR5/items/ZMSUCQIH"],"itemData":{"id":2674,"type":"article-journal","abstract":"BACKGROUND: The association of historical redlining policies, a marker of structural racism, with contemporary heart failure (HF) risk among White and Black individuals is not well established.\nMETHODS: We aimed to evaluate the association of redlining with the risk of HF among White and Black Medicare beneficiaries. Zip code-level redlining was determined by the proportion of historically redlined areas using the Mapping Inequality Project within each zip code. The association between higher zip code redlining proportion (quartile 4 versus quartiles 1-3) and HF risk were assessed separately among White and Black Medicare beneficiaries using generalized linear mixed models adjusted for potential confounders, including measures of the zip code-level Social Deprivation Index.\nRESULTS: A total of 2 388 955 Medicare beneficiaries (Black n=801 452; White n=1 587 503; mean age, 71 years; men, 44.6%) were included. Among Black beneficiaries, living in zip codes with higher redlining proportion (quartile 4 versus quartiles 1-3) was associated with increased risk of HF after adjusting for age, sex, and comorbidities (risk ratio, 1.08 [95% CI, 1.04-1.12]; P&lt;0.001). This association remained significant after further adjustment for area-level Social Deprivation Index (risk ratio, 1.04 [95% CI, 1.002-1.08]; P=0.04). A significant interaction was observed between redlining proportion and Social Deprivation Index (Pinteraction&lt;0.01) such that higher redlining proportion was significantly associated with HF risk only among socioeconomically distressed regions (above the median Social Deprivation Index). Among White beneficiaries, redlining was associated with a lower risk of HF after adjustment for age, sex, and comorbidities (risk ratio, 0.94 [95% CI, 0.89-0.99]; P=0.02).\nCONCLUSIONS: Historical redlining is associated with an increased risk of HF among Black patients. Contemporary zip code-level social determinants of health modify the relationship between redlining and HF risk, with the strongest relationship between redlining and HF observed in the most socioeconomically disadvantaged communities.","container-title":"Circulation","DOI":"10.1161/CIRCULATIONAHA.123.064351","ISSN":"1524-4539","issue":"3","journalAbbreviation":"Circulation","language":"eng","note":"PMID: 37459409\nPMCID: PMC10797918","page":"210-219","source":"PubMed","title":"Historical Redlining, Socioeconomic Distress, and Risk of Heart Failure Among Medicare Beneficiaries","volume":"148","author":[{"family":"Mentias","given":"Amgad"},{"family":"Mujahid","given":"Mahasin S."},{"family":"Sumarsono","given":"Andrew"},{"family":"Nelson","given":"Robert K."},{"family":"Madron","given":"Justin M."},{"family":"Powell-Wiley","given":"Tiffany M."},{"family":"Essien","given":"Utibe R."},{"family":"Keshvani","given":"Neil"},{"family":"Girotra","given":"Saket"},{"family":"Morris","given":"Alanna A."},{"family":"Sims","given":"Mario"},{"family":"Capers","given":"Quinn"},{"family":"Yancy","given":"Clyde"},{"family":"Desai","given":"Milind Y."},{"family":"Menon","given":"Venu"},{"family":"Rao","given":"Shreya"},{"family":"Pandey","given":"Ambarish"}],"issued":{"date-parts":[["2023",7,18]]}}}],"schema":"https://github.com/citation-style-language/schema/raw/master/csl-citation.json"}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w:t>
      </w:r>
      <w:r w:rsidR="004272C9">
        <w:rPr>
          <w:rFonts w:ascii="Times New Roman" w:hAnsi="Times New Roman" w:cs="Times New Roman"/>
          <w:sz w:val="24"/>
          <w:szCs w:val="24"/>
        </w:rPr>
        <w:t>51</w:t>
      </w:r>
      <w:r w:rsidRPr="006B38ED">
        <w:rPr>
          <w:rFonts w:ascii="Times New Roman" w:hAnsi="Times New Roman" w:cs="Times New Roman"/>
          <w:sz w:val="24"/>
          <w:szCs w:val="24"/>
        </w:rPr>
        <w:t>,10</w:t>
      </w:r>
      <w:r w:rsidR="004272C9">
        <w:rPr>
          <w:rFonts w:ascii="Times New Roman" w:hAnsi="Times New Roman" w:cs="Times New Roman"/>
          <w:sz w:val="24"/>
          <w:szCs w:val="24"/>
        </w:rPr>
        <w:t>7</w:t>
      </w:r>
      <w:r w:rsidRPr="006B38ED">
        <w:rPr>
          <w:rFonts w:ascii="Times New Roman" w:hAnsi="Times New Roman" w:cs="Times New Roman"/>
          <w:sz w:val="24"/>
          <w:szCs w:val="24"/>
        </w:rPr>
        <w:t>,11</w:t>
      </w:r>
      <w:r w:rsidR="004272C9">
        <w:rPr>
          <w:rFonts w:ascii="Times New Roman" w:hAnsi="Times New Roman" w:cs="Times New Roman"/>
          <w:sz w:val="24"/>
          <w:szCs w:val="24"/>
        </w:rPr>
        <w:t>8</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 Though SDI has not been used as widely in public policy, it has been recently integrated in the new American Heart Association Predicting Risk of CVD EVENTs (PREVENT) equations to provide a race-free, place-based cardiovascular disease predictive model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WlR2XMhg","properties":{"formattedCitation":"(115)","plainCitation":"(115)","noteIndex":0},"citationItems":[{"id":2779,"uris":["http://zotero.org/users/local/KFNpogR5/items/HBDT46VY"],"itemData":{"id":2779,"type":"article-journal","abstract":"BACKGROUND:Multivariable equations are recommended by primary prevention guidelines to assess absolute risk of cardiovascular disease (CVD). However, current equations have several limitations. Therefore, we developed and validated the American Heart Association Predicting Risk of CVD EVENTs (PREVENT) equations among US adults 30 to 79 years of age without known CVD.METHODS:The derivation sample included individual-level participant data from 25 data sets (N=3 281 919) between 1992 and 2017. The primary outcome was CVD (atherosclerotic CVD and heart failure). Predictors included traditional risk factors (smoking status, systolic blood pressure, cholesterol, antihypertensive or statin use, and diabetes) and estimated glomerular filtration rate. Models were sex-specific, race-free, developed on the age scale, and adjusted for competing risk of non-CVD death. Analyses were conducted in each data set and meta-analyzed. Discrimination was assessed using the Harrell C-statistic. Calibration was calculated as the slope of the observed versus predicted risk by decile. Additional equations to predict each CVD subtype (atherosclerotic CVD and heart failure) and include optional predictors (urine albumin-to-creatinine ratio and hemoglobin A1c), and social deprivation index were also developed. External validation was performed in 3 330 085 participants from 21 additional data sets.RESULTS:Among 6 612 004 adults included, mean±SD age was 53±12 years, and 56% were women. Over a mean±SD follow-up of 4.8±3.1 years, there were 211 515 incident total CVD events. The median C-statistics in external validation for CVD were 0.794 (interquartile interval, 0.763–0.809) in female and 0.757 (0.727–0.778) in male participants. The calibration slopes were 1.03 (interquartile interval, 0.81–1.16) and 0.94 (0.81–1.13) among female and male participants, respectively. Similar estimates for discrimination and calibration were observed for atherosclerotic CVD– and heart failure–specific models. The improvement in discrimination was small but statistically significant when urine albumin-to-creatinine ratio, hemoglobin A1c, and social deprivation index were added together to the base model to total CVD (ΔC-statistic [interquartile interval] 0.004 [0.004–0.005] and 0.005 [0.004–0.007] among female and male participants, respectively). Calibration improved significantly when the urine albumin-to-creatinine ratio was added to the base model among those with marked albuminuria (&gt;300 mg/g; 1.05 [0.84–1.20] versus 1.39 [1.14–1.65]; P=0.01).CONCLUSIONS:PREVENT equations accurately and precisely predicted risk for incident CVD and CVD subtypes in a large, diverse, and contemporary sample of US adults by using routinely available clinical variables.","container-title":"Circulation","DOI":"10.1161/CIRCULATIONAHA.123.067626","issue":"6","note":"publisher: American Heart Association","page":"430-449","source":"ahajournals.org (Atypon)","title":"Development and Validation of the American Heart Association’s PREVENT Equations","volume":"149","author":[{"family":"Khan","given":"Sadiya S."},{"family":"Matsushita","given":"Kunihiro"},{"family":"Sang","given":"Yingying"},{"family":"Ballew","given":"Shoshana H."},{"family":"Grams","given":"Morgan E."},{"family":"Surapaneni","given":"Aditya"},{"family":"Blaha","given":"Michael J."},{"family":"Carson","given":"April P."},{"family":"Chang","given":"Alexander R."},{"family":"Ciemins","given":"Elizabeth"},{"family":"Go","given":"Alan S."},{"family":"Gutierrez","given":"Orlando M."},{"family":"Hwang","given":"Shih-Jen"},{"family":"Jassal","given":"Simerjot K."},{"family":"Kovesdy","given":"Csaba P."},{"family":"Lloyd-Jones","given":"Donald M."},{"family":"Shlipak","given":"Michael G."},{"family":"Palaniappan","given":"Latha P."},{"family":"Sperling","given":"Laurence"},{"family":"Virani","given":"Salim S."},{"family":"Tuttle","given":"Katherine"},{"family":"Neeland","given":"Ian J."},{"family":"Chow","given":"Sheryl L."},{"family":"Rangaswami","given":"Janani"},{"family":"Pencina","given":"Michael J."},{"family":"Ndumele","given":"Chiadi E."},{"family":"Coresh","given":"Josef"},{"literal":"for the Chronic Kidney Disease Prognosis Consortium and the American Heart Association Cardiovascular-Kidney-Metabolic Science Advisory Group"}],"issued":{"date-parts":[["2024",2,6]]}}}],"schema":"https://github.com/citation-style-language/schema/raw/master/csl-citation.json"}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(11</w:t>
      </w:r>
      <w:r w:rsidR="004272C9">
        <w:rPr>
          <w:rFonts w:ascii="Times New Roman" w:hAnsi="Times New Roman" w:cs="Times New Roman"/>
          <w:sz w:val="24"/>
          <w:szCs w:val="24"/>
        </w:rPr>
        <w:t>9</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w:t>
      </w:r>
      <w:r w:rsidR="004272C9">
        <w:rPr>
          <w:rFonts w:ascii="Times New Roman" w:eastAsia="Times New Roman" w:hAnsi="Times New Roman" w:cs="Times New Roman"/>
          <w:sz w:val="24"/>
          <w:szCs w:val="24"/>
        </w:rPr>
        <w:t>53</w:t>
      </w:r>
      <w:r w:rsidRPr="006B38ED">
        <w:rPr>
          <w:rFonts w:ascii="Times New Roman" w:eastAsia="Times New Roman" w:hAnsi="Times New Roman" w:cs="Times New Roman"/>
          <w:sz w:val="24"/>
          <w:szCs w:val="24"/>
        </w:rPr>
        <w:t xml:space="preserve">). </w:t>
      </w:r>
    </w:p>
    <w:p w14:paraId="08CB9678" w14:textId="77777777" w:rsidR="00C76776" w:rsidRPr="006B38ED" w:rsidRDefault="00C76776" w:rsidP="006B38ED">
      <w:pPr>
        <w:jc w:val="both"/>
        <w:rPr>
          <w:rFonts w:ascii="Times New Roman" w:eastAsia="Times New Roman" w:hAnsi="Times New Roman" w:cs="Times New Roman"/>
          <w:sz w:val="24"/>
          <w:szCs w:val="24"/>
        </w:rPr>
      </w:pPr>
    </w:p>
    <w:p w14:paraId="05583B76" w14:textId="77777777" w:rsidR="00C76776" w:rsidRPr="006B38ED" w:rsidRDefault="00C76776" w:rsidP="006B38ED">
      <w:pPr>
        <w:jc w:val="both"/>
        <w:rPr>
          <w:rFonts w:ascii="Times New Roman" w:eastAsia="Times New Roman" w:hAnsi="Times New Roman" w:cs="Times New Roman"/>
          <w:b/>
          <w:i/>
          <w:sz w:val="24"/>
          <w:szCs w:val="24"/>
        </w:rPr>
      </w:pPr>
      <w:r w:rsidRPr="006B38ED">
        <w:rPr>
          <w:rFonts w:ascii="Times New Roman" w:eastAsia="Times New Roman" w:hAnsi="Times New Roman" w:cs="Times New Roman"/>
          <w:b/>
          <w:i/>
          <w:sz w:val="24"/>
          <w:szCs w:val="24"/>
        </w:rPr>
        <w:t>Are Indices the Way to Go?</w:t>
      </w:r>
    </w:p>
    <w:p w14:paraId="24EDC462" w14:textId="68FD5529" w:rsidR="00C76776" w:rsidRPr="006B38ED" w:rsidRDefault="00C76776" w:rsidP="006B38ED">
      <w:pPr>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sz w:val="24"/>
          <w:szCs w:val="24"/>
        </w:rPr>
        <w:t xml:space="preserve">Although the area-level indices are associated with adverse cardiac morbidity and mortality, there is still considerable room for improvement in their utility. First, it is essential to understand the primary purpose of the index tool. SVI was developed to direct public health resources during an emergency, not for predicting cardiovascular outcomes. Similarly, ADI and SDI were created to measure the relationship between socioeconomic burden across regions and mortality from all causes, not just cardiac causes. When strategizing an index to capture the impact of SDOH on cardiovascular morbidity and mortality, it needs to be specifically modeled to determine an association with the outcomes of interest, such as cardiovascular mortality. Although many of the indices have been found to have associations with cardiovascular mortality, we can significantly enhance the discrimination between different levels of social deprivation through this. In addition to developing indices that are tailored for cardiovascular outcomes, the index variables must have a meaningful impact on the outcomes of interest. The current variables in ADI, SDI, and SVI have a varying level of influence on the association with cardiovascular disease. SES has been shown in multiple studies to account for the variability in CVD risk between areas of high and low levels of deprivation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{"citationID":"b3Jh5RoV","properties":{"formattedCitation":"(110,116)","plainCitation":"(110,116)","noteIndex":0},"citationItems":[{"id":2732,"uris":["http://zotero.org/users/local/KFNpogR5/items/ZU2ZDANQ"],"itemData":{"id":2732,"type":"article-journal","abstract":"Background Social and environmental factors play an important role in the rising health care burden of cardiovascular disease. The Centers for Disease Control and Prevention developed the Social Vulnerability Index (SVI) from US census data as a tool for public health officials to identify communities in need of support in the setting of a hazardous event. SVI (ranging from a least vulnerable score of 0 to a most vulnerable score of 1) ranks communities on 15 social factors including unemployment, minoritized groups status, and disability, and groups them under 4 broad themes: socioeconomic status, housing and transportation, minoritized groups, and household composition. We sought to assess the association of SVI with self-reported prevalent cardiovascular comorbidities and atherosclerotic cardiovascular disease (ASCVD). Methods and Results We performed a retrospective cohort analysis of adults (≥18 years) in the Behavioral Risk Factor Surveillance System 2016 to 2019. Data regarding self-reported prevalent cardiovascular comorbidities (including diabetes, hypertension, hyperlipidemia, smoking, substance use), and ASCVD was captured using participants' response to a structured telephonic interview. We divided states on the basis of the tertile of SVI (first-participant lives in the least vulnerable group of states, 0-0.32; to third-participant lives in the most vulnerable group of states, 0.54-1.0). Multivariable logistic regression models adjusting for age, race and ethnicity, sex, employment, income, health care coverage, and association with federal poverty line were constructed to assess the association of SVI with cardiovascular comorbidities. Our study sample consisted of 1 745 999 participants ≥18 years of age. States in the highest (third) tertile of social vulnerability had predominantly Black and Hispanic adults, lower levels of education, lower income, higher rates of unemployment, and higher rates of prevalent comorbidities including hypertension, diabetes, chronic kidney disease, hyperlipidemia, substance use, and ASCVD. In multivariable logistic regression models, individuals living in states in the third tertile of SVI had higher odds of having hypertension (odds ratio (OR), 1.14 [95% CI, 1.11-1.17]), diabetes (OR, 1.12 [95% CI, 1.09-1.15]), hyperlipidemia (OR, 1.09 [95% CI, 1.06-1.12]), chronic kidney disease (OR, 1.17 [95% CI, 1.12-1.23]), smoking (OR, 1.05 [95% CI, 1.03-1.07]), and ASCVD (OR, 1.15 [95% CI, 1.12-1.19]), compared with those living in the first tertile of SVI. Conclusions SVI varies across the US states and is associated with prevalent cardiovascular comorbidities and ASCVD, independent of age, race and ethnicity, sex, employment, income, and health care coverage. SVI may be a useful assessment tool for health policy makers and health systems researchers examining multilevel influences on cardiovascular-related health behaviors and identifying communities for targeted interventions pertaining to social determinants of health.","container-title":"Journal of the American Heart Association","DOI":"10.1161/JAHA.121.024414","ISSN":"2047-9980","issue":"15","journalAbbreviation":"J Am Heart Assoc","language":"eng","note":"PMID: 35904206\nPMCID: PMC9375494","page":"e024414","source":"PubMed","title":"Association Between Social Vulnerability Index and Cardiovascular Disease: A Behavioral Risk Factor Surveillance System Study","title-short":"Association Between Social Vulnerability Index and Cardiovascular Disease","volume":"11","author":[{"family":"Jain","given":"Vardhmaan"},{"family":"Al Rifai","given":"Mahmoud"},{"family":"Khan","given":"Safi U."},{"family":"Kalra","given":"Ankur"},{"family":"Rodriguez","given":"Fatima"},{"family":"Samad","given":"Zainab"},{"family":"Pokharel","given":"Yashashwi"},{"family":"Misra","given":"Arunima"},{"family":"Sperling","given":"Laurence S."},{"family":"Rana","given":"Jamal S."},{"family":"Ullah","given":"Waqas"},{"family":"Medhekar","given":"Ankit"},{"family":"Virani","given":"Salim S."}],"issued":{"date-parts":[["2022",8,2]]}}},{"id":2787,"uris":["http://zotero.org/users/local/KFNpogR5/items/3MS3NQLH"],"itemData":{"id":2787,"type":"article-journal","abstract":"This cohort study evaluates the association between midlife wealth mobility and risk of cardiovascular events among participants of the RAND Health and Retirement Study older than 65 years.","language":"en","source":"jamanetwork.com","title":"Midlife Wealth Mobility and Long-term Cardiovascular Health","URL":"https://jamanetwork.com/journals/jamacardiology/fullarticle/2781235","author":[{"family":"Machado","given":"Sara"},{"family":"Sumarsono","given":"Andrew"},{"family":"Vaduganathan","given":"Muthiah"}],"accessed":{"date-parts":[["2025",4,26]]}}}],"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(11</w:t>
      </w:r>
      <w:r w:rsidR="004272C9">
        <w:rPr>
          <w:rFonts w:ascii="Times New Roman" w:hAnsi="Times New Roman" w:cs="Times New Roman"/>
          <w:sz w:val="24"/>
          <w:szCs w:val="24"/>
        </w:rPr>
        <w:t>4</w:t>
      </w:r>
      <w:r w:rsidRPr="006B38ED">
        <w:rPr>
          <w:rFonts w:ascii="Times New Roman" w:hAnsi="Times New Roman" w:cs="Times New Roman"/>
          <w:sz w:val="24"/>
          <w:szCs w:val="24"/>
        </w:rPr>
        <w:t>,1</w:t>
      </w:r>
      <w:r w:rsidR="004272C9">
        <w:rPr>
          <w:rFonts w:ascii="Times New Roman" w:hAnsi="Times New Roman" w:cs="Times New Roman"/>
          <w:sz w:val="24"/>
          <w:szCs w:val="24"/>
        </w:rPr>
        <w:t>20</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This may be reflective of SES capturing multiple social factors that influence health outcomes, such as access to care, insurance, and health literacy. It will be essential </w:t>
      </w:r>
      <w:r w:rsidRPr="006B38ED">
        <w:rPr>
          <w:rFonts w:ascii="Times New Roman" w:eastAsia="Times New Roman" w:hAnsi="Times New Roman" w:cs="Times New Roman"/>
          <w:sz w:val="24"/>
          <w:szCs w:val="24"/>
        </w:rPr>
        <w:lastRenderedPageBreak/>
        <w:t>to understand that a fraction of the variables may explain the difference between the levels of deprivation. This also contributes to the critical consideration of geographically weighing respective variables.</w:t>
      </w:r>
    </w:p>
    <w:p w14:paraId="5093A503" w14:textId="77777777" w:rsidR="00C76776" w:rsidRPr="006B38ED" w:rsidRDefault="00C76776" w:rsidP="006B38ED">
      <w:pPr>
        <w:jc w:val="both"/>
        <w:rPr>
          <w:rFonts w:ascii="Times New Roman" w:eastAsia="Times New Roman" w:hAnsi="Times New Roman" w:cs="Times New Roman"/>
          <w:sz w:val="24"/>
          <w:szCs w:val="24"/>
        </w:rPr>
      </w:pPr>
    </w:p>
    <w:p w14:paraId="4B2E53E2" w14:textId="44D89CD0" w:rsidR="00C76776" w:rsidRPr="006B38ED" w:rsidRDefault="00C76776" w:rsidP="006B38ED">
      <w:pPr>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sz w:val="24"/>
          <w:szCs w:val="24"/>
        </w:rPr>
        <w:t xml:space="preserve">Currently, all three indices have internal weights based on their factor loading value when they were created. But how does regional variation determine the impact of each variable in the model? Is the ownership of a motor vehicle as crucial in New York as it is in Detroit? Does the cost of housing in Sacramento have the same effect as Durham? Lastly, the lack of standardization in variables and overlap in certain categories can lead to overemphasis in specific categories or “double counting”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{"citationID":"6fu9WDCN","properties":{"formattedCitation":"(117,118)","plainCitation":"(117,118)","noteIndex":0},"citationItems":[{"id":2791,"uris":["http://zotero.org/users/local/KFNpogR5/items/GZGZFT8M"],"itemData":{"id":2791,"type":"article-journal","abstract":"Vulnerability assessment plays a critical role in disaster management and requires the consideration of multiple dimensions that involve both the built and social environments. A common approach to address this problem is the use of composite indicators, which offer a simplified method to combine information across different dimensions and facilitate decision making. However, composite indicators present limitations in the context of hazard vulnerability. This study investigates the source of these limitations and provides ways to overcome shortcomings in the interpretation of composite vulnerability indicators. To conduct this investigation, a composite indicator is developed to assess the vulnerability of power and transportation infrastructure, while considering social vulnerability, to capture community hazard vulnerability. Using a case study of Harris County in Texas, we investigate the disparities in outcomes resulting from different calculation methods, such as sub-indicator weighting. The case study shows that the value of the indicator is not consistent across different calculation methods. Additionally, weighting the sub-indicators plays an important role in the value of the indicator. Combining infrastructure and social factors is found to be misleading in the interpretation of hazard vulnerability, and the use of bivariate maps is proposed to better distinguish between infrastructure and social vulnerabilities.","container-title":"Scientific Reports","DOI":"10.1038/s41598-024-68060-z","ISSN":"2045-2322","issue":"1","journalAbbreviation":"Sci Rep","language":"en","license":"2024 The Author(s)","note":"publisher: Nature Publishing Group","page":"19333","source":"www.nature.com","title":"Limitations and considerations of using composite indicators to measure vulnerability to natural hazards","volume":"14","author":[{"family":"Wehbe","given":"Celine"},{"family":"Baroud","given":"Hiba"}],"issued":{"date-parts":[["2024",8,20]]}}},{"id":2793,"uris":["http://zotero.org/users/local/KFNpogR5/items/KDCEW3RF"],"itemData":{"id":2793,"type":"article-journal","abstract":"The Area Deprivation Index (ADI) is a widely used measure recently selected for several federal payment models that adjusts payments based on where beneficiaries live. A recent debate in Health Affairs focuses on seemingly implausible ADI rankings in major cities and across New York. At the root of the issue is the importance of standardization of measures prior to calculating index scores. Neighborhood Atlas researchers are implicitly arguing that their choice to not standardize is of little consequence. Using the same data and methods as the Neighborhood Atlas, this paper focuses on this choice by calculating and comparing standardized and unstandardized ADI scores. The calculated unstandardized ADI nearly perfectly matches the Neighborhood Atlas ADI (r &amp;gt; 0.9999), whereas the correlation with a standardized version is much lower (r = 0.7245). The main finding is that, without standardization, the ADI is reducible to a weighted average of just 2 measures—income and home values—certainly not the advertised multidimensional measure. Federal programs that have incorporated the ADI risk poorly allocating scarce resources meant to reduce health inequities.","container-title":"Health Affairs Scholar","DOI":"10.1093/haschl/qxad063","ISSN":"2976-5390","issue":"5","journalAbbreviation":"Health Affairs Scholar","page":"qxad063","source":"Silverchair","title":"Deciphering the Neighborhood Atlas Area Deprivation Index: the consequences of not standardizing","title-short":"Deciphering the Neighborhood Atlas Area Deprivation Index","volume":"1","author":[{"family":"Petterson","given":"Stephen"}],"issued":{"date-parts":[["2023",11,1]]}}}],"schema":"https://github.com/citation-style-language/schema/raw/master/csl-citation.json"}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w:t>
      </w:r>
      <w:r w:rsidR="004272C9">
        <w:rPr>
          <w:rFonts w:ascii="Times New Roman" w:hAnsi="Times New Roman" w:cs="Times New Roman"/>
          <w:sz w:val="24"/>
          <w:szCs w:val="24"/>
        </w:rPr>
        <w:t>21</w:t>
      </w:r>
      <w:r w:rsidRPr="006B38ED">
        <w:rPr>
          <w:rFonts w:ascii="Times New Roman" w:hAnsi="Times New Roman" w:cs="Times New Roman"/>
          <w:sz w:val="24"/>
          <w:szCs w:val="24"/>
        </w:rPr>
        <w:t>,1</w:t>
      </w:r>
      <w:r w:rsidR="004272C9">
        <w:rPr>
          <w:rFonts w:ascii="Times New Roman" w:hAnsi="Times New Roman" w:cs="Times New Roman"/>
          <w:sz w:val="24"/>
          <w:szCs w:val="24"/>
        </w:rPr>
        <w:t>22</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For example, in the ADI index, there are variables for “median home value” and “median gross rent” which may be capturing the same dimension of social deprivation but are counted twice. Despite the data collected over the past decade, there is still room to improve the utilization of SDOH indices in predicting cardiovascular outcomes.</w:t>
      </w:r>
    </w:p>
    <w:p w14:paraId="4B54DF3D" w14:textId="77777777" w:rsidR="00C76776" w:rsidRPr="006B38ED" w:rsidRDefault="00C76776" w:rsidP="006B38ED">
      <w:pPr>
        <w:spacing w:before="240" w:after="240"/>
        <w:jc w:val="both"/>
        <w:rPr>
          <w:rFonts w:ascii="Times New Roman" w:eastAsia="Times New Roman" w:hAnsi="Times New Roman" w:cs="Times New Roman"/>
          <w:b/>
          <w:bCs/>
          <w:sz w:val="24"/>
          <w:szCs w:val="24"/>
          <w:u w:val="single"/>
        </w:rPr>
      </w:pPr>
      <w:r w:rsidRPr="006B38ED">
        <w:rPr>
          <w:rFonts w:ascii="Times New Roman" w:eastAsia="Times New Roman" w:hAnsi="Times New Roman" w:cs="Times New Roman"/>
          <w:b/>
          <w:bCs/>
          <w:sz w:val="24"/>
          <w:szCs w:val="24"/>
          <w:u w:val="single"/>
        </w:rPr>
        <w:t>Appendix 2</w:t>
      </w:r>
    </w:p>
    <w:p w14:paraId="120514B5" w14:textId="77777777" w:rsidR="00C76776" w:rsidRPr="006B38ED" w:rsidRDefault="00C76776" w:rsidP="006B38ED">
      <w:pPr>
        <w:jc w:val="both"/>
        <w:rPr>
          <w:rFonts w:ascii="Times New Roman" w:eastAsia="Times New Roman" w:hAnsi="Times New Roman" w:cs="Times New Roman"/>
          <w:b/>
          <w:sz w:val="24"/>
          <w:szCs w:val="24"/>
          <w:u w:val="single"/>
        </w:rPr>
      </w:pPr>
      <w:r w:rsidRPr="006B38ED">
        <w:rPr>
          <w:rFonts w:ascii="Times New Roman" w:eastAsia="Times New Roman" w:hAnsi="Times New Roman" w:cs="Times New Roman"/>
          <w:b/>
          <w:sz w:val="24"/>
          <w:szCs w:val="24"/>
          <w:u w:val="single"/>
        </w:rPr>
        <w:t xml:space="preserve">Section IV: Implementing Solutions </w:t>
      </w:r>
    </w:p>
    <w:p w14:paraId="67F82CA8" w14:textId="77777777" w:rsidR="00C76776" w:rsidRPr="006B38ED" w:rsidRDefault="00C76776" w:rsidP="006B38ED">
      <w:pPr>
        <w:spacing w:before="280"/>
        <w:jc w:val="both"/>
        <w:rPr>
          <w:rFonts w:ascii="Times New Roman" w:eastAsia="Times New Roman" w:hAnsi="Times New Roman" w:cs="Times New Roman"/>
          <w:b/>
          <w:bCs/>
          <w:sz w:val="24"/>
          <w:szCs w:val="24"/>
          <w:lang w:val="en-US"/>
        </w:rPr>
      </w:pPr>
      <w:r w:rsidRPr="006B38ED">
        <w:rPr>
          <w:rFonts w:ascii="Times New Roman" w:eastAsia="Times New Roman" w:hAnsi="Times New Roman" w:cs="Times New Roman"/>
          <w:b/>
          <w:bCs/>
          <w:sz w:val="24"/>
          <w:szCs w:val="24"/>
        </w:rPr>
        <w:t>Identifying the Gap: Equity, Low- and High-Value Care</w:t>
      </w:r>
    </w:p>
    <w:p w14:paraId="36D61F1E" w14:textId="77777777" w:rsidR="00C76776" w:rsidRPr="006B38ED" w:rsidRDefault="00C76776" w:rsidP="006B38ED">
      <w:pPr>
        <w:spacing w:before="240" w:after="240"/>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sz w:val="24"/>
          <w:szCs w:val="24"/>
        </w:rPr>
        <w:t xml:space="preserve">A foundational step in addressing disparities is identifying equity gaps and evaluating the effectiveness of existing interventions across diverse populations. As discussed earlier under </w:t>
      </w:r>
      <w:r w:rsidRPr="006B38ED">
        <w:rPr>
          <w:rFonts w:ascii="Times New Roman" w:eastAsia="Times New Roman" w:hAnsi="Times New Roman" w:cs="Times New Roman"/>
          <w:i/>
          <w:iCs/>
          <w:sz w:val="24"/>
          <w:szCs w:val="24"/>
        </w:rPr>
        <w:t>Health Inequities</w:t>
      </w:r>
      <w:r w:rsidRPr="006B38ED">
        <w:rPr>
          <w:rFonts w:ascii="Times New Roman" w:eastAsia="Times New Roman" w:hAnsi="Times New Roman" w:cs="Times New Roman"/>
          <w:sz w:val="24"/>
          <w:szCs w:val="24"/>
        </w:rPr>
        <w:t>, understanding these disparities involves not only tracking outcomes by race, income, and education but also evaluating how and where care delivery fails to serve all groups equitably.</w:t>
      </w:r>
    </w:p>
    <w:p w14:paraId="4F74A5ED" w14:textId="77777777" w:rsidR="00C76776" w:rsidRPr="006B38ED" w:rsidRDefault="00C76776" w:rsidP="006B38ED">
      <w:pPr>
        <w:spacing w:before="240" w:after="240"/>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sz w:val="24"/>
          <w:szCs w:val="24"/>
        </w:rPr>
        <w:t>This includes recognizing when widely used practices are ineffective or harmful in specific populations, as well as identifying where high-value practices remain underutilized among historically marginalized groups.</w:t>
      </w:r>
    </w:p>
    <w:p w14:paraId="490E61BE" w14:textId="77777777" w:rsidR="00C76776" w:rsidRPr="006B38ED" w:rsidRDefault="00C76776" w:rsidP="006B38ED">
      <w:pPr>
        <w:spacing w:before="280"/>
        <w:jc w:val="both"/>
        <w:rPr>
          <w:rFonts w:ascii="Times New Roman" w:eastAsia="Times New Roman" w:hAnsi="Times New Roman" w:cs="Times New Roman"/>
          <w:b/>
          <w:sz w:val="24"/>
          <w:szCs w:val="24"/>
        </w:rPr>
      </w:pPr>
      <w:r w:rsidRPr="006B38ED">
        <w:rPr>
          <w:rFonts w:ascii="Times New Roman" w:eastAsia="Times New Roman" w:hAnsi="Times New Roman" w:cs="Times New Roman"/>
          <w:b/>
          <w:sz w:val="24"/>
          <w:szCs w:val="24"/>
        </w:rPr>
        <w:t>Selecting and Adapting Evidence-Based Practices (EBPs) to Address Disparities</w:t>
      </w:r>
    </w:p>
    <w:p w14:paraId="47C89E66" w14:textId="60FC732C" w:rsidR="00C76776" w:rsidRPr="006B38ED" w:rsidRDefault="00C76776" w:rsidP="006B38ED">
      <w:pPr>
        <w:spacing w:before="240" w:after="240"/>
        <w:jc w:val="both"/>
        <w:rPr>
          <w:rFonts w:ascii="Times New Roman" w:eastAsia="Times New Roman" w:hAnsi="Times New Roman" w:cs="Times New Roman"/>
          <w:sz w:val="24"/>
          <w:szCs w:val="24"/>
          <w:lang w:val="en-US"/>
        </w:rPr>
      </w:pPr>
      <w:proofErr w:type="gramStart"/>
      <w:r w:rsidRPr="006B38ED">
        <w:rPr>
          <w:rFonts w:ascii="Times New Roman" w:eastAsia="Times New Roman" w:hAnsi="Times New Roman" w:cs="Times New Roman"/>
          <w:sz w:val="24"/>
          <w:szCs w:val="24"/>
        </w:rPr>
        <w:t>Many</w:t>
      </w:r>
      <w:proofErr w:type="gramEnd"/>
      <w:r w:rsidRPr="006B38ED">
        <w:rPr>
          <w:rFonts w:ascii="Times New Roman" w:eastAsia="Times New Roman" w:hAnsi="Times New Roman" w:cs="Times New Roman"/>
          <w:sz w:val="24"/>
          <w:szCs w:val="24"/>
        </w:rPr>
        <w:t xml:space="preserve"> evidence-based practices (EBPs) for CVD prevention and management were not designed or tested with underrepresented populations in mind. As such, adaptation is essential. Moise et al emphasized that selecting and tailoring EBPs must involve addressing structural barriers, fostering community engagement, and mitigating power imbalances to ensure cultural relevance and impact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{"citationID":"vHygyO4N","properties":{"formattedCitation":"(119)","plainCitation":"(119)","noteIndex":0},"citationItems":[{"id":2608,"uris":["http://zotero.org/users/local/KFNpogR5/items/D8GCTCGS"],"itemData":{"id":2608,"type":"article-journal","abstract":"Reducing cardiovascular disease disparities will require a concerted, focused effort to better adopt evidence-based interventions, in particular, those that address social determinants of health, in historically marginalized populations (ie, communities excluded on the basis of social identifiers like race, ethnicity, and social class and subject to inequitable distribution of social, economic, physical, and psychological resources). Implementation science is centered around stakeholder engagement and, by virtue of its reliance on theoretical frameworks, is custom built for addressing research-to-practice gaps. However, little guidance exists for how best to leverage implementation science to promote cardiovascular health equity. This American Heart Association scientific statement was commissioned to define implementation science with a cardiovascular health equity lens and to evaluate implementation research that targets cardiovascular inequities. We provide a 4-step roadmap and checklist with critical equity considerations for selecting/adapting evidence-based practices, assessing barriers and facilitators to implementation, selecting/using/adapting implementation strategies, and evaluating implementation success. Informed by our roadmap, we examine several organizational, community, policy, and multisetting interventions and implementation strategies developed to reduce cardiovascular disparities. We highlight gaps in implementation science research to date aimed at achieving cardiovascular health equity, including lack of stakeholder engagement, rigorous mixed methods, and equity-informed theoretical frameworks. We provide several key suggestions, including the need for improved conceptualization and inclusion of social and structural determinants of health in implementation science, and the use of adaptive, hybrid effectiveness designs. In addition, we call for more rigorous examination of multilevel interventions and implementation strategies with the greatest potential for reducing both primary and secondary cardiovascular disparities.","container-title":"Circulation","DOI":"10.1161/CIR.0000000000001096","issue":"19","note":"publisher: American Heart Association","page":"e260-e278","source":"ahajournals.org (Atypon)","title":"Leveraging Implementation Science for Cardiovascular Health Equity: A Scientific Statement From the American Heart Association","title-short":"Leveraging Implementation Science for Cardiovascular Health Equity","volume":"146","author":[{"family":"Moise","given":"Nathalie"},{"family":"Cené","given":"Crystal W."},{"family":"Tabak","given":"Rachel G."},{"family":"Young","given":"Deborah R."},{"family":"Mills","given":"Katherine T."},{"family":"Essien","given":"Utibe R."},{"family":"Anderson","given":"Cheryl A.M."},{"family":"Lopez-Jimenez","given":"Francisco"},{"literal":"on behalf of the American Heart Association Council on Epidemiology and Prevention; Council on Hypertension; and Stroke Council"}],"issued":{"date-parts":[["2022",11,8]]}}}],"schema":"https://github.com/citation-style-language/schema/raw/master/csl-citation.json"}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w:t>
      </w:r>
      <w:r w:rsidR="004272C9">
        <w:rPr>
          <w:rFonts w:ascii="Times New Roman" w:hAnsi="Times New Roman" w:cs="Times New Roman"/>
          <w:sz w:val="24"/>
          <w:szCs w:val="24"/>
        </w:rPr>
        <w:t>23</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w:t>
      </w:r>
    </w:p>
    <w:p w14:paraId="767189DD" w14:textId="2BBA7ED0" w:rsidR="00C76776" w:rsidRPr="006B38ED" w:rsidRDefault="00C76776" w:rsidP="006B38ED">
      <w:pPr>
        <w:spacing w:before="240" w:after="240"/>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sz w:val="24"/>
          <w:szCs w:val="24"/>
        </w:rPr>
        <w:t xml:space="preserve">Implementation science offers frameworks to operationalize this process. For instance, community-based models such as hypertension management programs in barbershops and churches have demonstrated striking improvements in blood pressure control (68% vs. 11% with </w:t>
      </w:r>
      <w:r w:rsidRPr="006B38ED">
        <w:rPr>
          <w:rFonts w:ascii="Times New Roman" w:eastAsia="Times New Roman" w:hAnsi="Times New Roman" w:cs="Times New Roman"/>
          <w:sz w:val="24"/>
          <w:szCs w:val="24"/>
        </w:rPr>
        <w:lastRenderedPageBreak/>
        <w:t xml:space="preserve">standard care)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{"citationID":"N8vXOTxh","properties":{"formattedCitation":"(120)","plainCitation":"(120)","noteIndex":0},"citationItems":[{"id":2610,"uris":["http://zotero.org/users/local/KFNpogR5/items/FHUXZCBR"],"itemData":{"id":2610,"type":"webpage","title":"A Cluster-Randomized Trial of Blood-Pressure Reduction in Black Barbershops | New England Journal of Medicine","URL":"https://www.nejm.org/doi/full/10.1056/NEJMoa1717250?utm_source=openevidence","accessed":{"date-parts":[["2025",4,25]]}}}],"schema":"https://github.com/citation-style-language/schema/raw/master/csl-citation.json"}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(12</w:t>
      </w:r>
      <w:r w:rsidR="004272C9">
        <w:rPr>
          <w:rFonts w:ascii="Times New Roman" w:hAnsi="Times New Roman" w:cs="Times New Roman"/>
          <w:sz w:val="24"/>
          <w:szCs w:val="24"/>
        </w:rPr>
        <w:t>4</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These successes underscore the importance of tailoring interventions to local context and culture.</w:t>
      </w:r>
    </w:p>
    <w:p w14:paraId="7CC2E92E" w14:textId="0673C0D0" w:rsidR="00C76776" w:rsidRPr="006B38ED" w:rsidRDefault="00C76776" w:rsidP="006B38ED">
      <w:pPr>
        <w:spacing w:before="240" w:after="240"/>
        <w:jc w:val="both"/>
        <w:rPr>
          <w:rFonts w:ascii="Times New Roman" w:eastAsia="Times New Roman" w:hAnsi="Times New Roman" w:cs="Times New Roman"/>
          <w:sz w:val="24"/>
          <w:szCs w:val="24"/>
        </w:rPr>
      </w:pPr>
      <w:r w:rsidRPr="006B38ED">
        <w:rPr>
          <w:rFonts w:ascii="Times New Roman" w:eastAsia="Times New Roman" w:hAnsi="Times New Roman" w:cs="Times New Roman"/>
          <w:sz w:val="24"/>
          <w:szCs w:val="24"/>
        </w:rPr>
        <w:t xml:space="preserve">Simultaneously, de-implementation of low-value care is critical to advancing equity. Singh et al analyzed over 450 studies and 186 unique quality improvement (QI) interventions targeting CVD. While patient support programs used in 68.2% of interventions had mixed effects on clinical outcomes, they consistently improved education and satisfaction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{"citationID":"p83Ftegr","properties":{"formattedCitation":"(121)","plainCitation":"(121)","noteIndex":0},"citationItems":[{"id":2612,"uris":["http://zotero.org/users/local/KFNpogR5/items/4IGJELE5"],"itemData":{"id":2612,"type":"article-journal","abstract":"Clinical care quality improvement (QI) strategies are critical to prevent and control cardiovascular disease (CVD). However, there is limited evidence regarding which components of the health system–, clinician-, and patient-based QI strategies contribute to their impact on CVD.To identify, map, and organize evidence on the effectiveness and implementation of cardiovascular QI strategies that seek to improve outcomes in patients with CVD.Eight electronic databases (MEDLINE, EMBASE, CINAHL, PsycINFO, the Cochrane Library, ProQuest, ClinicalTrials.gov, and the World Health Organization International Clinical Trials Registry Platform) were searched for studies published between January 1, 2009, and October 25, 2019. Eligible study designs included randomized trials and preintervention and postintervention evaluations. Descriptive findings of included studies were reported using several frameworks to map the intervention components stratified by target population, setting, outcomes, and overall results.From 8066 screened titles and abstracts, 456 unique studies with 150 148 unique patients (38.1% women and 61.9% men; mean [SD] age, 64.6 [7.1] years) were identified, including 427 randomized trials, 21 quasi-randomized studies, and 8 preintervention and postintervention studies. Of 336 studies from 45 countries that were classified, 255 (75.9%) were from high-income countries; 68 (20.2%), upper-middle–income countries; 13 (3.9%), lower-middle–income countries; and 0, low-income countries, with diverse clinical settings and target patient populations (post–myocardial infarction, stroke, heart failure). Patient support (311 studies), information communication technology (ICT) for health (78 studies), community support (18 studies), supervision (15 studies), and high-intensity training (14 studies) were the most commonly evaluated QI strategies. Other strategies were group problem-solving (7 studies), printed information (5 studies), strengthening infrastructure (4 studies), and financial incentives (3 studies). Patient support, ICT for health, training, and community support were strategies that had been evaluated the most for clinical end points and showed modest associations with several clinical outcomes. The other strategies did not have outcome-driven evaluations reported. Group problem-solving was associated with improved patient self-care and quality of life. Strengthening infrastructure was associated with improved treatment satisfaction. Printed information and financial incentives showed no meaningful effect.This systematic review found that substantial variations exist in the types, effectiveness, and implementation of QI strategies for patients with CVD. A comprehensive map of QI strategies created by this study would be useful for researchers to identify where new knowledge is needed to improve cardiovascular outcomes. Outcome-driven evaluations and long-term studies are needed, particularly in low-income settings, to better understand the effects of QI strategies on prevention and control of CVD.","container-title":"JAMA Network Open","DOI":"10.1001/jamanetworkopen.2021.13375","ISSN":"2574-3805","issue":"6","journalAbbreviation":"JAMA Network Open","page":"e2113375","source":"Silverchair","title":"Assessment of Studies of Quality Improvement Strategies to Enhance Outcomes in Patients With Cardiovascular Disease","volume":"4","author":[{"family":"Singh","given":"Kavita"},{"family":"Bawa","given":"Vidit Singh"},{"family":"Venkateshmurthy","given":"Nikhil Srinivasapura"},{"family":"Gandral","given":"Mareesha"},{"family":"Sharma","given":"Shuchita"},{"family":"Lodhi","given":"Sugandha"},{"family":"Wafford","given":"Q. Eileen"},{"family":"Patel","given":"Shivani A."},{"family":"Tandon","given":"Nikhil"},{"family":"Narayan","given":"K. M. Venkat"},{"family":"Prabhakaran","given":"Dorairaj"},{"family":"Huffman","given":"Mark D."}],"issued":{"date-parts":[["2021",6,14]]}}}],"schema":"https://github.com/citation-style-language/schema/raw/master/csl-citation.json"}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(12</w:t>
      </w:r>
      <w:r w:rsidR="004272C9">
        <w:rPr>
          <w:rFonts w:ascii="Times New Roman" w:hAnsi="Times New Roman" w:cs="Times New Roman"/>
          <w:sz w:val="24"/>
          <w:szCs w:val="24"/>
        </w:rPr>
        <w:t>5</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w:t>
      </w:r>
    </w:p>
    <w:p w14:paraId="5C787A54" w14:textId="3E90D0D1" w:rsidR="00C76776" w:rsidRPr="006B38ED" w:rsidRDefault="00C76776" w:rsidP="006B38ED">
      <w:pPr>
        <w:spacing w:before="240" w:after="240"/>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sz w:val="24"/>
          <w:szCs w:val="24"/>
        </w:rPr>
        <w:t>Community-based programs among other strategies show promise in reducing major adverse cardiovascular events (MACE)</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{"citationID":"dJUhdXM1","properties":{"formattedCitation":"(119)","plainCitation":"(119)","noteIndex":0},"citationItems":[{"id":2608,"uris":["http://zotero.org/users/local/KFNpogR5/items/D8GCTCGS"],"itemData":{"id":2608,"type":"article-journal","abstract":"Reducing cardiovascular disease disparities will require a concerted, focused effort to better adopt evidence-based interventions, in particular, those that address social determinants of health, in historically marginalized populations (ie, communities excluded on the basis of social identifiers like race, ethnicity, and social class and subject to inequitable distribution of social, economic, physical, and psychological resources). Implementation science is centered around stakeholder engagement and, by virtue of its reliance on theoretical frameworks, is custom built for addressing research-to-practice gaps. However, little guidance exists for how best to leverage implementation science to promote cardiovascular health equity. This American Heart Association scientific statement was commissioned to define implementation science with a cardiovascular health equity lens and to evaluate implementation research that targets cardiovascular inequities. We provide a 4-step roadmap and checklist with critical equity considerations for selecting/adapting evidence-based practices, assessing barriers and facilitators to implementation, selecting/using/adapting implementation strategies, and evaluating implementation success. Informed by our roadmap, we examine several organizational, community, policy, and multisetting interventions and implementation strategies developed to reduce cardiovascular disparities. We highlight gaps in implementation science research to date aimed at achieving cardiovascular health equity, including lack of stakeholder engagement, rigorous mixed methods, and equity-informed theoretical frameworks. We provide several key suggestions, including the need for improved conceptualization and inclusion of social and structural determinants of health in implementation science, and the use of adaptive, hybrid effectiveness designs. In addition, we call for more rigorous examination of multilevel interventions and implementation strategies with the greatest potential for reducing both primary and secondary cardiovascular disparities.","container-title":"Circulation","DOI":"10.1161/CIR.0000000000001096","issue":"19","note":"publisher: American Heart Association","page":"e260-e278","source":"ahajournals.org (Atypon)","title":"Leveraging Implementation Science for Cardiovascular Health Equity: A Scientific Statement From the American Heart Association","title-short":"Leveraging Implementation Science for Cardiovascular Health Equity","volume":"146","author":[{"family":"Moise","given":"Nathalie"},{"family":"Cené","given":"Crystal W."},{"family":"Tabak","given":"Rachel G."},{"family":"Young","given":"Deborah R."},{"family":"Mills","given":"Katherine T."},{"family":"Essien","given":"Utibe R."},{"family":"Anderson","given":"Cheryl A.M."},{"family":"Lopez-Jimenez","given":"Francisco"},{"literal":"on behalf of the American Heart Association Council on Epidemiology and Prevention; Council on Hypertension; and Stroke Council"}],"issued":{"date-parts":[["2022",11,8]]}}}],"schema":"https://github.com/citation-style-language/schema/raw/master/csl-citation.json"}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w:t>
      </w:r>
      <w:r w:rsidR="004272C9">
        <w:rPr>
          <w:rFonts w:ascii="Times New Roman" w:hAnsi="Times New Roman" w:cs="Times New Roman"/>
          <w:sz w:val="24"/>
          <w:szCs w:val="24"/>
        </w:rPr>
        <w:t>23</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Technology-enabled interventions, including telehealth, digital monitoring, and wearables have been shown to reduced hospitalizations and improved cholesterol and medication adherence. However, results for blood pressure control were inconsistent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{"citationID":"o262EGfT","properties":{"formattedCitation":"(119)","plainCitation":"(119)","noteIndex":0},"citationItems":[{"id":2608,"uris":["http://zotero.org/users/local/KFNpogR5/items/D8GCTCGS"],"itemData":{"id":2608,"type":"article-journal","abstract":"Reducing cardiovascular disease disparities will require a concerted, focused effort to better adopt evidence-based interventions, in particular, those that address social determinants of health, in historically marginalized populations (ie, communities excluded on the basis of social identifiers like race, ethnicity, and social class and subject to inequitable distribution of social, economic, physical, and psychological resources). Implementation science is centered around stakeholder engagement and, by virtue of its reliance on theoretical frameworks, is custom built for addressing research-to-practice gaps. However, little guidance exists for how best to leverage implementation science to promote cardiovascular health equity. This American Heart Association scientific statement was commissioned to define implementation science with a cardiovascular health equity lens and to evaluate implementation research that targets cardiovascular inequities. We provide a 4-step roadmap and checklist with critical equity considerations for selecting/adapting evidence-based practices, assessing barriers and facilitators to implementation, selecting/using/adapting implementation strategies, and evaluating implementation success. Informed by our roadmap, we examine several organizational, community, policy, and multisetting interventions and implementation strategies developed to reduce cardiovascular disparities. We highlight gaps in implementation science research to date aimed at achieving cardiovascular health equity, including lack of stakeholder engagement, rigorous mixed methods, and equity-informed theoretical frameworks. We provide several key suggestions, including the need for improved conceptualization and inclusion of social and structural determinants of health in implementation science, and the use of adaptive, hybrid effectiveness designs. In addition, we call for more rigorous examination of multilevel interventions and implementation strategies with the greatest potential for reducing both primary and secondary cardiovascular disparities.","container-title":"Circulation","DOI":"10.1161/CIR.0000000000001096","issue":"19","note":"publisher: American Heart Association","page":"e260-e278","source":"ahajournals.org (Atypon)","title":"Leveraging Implementation Science for Cardiovascular Health Equity: A Scientific Statement From the American Heart Association","title-short":"Leveraging Implementation Science for Cardiovascular Health Equity","volume":"146","author":[{"family":"Moise","given":"Nathalie"},{"family":"Cené","given":"Crystal W."},{"family":"Tabak","given":"Rachel G."},{"family":"Young","given":"Deborah R."},{"family":"Mills","given":"Katherine T."},{"family":"Essien","given":"Utibe R."},{"family":"Anderson","given":"Cheryl A.M."},{"family":"Lopez-Jimenez","given":"Francisco"},{"literal":"on behalf of the American Heart Association Council on Epidemiology and Prevention; Council on Hypertension; and Stroke Council"}],"issued":{"date-parts":[["2022",11,8]]}}}],"schema":"https://github.com/citation-style-language/schema/raw/master/csl-citation.json"}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w:t>
      </w:r>
      <w:r w:rsidR="004272C9">
        <w:rPr>
          <w:rFonts w:ascii="Times New Roman" w:hAnsi="Times New Roman" w:cs="Times New Roman"/>
          <w:sz w:val="24"/>
          <w:szCs w:val="24"/>
        </w:rPr>
        <w:t>23</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High-intensity provider training emerged as a practical approach to enhance clinical guideline adherence, emphasizing the role of workforce education in equitable implementation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{"citationID":"2Nrf7peX","properties":{"formattedCitation":"(119)","plainCitation":"(119)","noteIndex":0},"citationItems":[{"id":2608,"uris":["http://zotero.org/users/local/KFNpogR5/items/D8GCTCGS"],"itemData":{"id":2608,"type":"article-journal","abstract":"Reducing cardiovascular disease disparities will require a concerted, focused effort to better adopt evidence-based interventions, in particular, those that address social determinants of health, in historically marginalized populations (ie, communities excluded on the basis of social identifiers like race, ethnicity, and social class and subject to inequitable distribution of social, economic, physical, and psychological resources). Implementation science is centered around stakeholder engagement and, by virtue of its reliance on theoretical frameworks, is custom built for addressing research-to-practice gaps. However, little guidance exists for how best to leverage implementation science to promote cardiovascular health equity. This American Heart Association scientific statement was commissioned to define implementation science with a cardiovascular health equity lens and to evaluate implementation research that targets cardiovascular inequities. We provide a 4-step roadmap and checklist with critical equity considerations for selecting/adapting evidence-based practices, assessing barriers and facilitators to implementation, selecting/using/adapting implementation strategies, and evaluating implementation success. Informed by our roadmap, we examine several organizational, community, policy, and multisetting interventions and implementation strategies developed to reduce cardiovascular disparities. We highlight gaps in implementation science research to date aimed at achieving cardiovascular health equity, including lack of stakeholder engagement, rigorous mixed methods, and equity-informed theoretical frameworks. We provide several key suggestions, including the need for improved conceptualization and inclusion of social and structural determinants of health in implementation science, and the use of adaptive, hybrid effectiveness designs. In addition, we call for more rigorous examination of multilevel interventions and implementation strategies with the greatest potential for reducing both primary and secondary cardiovascular disparities.","container-title":"Circulation","DOI":"10.1161/CIR.0000000000001096","issue":"19","note":"publisher: American Heart Association","page":"e260-e278","source":"ahajournals.org (Atypon)","title":"Leveraging Implementation Science for Cardiovascular Health Equity: A Scientific Statement From the American Heart Association","title-short":"Leveraging Implementation Science for Cardiovascular Health Equity","volume":"146","author":[{"family":"Moise","given":"Nathalie"},{"family":"Cené","given":"Crystal W."},{"family":"Tabak","given":"Rachel G."},{"family":"Young","given":"Deborah R."},{"family":"Mills","given":"Katherine T."},{"family":"Essien","given":"Utibe R."},{"family":"Anderson","given":"Cheryl A.M."},{"family":"Lopez-Jimenez","given":"Francisco"},{"literal":"on behalf of the American Heart Association Council on Epidemiology and Prevention; Council on Hypertension; and Stroke Council"}],"issued":{"date-parts":[["2022",11,8]]}}}],"schema":"https://github.com/citation-style-language/schema/raw/master/csl-citation.json"}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w:t>
      </w:r>
      <w:r w:rsidR="004272C9">
        <w:rPr>
          <w:rFonts w:ascii="Times New Roman" w:hAnsi="Times New Roman" w:cs="Times New Roman"/>
          <w:sz w:val="24"/>
          <w:szCs w:val="24"/>
        </w:rPr>
        <w:t>23</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p>
    <w:p w14:paraId="14F9C2A8" w14:textId="77777777" w:rsidR="00C76776" w:rsidRPr="006B38ED" w:rsidRDefault="00C76776" w:rsidP="006B38ED">
      <w:pPr>
        <w:spacing w:before="280"/>
        <w:jc w:val="both"/>
        <w:rPr>
          <w:rFonts w:ascii="Times New Roman" w:eastAsia="Times New Roman" w:hAnsi="Times New Roman" w:cs="Times New Roman"/>
          <w:b/>
          <w:bCs/>
          <w:sz w:val="24"/>
          <w:szCs w:val="24"/>
        </w:rPr>
      </w:pPr>
      <w:r w:rsidRPr="006B38ED">
        <w:rPr>
          <w:rFonts w:ascii="Times New Roman" w:eastAsia="Times New Roman" w:hAnsi="Times New Roman" w:cs="Times New Roman"/>
          <w:b/>
          <w:bCs/>
          <w:sz w:val="24"/>
          <w:szCs w:val="24"/>
        </w:rPr>
        <w:t>Embedding Equity: Structural, Systemic, and Community-Level Solutions</w:t>
      </w:r>
    </w:p>
    <w:p w14:paraId="4CAD6E36" w14:textId="77777777" w:rsidR="00C76776" w:rsidRPr="006B38ED" w:rsidRDefault="00C76776" w:rsidP="006B38ED">
      <w:pPr>
        <w:spacing w:before="240" w:after="240"/>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sz w:val="24"/>
          <w:szCs w:val="24"/>
        </w:rPr>
        <w:t>Achieving sustainable change in cardiovascular health requires confronting the structural and systemic drivers of inequity. This begins with diversifying the cardiology workforce to improve representation and foster cultural concordance between providers and patients. Integrating SDOH into routine clinical care is crucial for addressing the upstream causes of CVD, including housing instability, food insecurity, and environmental exposures. Expanding culturally tailored, community-based programs can extend the reach and effectiveness of high-value interventions, especially in underserved populations. Ultimately, policy reforms and increased investment in preventive care are crucial to closing persistent gaps in healthcare coverage and access, thereby ensuring that equitable cardiovascular care becomes a reality for all.</w:t>
      </w:r>
    </w:p>
    <w:p w14:paraId="3469FCE3" w14:textId="42EF1376" w:rsidR="00C76776" w:rsidRPr="006B38ED" w:rsidRDefault="00C76776" w:rsidP="006B38ED">
      <w:pPr>
        <w:spacing w:before="240" w:after="240"/>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sz w:val="24"/>
          <w:szCs w:val="24"/>
        </w:rPr>
        <w:t xml:space="preserve">Clinical trial diversity remains a foundational issue to be addressed </w:t>
      </w:r>
      <w:proofErr w:type="gramStart"/>
      <w:r w:rsidRPr="006B38ED">
        <w:rPr>
          <w:rFonts w:ascii="Times New Roman" w:eastAsia="Times New Roman" w:hAnsi="Times New Roman" w:cs="Times New Roman"/>
          <w:sz w:val="24"/>
          <w:szCs w:val="24"/>
        </w:rPr>
        <w:t>in order to</w:t>
      </w:r>
      <w:proofErr w:type="gramEnd"/>
      <w:r w:rsidRPr="006B38ED">
        <w:rPr>
          <w:rFonts w:ascii="Times New Roman" w:eastAsia="Times New Roman" w:hAnsi="Times New Roman" w:cs="Times New Roman"/>
          <w:sz w:val="24"/>
          <w:szCs w:val="24"/>
        </w:rPr>
        <w:t xml:space="preserve"> ensure novel therapies benefit all populations. Equity must also be woven into professional education. Embedding training on cultural competence, implicit bias, and structural determinants of health within medical curricula is essential to shifting practice norms and reducing disparities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{"citationID":"OgguLzCG","properties":{"formattedCitation":"(122)","plainCitation":"(122)","noteIndex":0},"citationItems":[{"id":2617,"uris":["http://zotero.org/users/local/KFNpogR5/items/FKQXLDWG"],"itemData":{"id":2617,"type":"article-journal","container-title":"JACC: Advances","DOI":"10.1016/j.jacadv.2024.101050","issue":"7_Part_2","note":"publisher: American College of Cardiology Foundation","page":"101050","source":"jacc.org (Atypon)","title":"Achieving Equitable Cardiovascular Care for All","volume":"3","author":[{"family":"Douglass","given":"Paul L."},{"family":"Itchhaporia","given":"Dipti"},{"family":"Bozkurt","given":"Biykem"},{"family":"Roswell","given":"Robert O."},{"family":"Khandelwal","given":"Akshay"},{"family":"Capers","given":"Quinn"},{"family":"Berlacher","given":"Kathryn"},{"family":"Ogunniyi","given":"Modele O."},{"family":"Bailey","given":"Alison L."},{"family":"Levy","given":"Phillip D."},{"family":"Grant","given":"Aubrey J."},{"family":"Tocco","given":"Jack"},{"family":"Natcheva","given":"Angela"},{"family":"Asare","given":"Akua G."},{"family":"Bhatt","given":"Ami B."},{"family":"Mieres","given":"Jennifer H."},{"family":"Disch","given":"Maghee F."},{"family":"Echols","given":"Melvin R."}],"issued":{"date-parts":[["2024",7]]}}}],"schema":"https://github.com/citation-style-language/schema/raw/master/csl-citation.json"}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(12</w:t>
      </w:r>
      <w:r w:rsidR="004272C9">
        <w:rPr>
          <w:rFonts w:ascii="Times New Roman" w:hAnsi="Times New Roman" w:cs="Times New Roman"/>
          <w:sz w:val="24"/>
          <w:szCs w:val="24"/>
        </w:rPr>
        <w:t>6</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w:t>
      </w:r>
    </w:p>
    <w:p w14:paraId="61176030" w14:textId="77777777" w:rsidR="00C76776" w:rsidRPr="006B38ED" w:rsidRDefault="00C76776" w:rsidP="006B38ED">
      <w:pPr>
        <w:spacing w:before="240" w:after="240"/>
        <w:jc w:val="both"/>
        <w:rPr>
          <w:rFonts w:ascii="Times New Roman" w:eastAsia="Times New Roman" w:hAnsi="Times New Roman" w:cs="Times New Roman"/>
          <w:sz w:val="24"/>
          <w:szCs w:val="24"/>
        </w:rPr>
      </w:pPr>
      <w:r w:rsidRPr="006B38ED">
        <w:rPr>
          <w:rFonts w:ascii="Times New Roman" w:eastAsia="Times New Roman" w:hAnsi="Times New Roman" w:cs="Times New Roman"/>
          <w:sz w:val="24"/>
          <w:szCs w:val="24"/>
        </w:rPr>
        <w:t>Equitable implementation must extend beyond traditional clinical settings. Innovative strategies such as health fairs, mobile clinics, and local partnerships help anchor care in community needs rather than academic or institutional priorities. Accurate equity requires more than implementation; it demands co-creation with those most affected by disparities.</w:t>
      </w:r>
    </w:p>
    <w:p w14:paraId="58D1F577" w14:textId="3470DE93" w:rsidR="00C76776" w:rsidRPr="006B38ED" w:rsidRDefault="00C76776" w:rsidP="006B38ED">
      <w:pPr>
        <w:spacing w:before="240" w:after="240"/>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b/>
          <w:bCs/>
          <w:sz w:val="24"/>
          <w:szCs w:val="24"/>
          <w:lang w:val="en-US"/>
        </w:rPr>
        <w:t>Addressing Barriers to Implementing Evidence-Based Practices (EBPs)</w:t>
      </w:r>
      <w:r w:rsidRPr="006B38ED">
        <w:rPr>
          <w:rFonts w:ascii="Times New Roman" w:hAnsi="Times New Roman" w:cs="Times New Roman"/>
          <w:sz w:val="24"/>
          <w:szCs w:val="24"/>
        </w:rPr>
        <w:br/>
      </w:r>
      <w:r w:rsidRPr="006B38ED">
        <w:rPr>
          <w:rFonts w:ascii="Times New Roman" w:eastAsia="Times New Roman" w:hAnsi="Times New Roman" w:cs="Times New Roman"/>
          <w:sz w:val="24"/>
          <w:szCs w:val="24"/>
        </w:rPr>
        <w:t>Historically marginalized populations frequently face structural barriers, such as food insecurity, unstable housing, and limited access to quality healthcare, that diminish the uptake and effectiveness of evidence-based cardiovascular interventions</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{"citationID":"RokPWPUK","properties":{"formattedCitation":"(123)","plainCitation":"(123)","noteIndex":0},"citationItems":[{"id":2619,"uris":["http://zotero.org/users/local/KFNpogR5/items/RCJJTJ9U"],"itemData":{"id":2619,"type":"article-journal","abstract":"Purpose: Cardiovascular disease disproportionately affects historically marginalized populations in the United States. This study explored disparities in cardiovascular health outcomes, social determinants of health, and health-promoting behaviors across racial and ethnic groups.Methods: Using data from the 2019 Behavioral Risk Factor Surveillance System, we conducted a descriptive analysis of cardiovascular conditions and diabetes, social determinants of health, and health-promoting behaviors across eight racial/ethnic categories.Results: Historically marginalized groups had higher rates of cardiovascular conditions and greater barriers to health care access. However, these groups often demonstrated equal or higher rates of engagement in health-promoting behaviors compared with White adults. For example, Black adults had the highest hypertension prevalence (41%) despite having the highest rates of blood pressure management behaviors.Discussion: The persistence of health disparities despite equivalent health-promoting behaviors suggests a significant influence of structural factors like racism. Critical examination using Quantitative Critical Theory revealed potential biases in measurement tools and data categorization that may perpetuate inequities.Health Equity Implications: Findings underscore the need for equity-focused research approaches that explicitly address structural racism. Future studies should prioritize culturally relevant measures, clinically meaningful outcomes, and active involvement of researchers from marginalized communities to advance cardiovascular health equity.","container-title":"Health Equity","DOI":"10.1089/heq.2023.0203","issue":"1","note":"publisher: Mary Ann Liebert, Inc., publishers","page":"707-719","source":"liebertpub.com (Atypon)","title":"Cardiovascular Outcomes, Health-Promoting Behaviors, and Social Determinants: Structural Racism and the Behavioral Risk Factor Surveillance System","title-short":"Cardiovascular Outcomes, Health-Promoting Behaviors, and Social Determinants","volume":"8","author":[{"family":"Schwartz","given":"Jaclyn K."},{"family":"Kringle","given":"Emily A."},{"family":"Burns","given":"Suzanne Perea"},{"family":"Hoyt","given":"Catherine R."},{"family":"Harris","given":"Kelly M."},{"family":"Tayeb","given":"Sami"}],"issued":{"date-parts":[["2024",12]]}}}],"schema":"https://github.com/citation-style-language/schema/raw/master/csl-citation.json"}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(12</w:t>
      </w:r>
      <w:r w:rsidR="004272C9">
        <w:rPr>
          <w:rFonts w:ascii="Times New Roman" w:hAnsi="Times New Roman" w:cs="Times New Roman"/>
          <w:sz w:val="24"/>
          <w:szCs w:val="24"/>
        </w:rPr>
        <w:t>7</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Implementation science </w:t>
      </w:r>
      <w:r w:rsidRPr="006B38ED">
        <w:rPr>
          <w:rFonts w:ascii="Times New Roman" w:eastAsia="Times New Roman" w:hAnsi="Times New Roman" w:cs="Times New Roman"/>
          <w:sz w:val="24"/>
          <w:szCs w:val="24"/>
        </w:rPr>
        <w:lastRenderedPageBreak/>
        <w:t xml:space="preserve">provides tools to mitigate these challenges by systematically incorporating input from key stakeholders, including patients, clinicians, community leaders, and policymakers. This inclusive approach ensures that context-specific barriers are identified and addressed at the outset. Frameworks such as the Consolidated Framework for Implementation Research (CFIR) and RE-AIM (Reach, Effectiveness, Adoption, Implementation, Maintenance) facilitate a structured evaluation of interventions, particularly across diverse populations and healthcare settings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cuXQdRPM","properties":{"formattedCitation":"(124,125)","plainCitation":"(124,125)","noteIndex":0},"citationItems":[{"id":2624,"uris":["http://zotero.org/users/local/KFNpogR5/items/4B87JK89"],"itemData":{"id":2624,"type":"article-journal","abstract":"Background\nRE-AIM is one of the most widely applied frameworks to plan and evaluate the implementation of public health and health behavior change interventions. The objective of this review is to provide an updated synthesis of use of the RE-AIM (Reach Effectiveness Adoption Implementation and Maintenance) planning and evaluation framework and explore pragmatic use (i.e., partial application of the framework) and how this is reported.\n\nMethods\nSystematic review. MEDLINE (R) and PsycINFO were searched, via the Ovid interface, between January 2011 and December 2017. Studies that applied RE-AIM as a planning and/or evaluation framework were included.\n\nResults\nOne hundred fifty-seven articles met inclusion criteria. One hundred forty-nine reported using RE-AIM for evaluation, three for planning and five for planning and evaluation. Reach was the most frequently reported dimension (92.9%), followed by implementation (90.3%), adoption (89.7%), effectiveness (84.5%), and maintenance (77.4%). One hundred forty-seven/one hundred fifty-seven articles originated from high-income economy countries. Within a sub-set analysis (10% of included articles), 9/15 articles evaluated all dimensions. Of the 6/15 articles that did not evaluate all dimensions, five provided no justification for pragmatic application.\n\nConclusions\nRE-AIM has gained increased use in recent years and there is evidence that it is being applied pragmatically. However, the rationale for pragmatic use is often not reported.\n\nSystematic Review Registration\nPROSPERO (CRD42017054616).","container-title":"Frontiers in Public Health","DOI":"10.3389/fpubh.2021.755738","ISSN":"2296-2565","journalAbbreviation":"Front. Public Health","language":"English","note":"publisher: Frontiers","source":"Frontiers","title":"Evaluating the Application of the RE-AIM Planning and Evaluation Framework: An Updated Systematic Review and Exploration of Pragmatic Application","title-short":"Evaluating the Application of the RE-AIM Planning and Evaluation Framework","URL":"https://www.frontiersin.orghttps://www.frontiersin.org/journals/public-health/articles/10.3389/fpubh.2021.755738/full","volume":"9","author":[{"family":"D'Lima","given":"Danielle"},{"family":"Soukup","given":"Tayana"},{"family":"Hull","given":"Louise"}],"accessed":{"date-parts":[["2025",4,25]]},"issued":{"date-parts":[["2022",1,26]]}}},{"id":2621,"uris":["http://zotero.org/users/local/KFNpogR5/items/CSFTLCEP"],"itemData":{"id":2621,"type":"article-journal","abstract":"INTRODUCTION: The Consolidated Framework for Implementation Research (CFIR) is a commonly used implementation science framework to facilitate design, evaluation, and implementation of evidence-based interventions. Its comprehensiveness is an asset for considering facilitators and barriers to implementation and also makes the framework cumbersome to use. We describe adaptations we made to CFIR to simplify its pragmatic application, for use in a learning health system context, in the evaluation of a complex patient-centered care transformation.\nMETHODS: We conducted a qualitative study and structured our evaluation questions, data collection methods, analysis, and reporting around CFIR. We collected qualitative data via semi-structured interviews and observations with key stakeholders throughout. We identified and documented adaptations to CFIR throughout the evaluation process.\nRESULTS: We analyzed semi-structured interviews with key stakeholders (n = 23) from clinical observations (n = 5). We made three key adaptations to CFIR: (a) promoted \"patient needs and resources,\" a subconstruct of the outer setting, to its own domain within CFIR during data analysis; (b) divided the \"inner setting\" domain into three layers that account for the hierarchy of health care systems (i. pilot clinic, ii. peer clinics, and iii. overarching health care system); and (c) tailored several construct definitions to fit a patient-centered, primary care setting. Analysis yielded qualitative findings concentrated in the CFIR domains \"intervention characteristics\" and \"outer setting,\" with a robust number of findings in the new domain \"patient needs and resources.\"\nCONCLUSIONS: To make CFIR more accessible and relevant for wider use in the context of patient-centered care transformations within a learning health system, a few adaptations are key. Specifically, we found success by teasing apart interactions across the inner layers of a health system, tailoring construct definitions, and placing additional focus on patient needs.","container-title":"Learning Health Systems","DOI":"10.1002/lrh2.10201","ISSN":"2379-6146","issue":"1","journalAbbreviation":"Learn Health Syst","language":"eng","note":"PMID: 31989028\nPMCID: PMC6971122","page":"e10201","source":"PubMed","title":"CFIR simplified: Pragmatic application of and adaptations to the Consolidated Framework for Implementation Research (CFIR) for evaluation of a patient-centered care transformation within a learning health system","title-short":"CFIR simplified","volume":"4","author":[{"family":"Safaeinili","given":"Nadia"},{"family":"Brown-Johnson","given":"Cati"},{"family":"Shaw","given":"Jonathan G."},{"family":"Mahoney","given":"Megan"},{"family":"Winget","given":"Marcy"}],"issued":{"date-parts":[["2020"]]}}}],"schema":"https://github.com/citation-style-language/schema/raw/master/csl-citation.json"}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(12</w:t>
      </w:r>
      <w:r w:rsidR="007E0B39">
        <w:rPr>
          <w:rFonts w:ascii="Times New Roman" w:hAnsi="Times New Roman" w:cs="Times New Roman"/>
          <w:sz w:val="24"/>
          <w:szCs w:val="24"/>
        </w:rPr>
        <w:t>8</w:t>
      </w:r>
      <w:r w:rsidRPr="006B38ED">
        <w:rPr>
          <w:rFonts w:ascii="Times New Roman" w:hAnsi="Times New Roman" w:cs="Times New Roman"/>
          <w:sz w:val="24"/>
          <w:szCs w:val="24"/>
        </w:rPr>
        <w:t>,12</w:t>
      </w:r>
      <w:r w:rsidR="007E0B39">
        <w:rPr>
          <w:rFonts w:ascii="Times New Roman" w:hAnsi="Times New Roman" w:cs="Times New Roman"/>
          <w:sz w:val="24"/>
          <w:szCs w:val="24"/>
        </w:rPr>
        <w:t>9</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As described by Moise et al, implementation challenges vary depending on the intervention level, whether community-based, healthcare system-wide, or policy-oriented, and often mirror deeper social determinants of health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{"citationID":"SKzaGm6d","properties":{"formattedCitation":"(119)","plainCitation":"(119)","noteIndex":0},"citationItems":[{"id":2608,"uris":["http://zotero.org/users/local/KFNpogR5/items/D8GCTCGS"],"itemData":{"id":2608,"type":"article-journal","abstract":"Reducing cardiovascular disease disparities will require a concerted, focused effort to better adopt evidence-based interventions, in particular, those that address social determinants of health, in historically marginalized populations (ie, communities excluded on the basis of social identifiers like race, ethnicity, and social class and subject to inequitable distribution of social, economic, physical, and psychological resources). Implementation science is centered around stakeholder engagement and, by virtue of its reliance on theoretical frameworks, is custom built for addressing research-to-practice gaps. However, little guidance exists for how best to leverage implementation science to promote cardiovascular health equity. This American Heart Association scientific statement was commissioned to define implementation science with a cardiovascular health equity lens and to evaluate implementation research that targets cardiovascular inequities. We provide a 4-step roadmap and checklist with critical equity considerations for selecting/adapting evidence-based practices, assessing barriers and facilitators to implementation, selecting/using/adapting implementation strategies, and evaluating implementation success. Informed by our roadmap, we examine several organizational, community, policy, and multisetting interventions and implementation strategies developed to reduce cardiovascular disparities. We highlight gaps in implementation science research to date aimed at achieving cardiovascular health equity, including lack of stakeholder engagement, rigorous mixed methods, and equity-informed theoretical frameworks. We provide several key suggestions, including the need for improved conceptualization and inclusion of social and structural determinants of health in implementation science, and the use of adaptive, hybrid effectiveness designs. In addition, we call for more rigorous examination of multilevel interventions and implementation strategies with the greatest potential for reducing both primary and secondary cardiovascular disparities.","container-title":"Circulation","DOI":"10.1161/CIR.0000000000001096","issue":"19","note":"publisher: American Heart Association","page":"e260-e278","source":"ahajournals.org (Atypon)","title":"Leveraging Implementation Science for Cardiovascular Health Equity: A Scientific Statement From the American Heart Association","title-short":"Leveraging Implementation Science for Cardiovascular Health Equity","volume":"146","author":[{"family":"Moise","given":"Nathalie"},{"family":"Cené","given":"Crystal W."},{"family":"Tabak","given":"Rachel G."},{"family":"Young","given":"Deborah R."},{"family":"Mills","given":"Katherine T."},{"family":"Essien","given":"Utibe R."},{"family":"Anderson","given":"Cheryl A.M."},{"family":"Lopez-Jimenez","given":"Francisco"},{"literal":"on behalf of the American Heart Association Council on Epidemiology and Prevention; Council on Hypertension; and Stroke Council"}],"issued":{"date-parts":[["2022",11,8]]}}}],"schema":"https://github.com/citation-style-language/schema/raw/master/csl-citation.json"}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w:t>
      </w:r>
      <w:r w:rsidR="007E0B39">
        <w:rPr>
          <w:rFonts w:ascii="Times New Roman" w:hAnsi="Times New Roman" w:cs="Times New Roman"/>
          <w:sz w:val="24"/>
          <w:szCs w:val="24"/>
        </w:rPr>
        <w:t>23</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By centering stakeholder engagement, implementation frameworks ensure that strategies are both equitable and contextually grounded, particularly for populations that have been historically excluded from traditional health interventions.</w:t>
      </w:r>
    </w:p>
    <w:p w14:paraId="09C2C2E1" w14:textId="39FAA199" w:rsidR="00C76776" w:rsidRPr="006B38ED" w:rsidRDefault="00C76776" w:rsidP="006B38ED">
      <w:pPr>
        <w:spacing w:before="240" w:after="240"/>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b/>
          <w:bCs/>
          <w:sz w:val="24"/>
          <w:szCs w:val="24"/>
        </w:rPr>
        <w:t>Selecting and Deploying High-Value Cardiovascular Implementation Strategies</w:t>
      </w:r>
      <w:r w:rsidRPr="006B38ED">
        <w:rPr>
          <w:rFonts w:ascii="Times New Roman" w:hAnsi="Times New Roman" w:cs="Times New Roman"/>
          <w:sz w:val="24"/>
          <w:szCs w:val="24"/>
        </w:rPr>
        <w:br/>
      </w:r>
      <w:r w:rsidRPr="006B38ED">
        <w:rPr>
          <w:rFonts w:ascii="Times New Roman" w:eastAsia="Times New Roman" w:hAnsi="Times New Roman" w:cs="Times New Roman"/>
          <w:sz w:val="24"/>
          <w:szCs w:val="24"/>
        </w:rPr>
        <w:t xml:space="preserve">Improving cardiovascular outcomes and closing disparity gaps requires the adoption of implementation strategies that are not only evidence-based but also culturally and structurally responsive to the populations they aim to serve. Among high-value approaches, population-based dashboards and risk-stratification tools, such as the PREVENT model, stand out as particularly effective. PREVENT offers a race-exempt yet race-conscious framework by incorporating socioeconomic status and geographic location into ASCVD risk prediction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{"citationID":"DD85EqCI","properties":{"formattedCitation":"(126)","plainCitation":"(126)","noteIndex":0},"citationItems":[{"id":2630,"uris":["http://zotero.org/users/local/KFNpogR5/items/3UYSMSJ6"],"itemData":{"id":2630,"type":"article-journal","abstract":"IMPORTANCE: In 2023, the American Heart Association (AHA) developed the Predicting Risk of Cardiovascular Disease Events (PREVENT) equations to estimate 10-year risk of atherosclerotic cardiovascular disease (ASCVD), as an update to the 2013 pooled cohort equations (PCEs). The PREVENT equations were derived from contemporary cohorts and removed race and added variables for kidney function and statin use.\nOBJECTIVE: To compare national estimates of 10-year ASCVD risk using the PCEs and PREVENT equations and how these equations affect recommendations for primary prevention statin therapy.\nDESIGN, SETTING, AND PARTICIPANTS: This cross-sectional study included adults aged 40 to 75 years who participated in the National Health and Nutrition Examination Survey from 2017 to March 2020. Adults were defined as eligible for primary prevention statin use based on the 2019 AHA/American College of Cardiology guideline on the primary prevention of cardiovascular disease. Data were weighted to be nationally representative and were analyzed from December 27, 2023, to January 31, 2024.\nMAIN OUTCOMES AND MEASURES: The 10-year ASCVD risk and eligibility for primary prevention statin therapy based on PREVENT and PCE calculations.\nRESULTS: In the weighted sample of 3785 US adults (mean [SD] age, 55.7 [9.7] years; 52.5% women) without known ASCVD, 20.7% reported current statin use. The mean estimated 10-year ASCVD risk was 8.0% (95% CI, 7.6%-8.4%) using the PCEs and 4.3% (95% CI, 4.1%-4.5%) using the PREVENT equations. Across all age, sex, and racial subgroups, compared with the PCEs, the mean estimated 10-year ASCVD risk was lower using the PREVENT equations, with the largest difference for Black adults (10.9% [95% CI, 10.1%-11.7%] vs 5.1% [95% CI 4.7%-5.4%]) and individuals aged 70 to 75 years (22.8% [95% CI, 21.6%-24.1%] vs 10.2% [95% CI, 9.6%-10.8%]). The use of the PREVENT equations instead of the PCEs could reduce the number of adults meeting criteria for primary prevention statin therapy from 45.4 million (95% CI, 40.3 million-50.4 million) to 28.3 million (95% CI, 25.2 million-31.4 million). In other words, 17.3 million (95% CI, 14.8 million-19.7 million) adults recommended statins based on the PCEs would no longer be recommended statins based on PREVENT equations, including 4.1 million (95% CI, 2.8 million-5.5 million) adults currently taking statins. Based on the PREVENT equations, 44.1% (95% CI, 38.6%-49.5%) of adults eligible for primary prevention statin therapy reported currently taking statins, equating to 15.8 million (95% CI, 13.4 million-18.2 million) individuals eligible for primary prevention statins who reported not taking statins.\nCONCLUSIONS AND RELEVANCE: This cross-sectional study found that use of the PREVENT equations was associated with fewer US adults being eligible for primary prevention statin therapy; however, the majority of adults eligible for receiving such therapy based on PREVENT equations did not report statin use.","container-title":"JAMA internal medicine","DOI":"10.1001/jamainternmed.2024.1302","ISSN":"2168-6114","issue":"8","journalAbbreviation":"JAMA Intern Med","language":"eng","note":"PMID: 38856978\nPMCID: PMC11165411","page":"963-970","source":"PubMed","title":"Atherosclerotic Cardiovascular Disease Risk Estimates Using the Predicting Risk of Cardiovascular Disease Events Equations","volume":"184","author":[{"family":"Anderson","given":"Timothy S."},{"family":"Wilson","given":"Linnea M."},{"family":"Sussman","given":"Jeremy B."}],"issued":{"date-parts":[["2024",8,1]]}}}],"schema":"https://github.com/citation-style-language/schema/raw/master/csl-citation.json"}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w:t>
      </w:r>
      <w:r w:rsidR="007E0B39">
        <w:rPr>
          <w:rFonts w:ascii="Times New Roman" w:hAnsi="Times New Roman" w:cs="Times New Roman"/>
          <w:sz w:val="24"/>
          <w:szCs w:val="24"/>
        </w:rPr>
        <w:t>30</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Preliminary data suggest that these tools improve statin initiation and adherence, while also contributing to reductions in low-density lipoprotein (LDL) cholesterol levels.</w:t>
      </w:r>
    </w:p>
    <w:p w14:paraId="0FBAF3C1" w14:textId="187AC1F4" w:rsidR="00C76776" w:rsidRPr="006B38ED" w:rsidRDefault="00C76776" w:rsidP="006B38ED">
      <w:pPr>
        <w:spacing w:before="240" w:after="240"/>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sz w:val="24"/>
          <w:szCs w:val="24"/>
        </w:rPr>
        <w:t xml:space="preserve">Embedding community health workers (CHWs) into clinical care teams represents another impactful strategy. CHWs have demonstrated success in addressing social determinants of health, increasing patient engagement, and enhancing continuity of care, particularly among marginalized populations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{"citationID":"OjwOTu8U","properties":{"formattedCitation":"(127)","plainCitation":"(127)","noteIndex":0},"citationItems":[{"id":2632,"uris":["http://zotero.org/users/local/KFNpogR5/items/2DQSY2X9"],"itemData":{"id":2632,"type":"article-journal","abstract":"Community health workers (CHWs) have worked in a variety of settings in the United States for more than 70 years and are increasingly recognized as an essential health workforce. CHWs share life experience with the people they serve and have firsthand knowledge of the causes and impacts of health inequity. They provide a critical link between marginalized communities and health care and public health services. Several studies have demonstrated that CHWs can improve the management of chronic conditions, increase access to preventive care, improve patients' experience of care, and reduce health care costs. CHWs can also advance health equity by addressing social needs and advocating for systems and policy change. This review provides a history of CHW integration with health care in the United States; describes evidence of the impact of CHW programs on population health, experience, costs of care, and health equity; and identifies considerations for CHW program expansion.","container-title":"Annual Review of Public Health","DOI":"10.1146/annurev-publhealth-071521-031648","ISSN":"1545-2093","journalAbbreviation":"Annu Rev Public Health","language":"eng","note":"PMID: 37010928","page":"363-381","source":"PubMed","title":"Community Health Worker Integration with and Effectiveness in Health Care and Public Health in the United States","volume":"44","author":[{"family":"Knowles","given":"Molly"},{"family":"Crowley","given":"Aidan P."},{"family":"Vasan","given":"Aditi"},{"family":"Kangovi","given":"Shreya"}],"issued":{"date-parts":[["2023",4,3]]}}}],"schema":"https://github.com/citation-style-language/schema/raw/master/csl-citation.json"}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w:t>
      </w:r>
      <w:r w:rsidR="007E0B39">
        <w:rPr>
          <w:rFonts w:ascii="Times New Roman" w:hAnsi="Times New Roman" w:cs="Times New Roman"/>
          <w:sz w:val="24"/>
          <w:szCs w:val="24"/>
        </w:rPr>
        <w:t>31</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This model has been effectively scaled in systems such as New Mexico’s Medicaid program. Finally, multicomponent interventions combining provider training, team-based care, patient education, and case management consistently produce the most durable improvements in outcomes. To advance equity meaningfully, these strategies must be intentionally tailored to reflect the cultural norms, lived experiences, and structural challenges of the communities they aim to benefit.</w:t>
      </w:r>
    </w:p>
    <w:p w14:paraId="1225E791" w14:textId="49353C68" w:rsidR="00C76776" w:rsidRPr="006B38ED" w:rsidRDefault="00C76776" w:rsidP="006B38ED">
      <w:pPr>
        <w:spacing w:before="240" w:after="240"/>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b/>
          <w:bCs/>
          <w:sz w:val="24"/>
          <w:szCs w:val="24"/>
        </w:rPr>
        <w:t>Selecting and De-Implementing Low-Value Cardiovascular Strategies</w:t>
      </w:r>
      <w:r w:rsidRPr="006B38ED">
        <w:rPr>
          <w:rFonts w:ascii="Times New Roman" w:hAnsi="Times New Roman" w:cs="Times New Roman"/>
          <w:sz w:val="24"/>
          <w:szCs w:val="24"/>
        </w:rPr>
        <w:br/>
      </w:r>
      <w:r w:rsidRPr="006B38ED">
        <w:rPr>
          <w:rFonts w:ascii="Times New Roman" w:eastAsia="Times New Roman" w:hAnsi="Times New Roman" w:cs="Times New Roman"/>
          <w:sz w:val="24"/>
          <w:szCs w:val="24"/>
        </w:rPr>
        <w:t xml:space="preserve">While the adoption of high-value interventions is essential, reducing the use of low-value or harmful practices is equally critical to achieving health equity. Nearly half of U.S. patients receive at least one low-value test or procedure each year, resulting in avoidable harms and financial burdens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{"citationID":"Z1ShPRKG","properties":{"formattedCitation":"(128)","plainCitation":"(128)","noteIndex":0},"citationItems":[{"id":2635,"uris":["http://zotero.org/users/local/KFNpogR5/items/2XB53423"],"itemData":{"id":2635,"type":"article-journal","abstract":"Low-value health care services that provide little or no benefit to patients are common, potentially harmful, and costly. Nearly half of the patients in the United States will receive at least 1 low-value test or procedure annually, creating risk of avoidable complications from subsequent cascades of care and excess costs to patients and society. Reducing low-value care is of particular importance to cardiovascular health given the high prevalence and costs of cardiovascular disease in the United States. This scientific statement describes the current scope and impact of low-value cardiovascular care; reviews existing literature on patient-, clinician-, health system–, payer-, and policy-level interventions to reduce low-value care; proposes solutions to achieve meaningful and equitable reductions in low-value care; and suggests areas for future research priorities.","container-title":"Circulation: Cardiovascular Quality and Outcomes","DOI":"10.1161/HCQ.0000000000000105","issue":"3","note":"publisher: American Heart Association","page":"e000105","source":"ahajournals.org (Atypon)","title":"Strategies to Reduce Low-Value Cardiovascular Care: A Scientific Statement From the American Heart Association","title-short":"Strategies to Reduce Low-Value Cardiovascular Care","volume":"15","author":[{"family":"Kini","given":"Vinay"},{"family":"Breathett","given":"Khadijah"},{"family":"Groeneveld","given":"Peter W."},{"family":"Ho","given":"P. Michael"},{"family":"Nallamothu","given":"Brahmajee K."},{"family":"Peterson","given":"Pamela N."},{"family":"Rush","given":"Pam"},{"family":"Wang","given":"Tracy Y."},{"family":"Zeitler","given":"Emily P."},{"family":"Borden","given":"William B."},{"literal":"on behalf of the American Heart Association Council on Quality of Care and Outcomes Research"}],"issued":{"date-parts":[["2022",3]]}}}],"schema":"https://github.com/citation-style-language/schema/raw/master/csl-citation.json"}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w:t>
      </w:r>
      <w:r w:rsidR="007E0B39">
        <w:rPr>
          <w:rFonts w:ascii="Times New Roman" w:hAnsi="Times New Roman" w:cs="Times New Roman"/>
          <w:sz w:val="24"/>
          <w:szCs w:val="24"/>
        </w:rPr>
        <w:t>32</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For racial and ethnic minorities, this often manifests as a “double jeopardy”—facing both underuse of beneficial services and overuse of ineffective or unnecessary care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{"citationID":"jrs2C38d","properties":{"formattedCitation":"(129)","plainCitation":"(129)","noteIndex":0},"citationItems":[{"id":2637,"uris":["http://zotero.org/users/local/KFNpogR5/items/5XTINKIG"],"itemData":{"id":2637,"type":"article-journal","abstract":"Ensuring equitable access to quality health care historically has focused on gaps in care, where patients fail to receive the high-value care that will benefit them, something termed underuse. But providing high-quality health care sometimes requires reducing low-value care that delivers no benefit or where known harms outweigh expected benefits. These situations represent health care overuse. The process involved in reducing low-value care is known as de-implementation. In this article, we argue that de-implementation is critical for advancing equity for several reasons. First, medical overuse is associated with patient race, ethnicity, and socioeconomic status. In some cases, the result is even double jeopardy, where racial and ethnic minorities are at higher risk of both overuse and underuse. In these cases, more traditional efforts focused exclusively on underuse ignore half of the problem. Second, overuse of preventive care and screening is often greater for more socioeconomically advantaged patients. Within insured populations, this means more socioeconomically disadvantaged patients subsidize overuse. Finally, racial and ethnic minorities may have different experiences of overuse than Whites in the United States. This may make efforts to de-implement overuse particularly fraught. We therefore provide several actions for closing current research gaps, including: adding subgroup analyses in studies of medical overuse; specifying and measuring potential mechanisms related to equity (eg, double jeopardy vs thermostat models of overuse); and testing de-implementation strategies that may mitigate bias.","container-title":"Ethnicity &amp; Disease","DOI":"10.18865/ed.29.S1.93","ISSN":"1945-0826","issue":"Suppl 1","journalAbbreviation":"Ethn Dis","language":"eng","note":"PMID: 30906155\nPMCID: PMC6428172","page":"93-96","source":"PubMed","title":"Promoting Health Equity through De-Implementation Research","volume":"29","author":[{"family":"Helfrich","given":"Christian D."},{"family":"Hartmann","given":"Christine W."},{"family":"Parikh","given":"Toral J."},{"family":"Au","given":"David H."}],"issued":{"date-parts":[["2019"]]}}}],"schema":"https://github.com/citation-style-language/schema/raw/master/csl-citation.json"}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w:t>
      </w:r>
      <w:r w:rsidR="007E0B39">
        <w:rPr>
          <w:rFonts w:ascii="Times New Roman" w:hAnsi="Times New Roman" w:cs="Times New Roman"/>
          <w:sz w:val="24"/>
          <w:szCs w:val="24"/>
        </w:rPr>
        <w:t>33</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De-implementation science addresses this issue by identifying low-value practices, designing interventions to reduce their use, and assessing whether these changes are sustained over time. </w:t>
      </w:r>
      <w:r w:rsidRPr="006B38ED">
        <w:rPr>
          <w:rFonts w:ascii="Times New Roman" w:eastAsia="Times New Roman" w:hAnsi="Times New Roman" w:cs="Times New Roman"/>
          <w:sz w:val="24"/>
          <w:szCs w:val="24"/>
        </w:rPr>
        <w:lastRenderedPageBreak/>
        <w:t>Research suggests that the manifestation of overuse can vary across subpopulations. The “double jeopardy” model highlights how marginalized groups may be disproportionately affected by both inappropriate and insufficient care.</w:t>
      </w:r>
    </w:p>
    <w:p w14:paraId="53315ED8" w14:textId="251CE2A9" w:rsidR="00C76776" w:rsidRPr="006B38ED" w:rsidRDefault="00C76776" w:rsidP="006B38ED">
      <w:pPr>
        <w:spacing w:before="240" w:after="240"/>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sz w:val="24"/>
          <w:szCs w:val="24"/>
        </w:rPr>
        <w:t xml:space="preserve">In contrast, the “thermostat” model posits a uniform downscaling of care, both appropriate and inappropriate, for these groups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{"citationID":"4IWCznI7","properties":{"formattedCitation":"(129)","plainCitation":"(129)","noteIndex":0},"citationItems":[{"id":2637,"uris":["http://zotero.org/users/local/KFNpogR5/items/5XTINKIG"],"itemData":{"id":2637,"type":"article-journal","abstract":"Ensuring equitable access to quality health care historically has focused on gaps in care, where patients fail to receive the high-value care that will benefit them, something termed underuse. But providing high-quality health care sometimes requires reducing low-value care that delivers no benefit or where known harms outweigh expected benefits. These situations represent health care overuse. The process involved in reducing low-value care is known as de-implementation. In this article, we argue that de-implementation is critical for advancing equity for several reasons. First, medical overuse is associated with patient race, ethnicity, and socioeconomic status. In some cases, the result is even double jeopardy, where racial and ethnic minorities are at higher risk of both overuse and underuse. In these cases, more traditional efforts focused exclusively on underuse ignore half of the problem. Second, overuse of preventive care and screening is often greater for more socioeconomically advantaged patients. Within insured populations, this means more socioeconomically disadvantaged patients subsidize overuse. Finally, racial and ethnic minorities may have different experiences of overuse than Whites in the United States. This may make efforts to de-implement overuse particularly fraught. We therefore provide several actions for closing current research gaps, including: adding subgroup analyses in studies of medical overuse; specifying and measuring potential mechanisms related to equity (eg, double jeopardy vs thermostat models of overuse); and testing de-implementation strategies that may mitigate bias.","container-title":"Ethnicity &amp; Disease","DOI":"10.18865/ed.29.S1.93","ISSN":"1945-0826","issue":"Suppl 1","journalAbbreviation":"Ethn Dis","language":"eng","note":"PMID: 30906155\nPMCID: PMC6428172","page":"93-96","source":"PubMed","title":"Promoting Health Equity through De-Implementation Research","volume":"29","author":[{"family":"Helfrich","given":"Christian D."},{"family":"Hartmann","given":"Christine W."},{"family":"Parikh","given":"Toral J."},{"family":"Au","given":"David H."}],"issued":{"date-parts":[["2019"]]}}}],"schema":"https://github.com/citation-style-language/schema/raw/master/csl-citation.json"}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w:t>
      </w:r>
      <w:r w:rsidR="007E0B39">
        <w:rPr>
          <w:rFonts w:ascii="Times New Roman" w:hAnsi="Times New Roman" w:cs="Times New Roman"/>
          <w:sz w:val="24"/>
          <w:szCs w:val="24"/>
        </w:rPr>
        <w:t>33</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Without deliberate efforts to account for these dynamics, de-implementation strategies risk reinforcing disparities. Equity-oriented care, therefore, requires a dual commitment: expanding access to high-value interventions while actively dismantling the systems that perpetuate overuse of low-value care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{"citationID":"1sdRqJ8C","properties":{"formattedCitation":"(130)","plainCitation":"(130)","noteIndex":0},"citationItems":[{"id":2643,"uris":["http://zotero.org/users/local/KFNpogR5/items/D7ZMDHPJ"],"itemData":{"id":2643,"type":"article-journal","abstract":"Deimplementation is the discontinuation or abandonment of medical practices that are ineffective or of unclear effectiveness, ranging from simply unhelpful to harmful. With epidemiology expanding to include more translational sciences, epidemiologists can contribute to deimplementation by defining evidence, establishing causality, and advising on study design. An estimated 10%-30% of health care practices have minimal to no benefit to patients and should be targeted for deimplementation. The steps in deimplementation are (1) identify low-value clinical practices, (2) facilitate the deimplementation process, (3) evaluate deimplementation outcomes, and (4) sustain deimplementation, each of which is a complex project. Deimplementation science involves researchers, health care and clinical stakeholders, and patient and community partners affected by the medical practice. Increasing collaboration between epidemiologists and implementation scientists is important to optimizing health care delivery.","container-title":"American Journal of Epidemiology","DOI":"10.1093/aje/kwae285","ISSN":"0002-9262","issue":"4","journalAbbreviation":"American Journal of Epidemiology","page":"889-897","source":"Silverchair","title":"Deimplementation of ineffective and harmful medical practices: a data-driven commentary","title-short":"Deimplementation of ineffective and harmful medical practices","volume":"194","author":[{"family":"Pineles","given":"Beth L"},{"family":"Bonafide","given":"Christopher P"},{"family":"Ashcraft","given":"Laura Ellen"}],"issued":{"date-parts":[["2025",4,8]]}}}],"schema":"https://github.com/citation-style-language/schema/raw/master/csl-citation.json"}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(13</w:t>
      </w:r>
      <w:r w:rsidR="007E0B39">
        <w:rPr>
          <w:rFonts w:ascii="Times New Roman" w:hAnsi="Times New Roman" w:cs="Times New Roman"/>
          <w:sz w:val="24"/>
          <w:szCs w:val="24"/>
        </w:rPr>
        <w:t>4</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w:t>
      </w:r>
    </w:p>
    <w:p w14:paraId="28107503" w14:textId="77777777" w:rsidR="00C76776" w:rsidRPr="006B38ED" w:rsidRDefault="00C76776" w:rsidP="006B38ED">
      <w:pPr>
        <w:spacing w:before="240" w:after="240"/>
        <w:jc w:val="both"/>
        <w:rPr>
          <w:rFonts w:ascii="Times New Roman" w:eastAsia="Times New Roman" w:hAnsi="Times New Roman" w:cs="Times New Roman"/>
          <w:sz w:val="24"/>
          <w:szCs w:val="24"/>
        </w:rPr>
      </w:pPr>
      <w:r w:rsidRPr="006B38ED">
        <w:rPr>
          <w:rFonts w:ascii="Times New Roman" w:eastAsia="Times New Roman" w:hAnsi="Times New Roman" w:cs="Times New Roman"/>
          <w:b/>
          <w:bCs/>
          <w:sz w:val="24"/>
          <w:szCs w:val="24"/>
        </w:rPr>
        <w:t>Evaluating Implementation Success and Sustaining Interventions</w:t>
      </w:r>
      <w:r w:rsidRPr="006B38ED">
        <w:rPr>
          <w:rFonts w:ascii="Times New Roman" w:hAnsi="Times New Roman" w:cs="Times New Roman"/>
          <w:sz w:val="24"/>
          <w:szCs w:val="24"/>
        </w:rPr>
        <w:br/>
      </w:r>
      <w:r w:rsidRPr="006B38ED">
        <w:rPr>
          <w:rFonts w:ascii="Times New Roman" w:eastAsia="Times New Roman" w:hAnsi="Times New Roman" w:cs="Times New Roman"/>
          <w:sz w:val="24"/>
          <w:szCs w:val="24"/>
        </w:rPr>
        <w:t>Ensuring the long-term impact of EBPs in cardiovascular care requires evaluation strategies that extend beyond individual clinical outcomes to include organizational, system-level, and policy-related effects. Implementation science frameworks emphasize the need to assess not only clinical efficacy but also implementation outcomes such as adoption, fidelity, sustainability, and cost-effectiveness.</w:t>
      </w:r>
    </w:p>
    <w:p w14:paraId="1A65C730" w14:textId="5A02BBAE" w:rsidR="00C76776" w:rsidRPr="006B38ED" w:rsidRDefault="00C76776" w:rsidP="006B38ED">
      <w:pPr>
        <w:spacing w:before="240" w:after="240"/>
        <w:jc w:val="both"/>
        <w:rPr>
          <w:rFonts w:ascii="Times New Roman" w:eastAsia="Times New Roman" w:hAnsi="Times New Roman" w:cs="Times New Roman"/>
          <w:sz w:val="24"/>
          <w:szCs w:val="24"/>
          <w:lang w:val="en-US"/>
        </w:rPr>
      </w:pPr>
      <w:r w:rsidRPr="006B38ED">
        <w:rPr>
          <w:rFonts w:ascii="Times New Roman" w:eastAsia="Times New Roman" w:hAnsi="Times New Roman" w:cs="Times New Roman"/>
          <w:sz w:val="24"/>
          <w:szCs w:val="24"/>
        </w:rPr>
        <w:t xml:space="preserve">Moise et al highlight key principles for evaluating implementation success, including adaptability, sustained stakeholder engagement, and the capacity to learn from both challenges and successes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{"citationID":"b5ufOarV","properties":{"formattedCitation":"(119)","plainCitation":"(119)","noteIndex":0},"citationItems":[{"id":2608,"uris":["http://zotero.org/users/local/KFNpogR5/items/D8GCTCGS"],"itemData":{"id":2608,"type":"article-journal","abstract":"Reducing cardiovascular disease disparities will require a concerted, focused effort to better adopt evidence-based interventions, in particular, those that address social determinants of health, in historically marginalized populations (ie, communities excluded on the basis of social identifiers like race, ethnicity, and social class and subject to inequitable distribution of social, economic, physical, and psychological resources). Implementation science is centered around stakeholder engagement and, by virtue of its reliance on theoretical frameworks, is custom built for addressing research-to-practice gaps. However, little guidance exists for how best to leverage implementation science to promote cardiovascular health equity. This American Heart Association scientific statement was commissioned to define implementation science with a cardiovascular health equity lens and to evaluate implementation research that targets cardiovascular inequities. We provide a 4-step roadmap and checklist with critical equity considerations for selecting/adapting evidence-based practices, assessing barriers and facilitators to implementation, selecting/using/adapting implementation strategies, and evaluating implementation success. Informed by our roadmap, we examine several organizational, community, policy, and multisetting interventions and implementation strategies developed to reduce cardiovascular disparities. We highlight gaps in implementation science research to date aimed at achieving cardiovascular health equity, including lack of stakeholder engagement, rigorous mixed methods, and equity-informed theoretical frameworks. We provide several key suggestions, including the need for improved conceptualization and inclusion of social and structural determinants of health in implementation science, and the use of adaptive, hybrid effectiveness designs. In addition, we call for more rigorous examination of multilevel interventions and implementation strategies with the greatest potential for reducing both primary and secondary cardiovascular disparities.","container-title":"Circulation","DOI":"10.1161/CIR.0000000000001096","issue":"19","note":"publisher: American Heart Association","page":"e260-e278","source":"ahajournals.org (Atypon)","title":"Leveraging Implementation Science for Cardiovascular Health Equity: A Scientific Statement From the American Heart Association","title-short":"Leveraging Implementation Science for Cardiovascular Health Equity","volume":"146","author":[{"family":"Moise","given":"Nathalie"},{"family":"Cené","given":"Crystal W."},{"family":"Tabak","given":"Rachel G."},{"family":"Young","given":"Deborah R."},{"family":"Mills","given":"Katherine T."},{"family":"Essien","given":"Utibe R."},{"family":"Anderson","given":"Cheryl A.M."},{"family":"Lopez-Jimenez","given":"Francisco"},{"literal":"on behalf of the American Heart Association Council on Epidemiology and Prevention; Council on Hypertension; and Stroke Council"}],"issued":{"date-parts":[["2022",11,8]]}}}],"schema":"https://github.com/citation-style-language/schema/raw/master/csl-citation.json"}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w:t>
      </w:r>
      <w:r w:rsidR="007E0B39">
        <w:rPr>
          <w:rFonts w:ascii="Times New Roman" w:hAnsi="Times New Roman" w:cs="Times New Roman"/>
          <w:sz w:val="24"/>
          <w:szCs w:val="24"/>
        </w:rPr>
        <w:t>23</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Hybrid effectiveness-implementation designs—such as stepped-wedge trials—offer a rigorous yet flexible approach to simultaneously evaluating clinical and implementation outcomes in real-world contexts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{"citationID":"9iTwSbA6","properties":{"formattedCitation":"(131,132)","plainCitation":"(131,132)","noteIndex":0},"citationItems":[{"id":2647,"uris":["http://zotero.org/users/local/KFNpogR5/items/9I22KPR8"],"itemData":{"id":2647,"type":"article-journal","abstract":"Rollout designs, which include stepped wedge designs, are defined by staggered implementation of new or alternative programs or services. Critiques of stepped wedge and other rollout designs have raised concerns regarding the confounding of true implementation or program effects with unrelated, global changes in service delivery, with some recommending they only be used when traditional parallel-group designs are not practicable. However, rollout designs may sometimes be more suitable than traditional parallel group designs for ethical, scientific, or practical reasons.","container-title":"Implementation Science","DOI":"10.1186/s13012-025-01422-x","ISSN":"1748-5908","issue":"1","journalAbbreviation":"Implementation Science","page":"11","source":"BioMed Central","title":"Rollout trial designs in implementation research are often necessary and sometimes preferred","volume":"20","author":[{"family":"Simon","given":"Gregory E."},{"family":"Garner","given":"Bryan R."},{"family":"Smith","given":"Justin D."},{"family":"Wyman","given":"Peter A."},{"family":"Matson","given":"Theresa E."},{"family":"Chin-Purcell","given":"Lia"},{"family":"Cero","given":"Ian"},{"family":"Vermeer","given":"Wouter"},{"family":"Johnson","given":"Kimberly A."},{"family":"Prado","given":"Guillermo"},{"family":"Brown","given":"C. Hendricks"}],"issued":{"date-parts":[["2025",2,24]]}}},{"id":2650,"uris":["http://zotero.org/users/local/KFNpogR5/items/BGTSQUH2"],"itemData":{"id":2650,"type":"article-journal","abstract":"A stepped wedge trial evaluates an intervention that is implemented over a number of time periods according to a staggered timetable. Stepped wedge trials are usually cluster randomized, the intervention being delivered at some geographical, service or other cluster level. There is considerable variety in the design and conduct of stepped wedge trials in practice. The analysis of a stepped wedge trial often assumes that the effect of the intervention is maintained at a constant level once it has been implemented. It is important when estimating this effect to adjust for a period effect or underlying secular trend, since time is confounded with intervention, and to account for the clustering of outcomes. The advantage often cited for a stepped wedge design is that every cluster ends up getting the intervention, though in any trial design we can offer the intervention preferentially to control clusters after the trial has finished. The real advantage of a stepped wedge design is likely to be practicality or statistical efficiency.","container-title":"Journal of Clinical Epidemiology","DOI":"10.1016/j.jclinepi.2021.04.003","ISSN":"1878-5921","journalAbbreviation":"J Clin Epidemiol","language":"eng","note":"PMID: 33892089","page":"159-162","source":"PubMed","title":"Key concepts in clinical epidemiology: Stepped wedge trials","title-short":"Key concepts in clinical epidemiology","volume":"137","author":[{"family":"Hooper","given":"Richard"}],"issued":{"date-parts":[["2021",9]]}}}],"schema":"https://github.com/citation-style-language/schema/raw/master/csl-citation.json"}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(13</w:t>
      </w:r>
      <w:r w:rsidR="007E0B39">
        <w:rPr>
          <w:rFonts w:ascii="Times New Roman" w:hAnsi="Times New Roman" w:cs="Times New Roman"/>
          <w:sz w:val="24"/>
          <w:szCs w:val="24"/>
        </w:rPr>
        <w:t>5</w:t>
      </w:r>
      <w:r w:rsidRPr="006B38ED">
        <w:rPr>
          <w:rFonts w:ascii="Times New Roman" w:hAnsi="Times New Roman" w:cs="Times New Roman"/>
          <w:sz w:val="24"/>
          <w:szCs w:val="24"/>
        </w:rPr>
        <w:t>,13</w:t>
      </w:r>
      <w:r w:rsidR="007E0B39">
        <w:rPr>
          <w:rFonts w:ascii="Times New Roman" w:hAnsi="Times New Roman" w:cs="Times New Roman"/>
          <w:sz w:val="24"/>
          <w:szCs w:val="24"/>
        </w:rPr>
        <w:t>6</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These designs support iterative adaptation, which enhances both scalability and external validity. In dynamic healthcare environments, rigid adherence to initial protocols can hinder impact; instead, responsiveness to local context and flexibility are essential for driving meaningful change. Moreover, scalability should be considered from the outset to ensure equity-promoting interventions can expand without compromising cultural relevance or effectiveness </w:t>
      </w:r>
      <w:r w:rsidRPr="006B38ED">
        <w:rPr>
          <w:rFonts w:ascii="Times New Roman" w:eastAsia="Times New Roman" w:hAnsi="Times New Roman" w:cs="Times New Roman"/>
          <w:sz w:val="24"/>
          <w:szCs w:val="24"/>
        </w:rPr>
        <w:fldChar w:fldCharType="begin"/>
      </w:r>
      <w:r w:rsidRPr="006B38ED">
        <w:rPr>
          <w:rFonts w:ascii="Times New Roman" w:eastAsia="Times New Roman" w:hAnsi="Times New Roman" w:cs="Times New Roman"/>
          <w:sz w:val="24"/>
          <w:szCs w:val="24"/>
        </w:rPr>
        <w:instrText xml:space="preserve"> ADDIN ZOTERO_ITEM CSL_CITATION {"citationID":"73gpeAwy","properties":{"formattedCitation":"(133)","plainCitation":"(133)","noteIndex":0},"citationItems":[{"id":2652,"uris":["http://zotero.org/users/local/KFNpogR5/items/MWGG55TG"],"itemData":{"id":2652,"type":"webpage","title":"Implementation Science to Achieve Equity in Heart Failure Care: A Scientific Statement From the American Heart Association | Circulation","URL":"https://www.ahajournals.org/doi/full/10.1161/CIR.0000000000001231","accessed":{"date-parts":[["2025",4,25]]}}}],"schema":"https://github.com/citation-style-language/schema/raw/master/csl-citation.json"} </w:instrText>
      </w:r>
      <w:r w:rsidRPr="006B38ED">
        <w:rPr>
          <w:rFonts w:ascii="Times New Roman" w:eastAsia="Times New Roman" w:hAnsi="Times New Roman" w:cs="Times New Roman"/>
          <w:sz w:val="24"/>
          <w:szCs w:val="24"/>
        </w:rPr>
        <w:fldChar w:fldCharType="separate"/>
      </w:r>
      <w:r w:rsidRPr="006B38ED">
        <w:rPr>
          <w:rFonts w:ascii="Times New Roman" w:hAnsi="Times New Roman" w:cs="Times New Roman"/>
          <w:sz w:val="24"/>
          <w:szCs w:val="24"/>
        </w:rPr>
        <w:t>(13</w:t>
      </w:r>
      <w:r w:rsidR="007E0B39">
        <w:rPr>
          <w:rFonts w:ascii="Times New Roman" w:hAnsi="Times New Roman" w:cs="Times New Roman"/>
          <w:sz w:val="24"/>
          <w:szCs w:val="24"/>
        </w:rPr>
        <w:t>7</w:t>
      </w:r>
      <w:r w:rsidRPr="006B38ED">
        <w:rPr>
          <w:rFonts w:ascii="Times New Roman" w:hAnsi="Times New Roman" w:cs="Times New Roman"/>
          <w:sz w:val="24"/>
          <w:szCs w:val="24"/>
        </w:rPr>
        <w:t>)</w:t>
      </w:r>
      <w:r w:rsidRPr="006B38ED">
        <w:rPr>
          <w:rFonts w:ascii="Times New Roman" w:eastAsia="Times New Roman" w:hAnsi="Times New Roman" w:cs="Times New Roman"/>
          <w:sz w:val="24"/>
          <w:szCs w:val="24"/>
        </w:rPr>
        <w:fldChar w:fldCharType="end"/>
      </w:r>
      <w:r w:rsidRPr="006B38ED">
        <w:rPr>
          <w:rFonts w:ascii="Times New Roman" w:eastAsia="Times New Roman" w:hAnsi="Times New Roman" w:cs="Times New Roman"/>
          <w:sz w:val="24"/>
          <w:szCs w:val="24"/>
        </w:rPr>
        <w:t xml:space="preserve">. </w:t>
      </w:r>
    </w:p>
    <w:p w14:paraId="4D9740C6" w14:textId="77777777" w:rsidR="00C76776" w:rsidRPr="006B38ED" w:rsidRDefault="00C76776" w:rsidP="006B38ED">
      <w:pPr>
        <w:spacing w:before="240" w:after="240"/>
        <w:jc w:val="both"/>
        <w:rPr>
          <w:rFonts w:ascii="Times New Roman" w:eastAsia="Times New Roman" w:hAnsi="Times New Roman" w:cs="Times New Roman"/>
          <w:sz w:val="24"/>
          <w:szCs w:val="24"/>
        </w:rPr>
      </w:pPr>
      <w:r w:rsidRPr="006B38ED">
        <w:rPr>
          <w:rFonts w:ascii="Times New Roman" w:eastAsia="Times New Roman" w:hAnsi="Times New Roman" w:cs="Times New Roman"/>
          <w:sz w:val="24"/>
          <w:szCs w:val="24"/>
        </w:rPr>
        <w:t>Sustained impact also depends on embedding EBPs within existing healthcare infrastructures through mechanisms such as reimbursement reform, integration into quality metrics, or alignment with broader public health initiatives. Importantly, evaluators must examine whether implementation outcomes differ between historically marginalized and non-marginalized populations. Without this equity lens, even well-intentioned interventions may unintentionally perpetuate disparities.</w:t>
      </w:r>
    </w:p>
    <w:p w14:paraId="5CA86B6C" w14:textId="77777777" w:rsidR="00C76776" w:rsidRPr="007429EB" w:rsidRDefault="00C76776" w:rsidP="007429EB">
      <w:pPr>
        <w:jc w:val="both"/>
        <w:rPr>
          <w:rFonts w:ascii="Times New Roman" w:hAnsi="Times New Roman" w:cs="Times New Roman"/>
          <w:sz w:val="24"/>
          <w:szCs w:val="24"/>
        </w:rPr>
      </w:pPr>
    </w:p>
    <w:p w14:paraId="2CC0A730" w14:textId="77777777" w:rsidR="006B38ED" w:rsidRPr="006B38ED" w:rsidRDefault="006B38ED" w:rsidP="006B38ED">
      <w:pPr>
        <w:spacing w:before="240" w:after="240"/>
        <w:jc w:val="both"/>
        <w:rPr>
          <w:rFonts w:ascii="Times New Roman" w:eastAsia="Times New Roman" w:hAnsi="Times New Roman" w:cs="Times New Roman"/>
          <w:b/>
          <w:bCs/>
          <w:sz w:val="24"/>
          <w:szCs w:val="24"/>
        </w:rPr>
      </w:pPr>
      <w:r w:rsidRPr="006B38ED">
        <w:rPr>
          <w:rFonts w:ascii="Times New Roman" w:eastAsia="Times New Roman" w:hAnsi="Times New Roman" w:cs="Times New Roman"/>
          <w:b/>
          <w:bCs/>
          <w:sz w:val="24"/>
          <w:szCs w:val="24"/>
        </w:rPr>
        <w:t>References</w:t>
      </w:r>
    </w:p>
    <w:p w14:paraId="0B390477" w14:textId="13B4725C" w:rsidR="006B38ED" w:rsidRPr="007429EB" w:rsidRDefault="007E0B39" w:rsidP="007429EB">
      <w:pPr>
        <w:jc w:val="both"/>
        <w:rPr>
          <w:rFonts w:ascii="Times New Roman" w:hAnsi="Times New Roman" w:cs="Times New Roman"/>
          <w:sz w:val="24"/>
          <w:szCs w:val="24"/>
        </w:rPr>
      </w:pPr>
      <w:r>
        <w:rPr>
          <w:rFonts w:ascii="Times New Roman" w:hAnsi="Times New Roman" w:cs="Times New Roman"/>
          <w:sz w:val="24"/>
          <w:szCs w:val="24"/>
        </w:rPr>
        <w:t>102</w:t>
      </w:r>
      <w:r w:rsidR="006B38ED" w:rsidRPr="007429EB">
        <w:rPr>
          <w:rFonts w:ascii="Times New Roman" w:hAnsi="Times New Roman" w:cs="Times New Roman"/>
          <w:sz w:val="24"/>
          <w:szCs w:val="24"/>
        </w:rPr>
        <w:t>.</w:t>
      </w:r>
      <w:r w:rsidR="006B38ED" w:rsidRPr="007429EB">
        <w:rPr>
          <w:rFonts w:ascii="Times New Roman" w:hAnsi="Times New Roman" w:cs="Times New Roman"/>
          <w:sz w:val="24"/>
          <w:szCs w:val="24"/>
        </w:rPr>
        <w:tab/>
        <w:t>Carstairs V, Morris R (1989) Deprivation: explaining differences in mortality between Scotland and England and Wales. BMJ 299:886–889</w:t>
      </w:r>
    </w:p>
    <w:p w14:paraId="256CEE19" w14:textId="4C9D900E" w:rsidR="006B38ED" w:rsidRPr="007429EB" w:rsidRDefault="007E0B39" w:rsidP="007429EB">
      <w:pPr>
        <w:jc w:val="both"/>
        <w:rPr>
          <w:rFonts w:ascii="Times New Roman" w:hAnsi="Times New Roman" w:cs="Times New Roman"/>
          <w:sz w:val="24"/>
          <w:szCs w:val="24"/>
        </w:rPr>
      </w:pPr>
      <w:r>
        <w:rPr>
          <w:rFonts w:ascii="Times New Roman" w:hAnsi="Times New Roman" w:cs="Times New Roman"/>
          <w:sz w:val="24"/>
          <w:szCs w:val="24"/>
        </w:rPr>
        <w:lastRenderedPageBreak/>
        <w:t>103</w:t>
      </w:r>
      <w:r w:rsidR="006B38ED" w:rsidRPr="007429EB">
        <w:rPr>
          <w:rFonts w:ascii="Times New Roman" w:hAnsi="Times New Roman" w:cs="Times New Roman"/>
          <w:sz w:val="24"/>
          <w:szCs w:val="24"/>
        </w:rPr>
        <w:t>.</w:t>
      </w:r>
      <w:r w:rsidR="006B38ED" w:rsidRPr="007429EB">
        <w:rPr>
          <w:rFonts w:ascii="Times New Roman" w:hAnsi="Times New Roman" w:cs="Times New Roman"/>
          <w:sz w:val="24"/>
          <w:szCs w:val="24"/>
        </w:rPr>
        <w:tab/>
        <w:t xml:space="preserve">Phillips RL, Liaw W, Crampton P, Exeter DJ, Bazemore A, Vickery KD, Petterson S, Carrozza M (2016) How Other Countries Use Deprivation Indices—And Why </w:t>
      </w:r>
      <w:proofErr w:type="gramStart"/>
      <w:r w:rsidR="006B38ED" w:rsidRPr="007429EB">
        <w:rPr>
          <w:rFonts w:ascii="Times New Roman" w:hAnsi="Times New Roman" w:cs="Times New Roman"/>
          <w:sz w:val="24"/>
          <w:szCs w:val="24"/>
        </w:rPr>
        <w:t>The</w:t>
      </w:r>
      <w:proofErr w:type="gramEnd"/>
      <w:r w:rsidR="006B38ED" w:rsidRPr="007429EB">
        <w:rPr>
          <w:rFonts w:ascii="Times New Roman" w:hAnsi="Times New Roman" w:cs="Times New Roman"/>
          <w:sz w:val="24"/>
          <w:szCs w:val="24"/>
        </w:rPr>
        <w:t xml:space="preserve"> United States desperately needs one. Health Affairs 35:1991–1998</w:t>
      </w:r>
    </w:p>
    <w:p w14:paraId="5EF6F6A5" w14:textId="151712AD"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10</w:t>
      </w:r>
      <w:r w:rsidR="007E0B39">
        <w:rPr>
          <w:rFonts w:ascii="Times New Roman" w:hAnsi="Times New Roman" w:cs="Times New Roman"/>
          <w:sz w:val="24"/>
          <w:szCs w:val="24"/>
        </w:rPr>
        <w:t>4</w:t>
      </w:r>
      <w:r w:rsidRPr="007429EB">
        <w:rPr>
          <w:rFonts w:ascii="Times New Roman" w:hAnsi="Times New Roman" w:cs="Times New Roman"/>
          <w:sz w:val="24"/>
          <w:szCs w:val="24"/>
        </w:rPr>
        <w:t>.</w:t>
      </w:r>
      <w:r w:rsidRPr="007429EB">
        <w:rPr>
          <w:rFonts w:ascii="Times New Roman" w:hAnsi="Times New Roman" w:cs="Times New Roman"/>
          <w:sz w:val="24"/>
          <w:szCs w:val="24"/>
        </w:rPr>
        <w:tab/>
        <w:t>Singh GK (2003) Area Deprivation and widening inequalities in US mortality, 1969–1998. American Journal of Public Health 93:1137–1143</w:t>
      </w:r>
    </w:p>
    <w:p w14:paraId="4360EF4F" w14:textId="383D2FDA"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10</w:t>
      </w:r>
      <w:r w:rsidR="007E0B39">
        <w:rPr>
          <w:rFonts w:ascii="Times New Roman" w:hAnsi="Times New Roman" w:cs="Times New Roman"/>
          <w:sz w:val="24"/>
          <w:szCs w:val="24"/>
        </w:rPr>
        <w:t>5</w:t>
      </w:r>
      <w:proofErr w:type="gramStart"/>
      <w:r w:rsidRPr="007429EB">
        <w:rPr>
          <w:rFonts w:ascii="Times New Roman" w:hAnsi="Times New Roman" w:cs="Times New Roman"/>
          <w:sz w:val="24"/>
          <w:szCs w:val="24"/>
        </w:rPr>
        <w:t>.</w:t>
      </w:r>
      <w:r w:rsidRPr="007429EB">
        <w:rPr>
          <w:rFonts w:ascii="Times New Roman" w:hAnsi="Times New Roman" w:cs="Times New Roman"/>
          <w:sz w:val="24"/>
          <w:szCs w:val="24"/>
        </w:rPr>
        <w:tab/>
        <w:t xml:space="preserve"> Kind</w:t>
      </w:r>
      <w:proofErr w:type="gramEnd"/>
      <w:r w:rsidRPr="007429EB">
        <w:rPr>
          <w:rFonts w:ascii="Times New Roman" w:hAnsi="Times New Roman" w:cs="Times New Roman"/>
          <w:sz w:val="24"/>
          <w:szCs w:val="24"/>
        </w:rPr>
        <w:t xml:space="preserve"> AJH, Jencks S, Brock J, Yu M, Bartels C, Ehlenbach W, Greenberg C, Smith M (2014) Neighborhood socioeconomic disadvantage and 30-Day rehospitalization. Annals of Internal Medicine 161:765</w:t>
      </w:r>
    </w:p>
    <w:p w14:paraId="78C97B98" w14:textId="20F2C45E"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10</w:t>
      </w:r>
      <w:r w:rsidR="007E0B39">
        <w:rPr>
          <w:rFonts w:ascii="Times New Roman" w:hAnsi="Times New Roman" w:cs="Times New Roman"/>
          <w:sz w:val="24"/>
          <w:szCs w:val="24"/>
        </w:rPr>
        <w:t>6</w:t>
      </w:r>
      <w:r w:rsidRPr="007429EB">
        <w:rPr>
          <w:rFonts w:ascii="Times New Roman" w:hAnsi="Times New Roman" w:cs="Times New Roman"/>
          <w:sz w:val="24"/>
          <w:szCs w:val="24"/>
        </w:rPr>
        <w:t>.</w:t>
      </w:r>
      <w:r w:rsidRPr="007429EB">
        <w:rPr>
          <w:rFonts w:ascii="Times New Roman" w:hAnsi="Times New Roman" w:cs="Times New Roman"/>
          <w:sz w:val="24"/>
          <w:szCs w:val="24"/>
        </w:rPr>
        <w:tab/>
        <w:t xml:space="preserve">Johnson AE, Zhu J, Garrard W, </w:t>
      </w:r>
      <w:proofErr w:type="spellStart"/>
      <w:r w:rsidRPr="007429EB">
        <w:rPr>
          <w:rFonts w:ascii="Times New Roman" w:hAnsi="Times New Roman" w:cs="Times New Roman"/>
          <w:sz w:val="24"/>
          <w:szCs w:val="24"/>
        </w:rPr>
        <w:t>Thoma</w:t>
      </w:r>
      <w:proofErr w:type="spellEnd"/>
      <w:r w:rsidRPr="007429EB">
        <w:rPr>
          <w:rFonts w:ascii="Times New Roman" w:hAnsi="Times New Roman" w:cs="Times New Roman"/>
          <w:sz w:val="24"/>
          <w:szCs w:val="24"/>
        </w:rPr>
        <w:t xml:space="preserve"> FW, </w:t>
      </w:r>
      <w:proofErr w:type="spellStart"/>
      <w:r w:rsidRPr="007429EB">
        <w:rPr>
          <w:rFonts w:ascii="Times New Roman" w:hAnsi="Times New Roman" w:cs="Times New Roman"/>
          <w:sz w:val="24"/>
          <w:szCs w:val="24"/>
        </w:rPr>
        <w:t>Mulukutla</w:t>
      </w:r>
      <w:proofErr w:type="spellEnd"/>
      <w:r w:rsidRPr="007429EB">
        <w:rPr>
          <w:rFonts w:ascii="Times New Roman" w:hAnsi="Times New Roman" w:cs="Times New Roman"/>
          <w:sz w:val="24"/>
          <w:szCs w:val="24"/>
        </w:rPr>
        <w:t xml:space="preserve"> S, Kershaw KN, Magnani JW (2021) Area deprivation Index and Cardiac Readmissions: Evaluating Risk‐Prediction in an Electronic Health Record. Journal of the American Heart Association. https://doi.org/10.1161/jaha.120.020466</w:t>
      </w:r>
    </w:p>
    <w:p w14:paraId="64976483" w14:textId="43FFC98C"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10</w:t>
      </w:r>
      <w:r w:rsidR="007E0B39">
        <w:rPr>
          <w:rFonts w:ascii="Times New Roman" w:hAnsi="Times New Roman" w:cs="Times New Roman"/>
          <w:sz w:val="24"/>
          <w:szCs w:val="24"/>
        </w:rPr>
        <w:t>7</w:t>
      </w:r>
      <w:r w:rsidRPr="007429EB">
        <w:rPr>
          <w:rFonts w:ascii="Times New Roman" w:hAnsi="Times New Roman" w:cs="Times New Roman"/>
          <w:sz w:val="24"/>
          <w:szCs w:val="24"/>
        </w:rPr>
        <w:t>.</w:t>
      </w:r>
      <w:r w:rsidRPr="007429EB">
        <w:rPr>
          <w:rFonts w:ascii="Times New Roman" w:hAnsi="Times New Roman" w:cs="Times New Roman"/>
          <w:sz w:val="24"/>
          <w:szCs w:val="24"/>
        </w:rPr>
        <w:tab/>
        <w:t>Bevan GH, Nasir K, Rajagopalan S, Al-Kindi S (2022) Socioeconomic deprivation and premature cardiovascular mortality in the United States. Mayo Clinic Proceedings 97:1108–1113</w:t>
      </w:r>
    </w:p>
    <w:p w14:paraId="1EF7DDD1" w14:textId="2C15715E"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10</w:t>
      </w:r>
      <w:r w:rsidR="007E0B39">
        <w:rPr>
          <w:rFonts w:ascii="Times New Roman" w:hAnsi="Times New Roman" w:cs="Times New Roman"/>
          <w:sz w:val="24"/>
          <w:szCs w:val="24"/>
        </w:rPr>
        <w:t>8</w:t>
      </w:r>
      <w:r w:rsidRPr="007429EB">
        <w:rPr>
          <w:rFonts w:ascii="Times New Roman" w:hAnsi="Times New Roman" w:cs="Times New Roman"/>
          <w:sz w:val="24"/>
          <w:szCs w:val="24"/>
        </w:rPr>
        <w:t>.</w:t>
      </w:r>
      <w:r w:rsidRPr="007429EB">
        <w:rPr>
          <w:rFonts w:ascii="Times New Roman" w:hAnsi="Times New Roman" w:cs="Times New Roman"/>
          <w:sz w:val="24"/>
          <w:szCs w:val="24"/>
        </w:rPr>
        <w:tab/>
        <w:t>(2021) Adjusting Medicare payments for social risk to better support social needs. Forefront Group. https://doi.org/10.1377/forefront.20210526.933567</w:t>
      </w:r>
    </w:p>
    <w:p w14:paraId="260567CE" w14:textId="31AFFEFE"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10</w:t>
      </w:r>
      <w:r w:rsidR="007E0B39">
        <w:rPr>
          <w:rFonts w:ascii="Times New Roman" w:hAnsi="Times New Roman" w:cs="Times New Roman"/>
          <w:sz w:val="24"/>
          <w:szCs w:val="24"/>
        </w:rPr>
        <w:t>9</w:t>
      </w:r>
      <w:r w:rsidRPr="007429EB">
        <w:rPr>
          <w:rFonts w:ascii="Times New Roman" w:hAnsi="Times New Roman" w:cs="Times New Roman"/>
          <w:sz w:val="24"/>
          <w:szCs w:val="24"/>
        </w:rPr>
        <w:t>.</w:t>
      </w:r>
      <w:r w:rsidRPr="007429EB">
        <w:rPr>
          <w:rFonts w:ascii="Times New Roman" w:hAnsi="Times New Roman" w:cs="Times New Roman"/>
          <w:sz w:val="24"/>
          <w:szCs w:val="24"/>
        </w:rPr>
        <w:tab/>
        <w:t>(2024) Accountable Care Organization (ACO) Realizing Equity, Access, and Community Health (REACH) Model | CMS. https://www.cms.gov/newsroom/fact-sheets/accountable-care-organization-aco-realizing-equity-access-and-community-health-reach-model.</w:t>
      </w:r>
    </w:p>
    <w:p w14:paraId="386C0B40" w14:textId="7B1E5E75"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w:t>
      </w:r>
      <w:r w:rsidR="007E0B39">
        <w:rPr>
          <w:rFonts w:ascii="Times New Roman" w:hAnsi="Times New Roman" w:cs="Times New Roman"/>
          <w:sz w:val="24"/>
          <w:szCs w:val="24"/>
        </w:rPr>
        <w:t>10</w:t>
      </w:r>
      <w:r w:rsidRPr="007429EB">
        <w:rPr>
          <w:rFonts w:ascii="Times New Roman" w:hAnsi="Times New Roman" w:cs="Times New Roman"/>
          <w:sz w:val="24"/>
          <w:szCs w:val="24"/>
        </w:rPr>
        <w:t>.</w:t>
      </w:r>
      <w:r w:rsidRPr="007429EB">
        <w:rPr>
          <w:rFonts w:ascii="Times New Roman" w:hAnsi="Times New Roman" w:cs="Times New Roman"/>
          <w:sz w:val="24"/>
          <w:szCs w:val="24"/>
        </w:rPr>
        <w:tab/>
        <w:t>Berman AN, Biery DW, Ginder C, et al (2021) Association of socioeconomic disadvantage with long-term mortality after myocardial infarction. JAMA Cardiology 6:880</w:t>
      </w:r>
    </w:p>
    <w:p w14:paraId="23F85FAF" w14:textId="4B0371BB"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w:t>
      </w:r>
      <w:r w:rsidR="007E0B39">
        <w:rPr>
          <w:rFonts w:ascii="Times New Roman" w:hAnsi="Times New Roman" w:cs="Times New Roman"/>
          <w:sz w:val="24"/>
          <w:szCs w:val="24"/>
        </w:rPr>
        <w:t>11</w:t>
      </w:r>
      <w:r w:rsidRPr="007429EB">
        <w:rPr>
          <w:rFonts w:ascii="Times New Roman" w:hAnsi="Times New Roman" w:cs="Times New Roman"/>
          <w:sz w:val="24"/>
          <w:szCs w:val="24"/>
        </w:rPr>
        <w:t>.</w:t>
      </w:r>
      <w:r w:rsidRPr="007429EB">
        <w:rPr>
          <w:rFonts w:ascii="Times New Roman" w:hAnsi="Times New Roman" w:cs="Times New Roman"/>
          <w:sz w:val="24"/>
          <w:szCs w:val="24"/>
        </w:rPr>
        <w:tab/>
        <w:t xml:space="preserve">Flanagan, Gregory, Hallisey, </w:t>
      </w:r>
      <w:proofErr w:type="spellStart"/>
      <w:r w:rsidRPr="007429EB">
        <w:rPr>
          <w:rFonts w:ascii="Times New Roman" w:hAnsi="Times New Roman" w:cs="Times New Roman"/>
          <w:sz w:val="24"/>
          <w:szCs w:val="24"/>
        </w:rPr>
        <w:t>Heitgerd</w:t>
      </w:r>
      <w:proofErr w:type="spellEnd"/>
      <w:r w:rsidRPr="007429EB">
        <w:rPr>
          <w:rFonts w:ascii="Times New Roman" w:hAnsi="Times New Roman" w:cs="Times New Roman"/>
          <w:sz w:val="24"/>
          <w:szCs w:val="24"/>
        </w:rPr>
        <w:t>, Lewis (2011) A social Vulnerability Index for disaster management. https://econpapers.repec.org/RePEc:bpj:johsem:v:8:y:2011:i:1:p:24:n:23. Accessed 24 May 2025</w:t>
      </w:r>
    </w:p>
    <w:p w14:paraId="0A7B705A" w14:textId="7740A4AC"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w:t>
      </w:r>
      <w:r w:rsidR="007E0B39">
        <w:rPr>
          <w:rFonts w:ascii="Times New Roman" w:hAnsi="Times New Roman" w:cs="Times New Roman"/>
          <w:sz w:val="24"/>
          <w:szCs w:val="24"/>
        </w:rPr>
        <w:t>12</w:t>
      </w:r>
      <w:r w:rsidRPr="007429EB">
        <w:rPr>
          <w:rFonts w:ascii="Times New Roman" w:hAnsi="Times New Roman" w:cs="Times New Roman"/>
          <w:sz w:val="24"/>
          <w:szCs w:val="24"/>
        </w:rPr>
        <w:t>.</w:t>
      </w:r>
      <w:r w:rsidRPr="007429EB">
        <w:rPr>
          <w:rFonts w:ascii="Times New Roman" w:hAnsi="Times New Roman" w:cs="Times New Roman"/>
          <w:sz w:val="24"/>
          <w:szCs w:val="24"/>
        </w:rPr>
        <w:tab/>
        <w:t>Pandemic and All Hazards Preparedness Act (PAHPA). In: https://aspr.hhs.gov/legal/pahpa/Pages/default.aspx. https://aspr.hhs.gov/legal/pahpa/Pages/default.aspx.</w:t>
      </w:r>
    </w:p>
    <w:p w14:paraId="3C91F3E1" w14:textId="521D277A"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w:t>
      </w:r>
      <w:r w:rsidR="007E0B39">
        <w:rPr>
          <w:rFonts w:ascii="Times New Roman" w:hAnsi="Times New Roman" w:cs="Times New Roman"/>
          <w:sz w:val="24"/>
          <w:szCs w:val="24"/>
        </w:rPr>
        <w:t>13</w:t>
      </w:r>
      <w:r w:rsidRPr="007429EB">
        <w:rPr>
          <w:rFonts w:ascii="Times New Roman" w:hAnsi="Times New Roman" w:cs="Times New Roman"/>
          <w:sz w:val="24"/>
          <w:szCs w:val="24"/>
        </w:rPr>
        <w:t>.</w:t>
      </w:r>
      <w:r w:rsidRPr="007429EB">
        <w:rPr>
          <w:rFonts w:ascii="Times New Roman" w:hAnsi="Times New Roman" w:cs="Times New Roman"/>
          <w:sz w:val="24"/>
          <w:szCs w:val="24"/>
        </w:rPr>
        <w:tab/>
        <w:t xml:space="preserve">Islam SJ, Malla G, Yeh RW, et al (2022) County-Level Social Vulnerability is Associated </w:t>
      </w:r>
      <w:proofErr w:type="gramStart"/>
      <w:r w:rsidRPr="007429EB">
        <w:rPr>
          <w:rFonts w:ascii="Times New Roman" w:hAnsi="Times New Roman" w:cs="Times New Roman"/>
          <w:sz w:val="24"/>
          <w:szCs w:val="24"/>
        </w:rPr>
        <w:t>With</w:t>
      </w:r>
      <w:proofErr w:type="gramEnd"/>
      <w:r w:rsidRPr="007429EB">
        <w:rPr>
          <w:rFonts w:ascii="Times New Roman" w:hAnsi="Times New Roman" w:cs="Times New Roman"/>
          <w:sz w:val="24"/>
          <w:szCs w:val="24"/>
        </w:rPr>
        <w:t xml:space="preserve"> In-Hospital Death and Major Adverse Cardiovascular Events in Patients Hospitalized With COVID-19: An Analysis of the American Heart Association COVID-19 Cardiovascular Disease Registry. Circulation Cardiovascular Quality and Outcomes. https://doi.org/10.1161/circoutcomes.121.008612</w:t>
      </w:r>
    </w:p>
    <w:p w14:paraId="4645C7A5" w14:textId="70ED2F31"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w:t>
      </w:r>
      <w:r w:rsidR="007E0B39">
        <w:rPr>
          <w:rFonts w:ascii="Times New Roman" w:hAnsi="Times New Roman" w:cs="Times New Roman"/>
          <w:sz w:val="24"/>
          <w:szCs w:val="24"/>
        </w:rPr>
        <w:t>14</w:t>
      </w:r>
      <w:r w:rsidRPr="007429EB">
        <w:rPr>
          <w:rFonts w:ascii="Times New Roman" w:hAnsi="Times New Roman" w:cs="Times New Roman"/>
          <w:sz w:val="24"/>
          <w:szCs w:val="24"/>
        </w:rPr>
        <w:t>.</w:t>
      </w:r>
      <w:r w:rsidRPr="007429EB">
        <w:rPr>
          <w:rFonts w:ascii="Times New Roman" w:hAnsi="Times New Roman" w:cs="Times New Roman"/>
          <w:sz w:val="24"/>
          <w:szCs w:val="24"/>
        </w:rPr>
        <w:tab/>
        <w:t>Jain V, Rifai MA, Khan SU, et al (2022) Association between social vulnerability index and cardiovascular disease: A Behavioral Risk Factor Surveillance System study. Journal of the American Heart Association. https://doi.org/10.1161/jaha.121.024414</w:t>
      </w:r>
    </w:p>
    <w:p w14:paraId="7E08D4A9" w14:textId="49FB5EBD"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11</w:t>
      </w:r>
      <w:r w:rsidR="007E0B39">
        <w:rPr>
          <w:rFonts w:ascii="Times New Roman" w:hAnsi="Times New Roman" w:cs="Times New Roman"/>
          <w:sz w:val="24"/>
          <w:szCs w:val="24"/>
        </w:rPr>
        <w:t>5</w:t>
      </w:r>
      <w:r w:rsidRPr="007429EB">
        <w:rPr>
          <w:rFonts w:ascii="Times New Roman" w:hAnsi="Times New Roman" w:cs="Times New Roman"/>
          <w:sz w:val="24"/>
          <w:szCs w:val="24"/>
        </w:rPr>
        <w:t>.</w:t>
      </w:r>
      <w:r w:rsidRPr="007429EB">
        <w:rPr>
          <w:rFonts w:ascii="Times New Roman" w:hAnsi="Times New Roman" w:cs="Times New Roman"/>
          <w:sz w:val="24"/>
          <w:szCs w:val="24"/>
        </w:rPr>
        <w:tab/>
        <w:t xml:space="preserve">Terry K, Makhlouf M, </w:t>
      </w:r>
      <w:proofErr w:type="spellStart"/>
      <w:r w:rsidRPr="007429EB">
        <w:rPr>
          <w:rFonts w:ascii="Times New Roman" w:hAnsi="Times New Roman" w:cs="Times New Roman"/>
          <w:sz w:val="24"/>
          <w:szCs w:val="24"/>
        </w:rPr>
        <w:t>Altarabsheh</w:t>
      </w:r>
      <w:proofErr w:type="spellEnd"/>
      <w:r w:rsidRPr="007429EB">
        <w:rPr>
          <w:rFonts w:ascii="Times New Roman" w:hAnsi="Times New Roman" w:cs="Times New Roman"/>
          <w:sz w:val="24"/>
          <w:szCs w:val="24"/>
        </w:rPr>
        <w:t xml:space="preserve"> SE, Deo V, Petermann‐Rocha F, </w:t>
      </w:r>
      <w:proofErr w:type="spellStart"/>
      <w:r w:rsidRPr="007429EB">
        <w:rPr>
          <w:rFonts w:ascii="Times New Roman" w:hAnsi="Times New Roman" w:cs="Times New Roman"/>
          <w:sz w:val="24"/>
          <w:szCs w:val="24"/>
        </w:rPr>
        <w:t>Elgudin</w:t>
      </w:r>
      <w:proofErr w:type="spellEnd"/>
      <w:r w:rsidRPr="007429EB">
        <w:rPr>
          <w:rFonts w:ascii="Times New Roman" w:hAnsi="Times New Roman" w:cs="Times New Roman"/>
          <w:sz w:val="24"/>
          <w:szCs w:val="24"/>
        </w:rPr>
        <w:t xml:space="preserve"> Y, Nasir K, Rajagopalan S, Al‐Kindi S, Deo S (2023) Trends in cardiovascular disease mortality by County‐Level Social Vulnerability Index in the United States. Journal of the American Heart Association. https://doi.org/10.1161/jaha.123.030290</w:t>
      </w:r>
    </w:p>
    <w:p w14:paraId="33D361CA" w14:textId="622EEC5E"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lastRenderedPageBreak/>
        <w:t>11</w:t>
      </w:r>
      <w:r w:rsidR="007E0B39">
        <w:rPr>
          <w:rFonts w:ascii="Times New Roman" w:hAnsi="Times New Roman" w:cs="Times New Roman"/>
          <w:sz w:val="24"/>
          <w:szCs w:val="24"/>
        </w:rPr>
        <w:t>6</w:t>
      </w:r>
      <w:r w:rsidRPr="007429EB">
        <w:rPr>
          <w:rFonts w:ascii="Times New Roman" w:hAnsi="Times New Roman" w:cs="Times New Roman"/>
          <w:sz w:val="24"/>
          <w:szCs w:val="24"/>
        </w:rPr>
        <w:t>.</w:t>
      </w:r>
      <w:r w:rsidRPr="007429EB">
        <w:rPr>
          <w:rFonts w:ascii="Times New Roman" w:hAnsi="Times New Roman" w:cs="Times New Roman"/>
          <w:sz w:val="24"/>
          <w:szCs w:val="24"/>
        </w:rPr>
        <w:tab/>
        <w:t>Social Deprivation Index (SDI). In: Robert Graham Center. https://www.graham-center.org/maps-data-tools/social-deprivation-index.html.</w:t>
      </w:r>
    </w:p>
    <w:p w14:paraId="4F5B48BD" w14:textId="473784A7"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11</w:t>
      </w:r>
      <w:r w:rsidR="007E0B39">
        <w:rPr>
          <w:rFonts w:ascii="Times New Roman" w:hAnsi="Times New Roman" w:cs="Times New Roman"/>
          <w:sz w:val="24"/>
          <w:szCs w:val="24"/>
        </w:rPr>
        <w:t>7</w:t>
      </w:r>
      <w:r w:rsidRPr="007429EB">
        <w:rPr>
          <w:rFonts w:ascii="Times New Roman" w:hAnsi="Times New Roman" w:cs="Times New Roman"/>
          <w:sz w:val="24"/>
          <w:szCs w:val="24"/>
        </w:rPr>
        <w:t>.</w:t>
      </w:r>
      <w:r w:rsidRPr="007429EB">
        <w:rPr>
          <w:rFonts w:ascii="Times New Roman" w:hAnsi="Times New Roman" w:cs="Times New Roman"/>
          <w:sz w:val="24"/>
          <w:szCs w:val="24"/>
        </w:rPr>
        <w:tab/>
        <w:t>Butler DC, Petterson S, Phillips RL, Bazemore AW (2012) Measures of Social Deprivation That Predict Health Care Access and Need within a Rational Area of Primary Care Service Delivery. Health Services Research 48:539–559</w:t>
      </w:r>
    </w:p>
    <w:p w14:paraId="7C026A00" w14:textId="7B49E418"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11</w:t>
      </w:r>
      <w:r w:rsidR="007E0B39">
        <w:rPr>
          <w:rFonts w:ascii="Times New Roman" w:hAnsi="Times New Roman" w:cs="Times New Roman"/>
          <w:sz w:val="24"/>
          <w:szCs w:val="24"/>
        </w:rPr>
        <w:t>8</w:t>
      </w:r>
      <w:r w:rsidRPr="007429EB">
        <w:rPr>
          <w:rFonts w:ascii="Times New Roman" w:hAnsi="Times New Roman" w:cs="Times New Roman"/>
          <w:sz w:val="24"/>
          <w:szCs w:val="24"/>
        </w:rPr>
        <w:t>.</w:t>
      </w:r>
      <w:r w:rsidRPr="007429EB">
        <w:rPr>
          <w:rFonts w:ascii="Times New Roman" w:hAnsi="Times New Roman" w:cs="Times New Roman"/>
          <w:sz w:val="24"/>
          <w:szCs w:val="24"/>
        </w:rPr>
        <w:tab/>
        <w:t>Patel SA, Krasnow M, Long K, Shirey T, Dickert N, Morris AA (2020) Excess 30-Day heart failure readmissions and mortality in Black patients increases with neighborhood deprivation. Circulation Heart Failure. https://doi.org/10.1161/circheartfailure.120.007947</w:t>
      </w:r>
    </w:p>
    <w:p w14:paraId="03A97F0F" w14:textId="5967F636"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11</w:t>
      </w:r>
      <w:r w:rsidR="007E0B39">
        <w:rPr>
          <w:rFonts w:ascii="Times New Roman" w:hAnsi="Times New Roman" w:cs="Times New Roman"/>
          <w:sz w:val="24"/>
          <w:szCs w:val="24"/>
        </w:rPr>
        <w:t>9</w:t>
      </w:r>
      <w:r w:rsidRPr="007429EB">
        <w:rPr>
          <w:rFonts w:ascii="Times New Roman" w:hAnsi="Times New Roman" w:cs="Times New Roman"/>
          <w:sz w:val="24"/>
          <w:szCs w:val="24"/>
        </w:rPr>
        <w:t>.</w:t>
      </w:r>
      <w:r w:rsidRPr="007429EB">
        <w:rPr>
          <w:rFonts w:ascii="Times New Roman" w:hAnsi="Times New Roman" w:cs="Times New Roman"/>
          <w:sz w:val="24"/>
          <w:szCs w:val="24"/>
        </w:rPr>
        <w:tab/>
        <w:t>Khan SS, Matsushita K, Sang Y, et al (2023) Development and validation of the American Heart Association’s PREVENT equations. Circulation 149:430–449</w:t>
      </w:r>
    </w:p>
    <w:p w14:paraId="187C1C12" w14:textId="46B2428D"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w:t>
      </w:r>
      <w:r w:rsidR="007E0B39">
        <w:rPr>
          <w:rFonts w:ascii="Times New Roman" w:hAnsi="Times New Roman" w:cs="Times New Roman"/>
          <w:sz w:val="24"/>
          <w:szCs w:val="24"/>
        </w:rPr>
        <w:t>20</w:t>
      </w:r>
      <w:r w:rsidRPr="007429EB">
        <w:rPr>
          <w:rFonts w:ascii="Times New Roman" w:hAnsi="Times New Roman" w:cs="Times New Roman"/>
          <w:sz w:val="24"/>
          <w:szCs w:val="24"/>
        </w:rPr>
        <w:t>.</w:t>
      </w:r>
      <w:r w:rsidRPr="007429EB">
        <w:rPr>
          <w:rFonts w:ascii="Times New Roman" w:hAnsi="Times New Roman" w:cs="Times New Roman"/>
          <w:sz w:val="24"/>
          <w:szCs w:val="24"/>
        </w:rPr>
        <w:tab/>
        <w:t xml:space="preserve">Machado S, </w:t>
      </w:r>
      <w:proofErr w:type="spellStart"/>
      <w:r w:rsidRPr="007429EB">
        <w:rPr>
          <w:rFonts w:ascii="Times New Roman" w:hAnsi="Times New Roman" w:cs="Times New Roman"/>
          <w:sz w:val="24"/>
          <w:szCs w:val="24"/>
        </w:rPr>
        <w:t>Sumarsono</w:t>
      </w:r>
      <w:proofErr w:type="spellEnd"/>
      <w:r w:rsidRPr="007429EB">
        <w:rPr>
          <w:rFonts w:ascii="Times New Roman" w:hAnsi="Times New Roman" w:cs="Times New Roman"/>
          <w:sz w:val="24"/>
          <w:szCs w:val="24"/>
        </w:rPr>
        <w:t xml:space="preserve"> A, Vaduganathan M (2021) Midlife wealth mobility and long-term cardiovascular health. JAMA Cardiology 6:1152</w:t>
      </w:r>
    </w:p>
    <w:p w14:paraId="6C4DAC2A" w14:textId="5A2E7171"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w:t>
      </w:r>
      <w:r w:rsidR="007E0B39">
        <w:rPr>
          <w:rFonts w:ascii="Times New Roman" w:hAnsi="Times New Roman" w:cs="Times New Roman"/>
          <w:sz w:val="24"/>
          <w:szCs w:val="24"/>
        </w:rPr>
        <w:t>21</w:t>
      </w:r>
      <w:r w:rsidRPr="007429EB">
        <w:rPr>
          <w:rFonts w:ascii="Times New Roman" w:hAnsi="Times New Roman" w:cs="Times New Roman"/>
          <w:sz w:val="24"/>
          <w:szCs w:val="24"/>
        </w:rPr>
        <w:t>.</w:t>
      </w:r>
      <w:r w:rsidRPr="007429EB">
        <w:rPr>
          <w:rFonts w:ascii="Times New Roman" w:hAnsi="Times New Roman" w:cs="Times New Roman"/>
          <w:sz w:val="24"/>
          <w:szCs w:val="24"/>
        </w:rPr>
        <w:tab/>
        <w:t>Wehbe C, Baroud H (2024) Limitations and considerations of using composite indicators to measure vulnerability to natural hazards. Scientific Reports. https://doi.org/10.1038/s41598-024-68060-z</w:t>
      </w:r>
    </w:p>
    <w:p w14:paraId="7AD2A7FD" w14:textId="170123E0"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w:t>
      </w:r>
      <w:r w:rsidR="007E0B39">
        <w:rPr>
          <w:rFonts w:ascii="Times New Roman" w:hAnsi="Times New Roman" w:cs="Times New Roman"/>
          <w:sz w:val="24"/>
          <w:szCs w:val="24"/>
        </w:rPr>
        <w:t>22</w:t>
      </w:r>
      <w:r w:rsidRPr="007429EB">
        <w:rPr>
          <w:rFonts w:ascii="Times New Roman" w:hAnsi="Times New Roman" w:cs="Times New Roman"/>
          <w:sz w:val="24"/>
          <w:szCs w:val="24"/>
        </w:rPr>
        <w:t>.</w:t>
      </w:r>
      <w:r w:rsidRPr="007429EB">
        <w:rPr>
          <w:rFonts w:ascii="Times New Roman" w:hAnsi="Times New Roman" w:cs="Times New Roman"/>
          <w:sz w:val="24"/>
          <w:szCs w:val="24"/>
        </w:rPr>
        <w:tab/>
        <w:t>Petterson S (2023) Deciphering the Neighborhood Atlas Area Deprivation Index: the consequences of not standardizing. Health Affairs Scholar. https://doi.org/10.1093/haschl/qxad063</w:t>
      </w:r>
    </w:p>
    <w:p w14:paraId="7E8381ED" w14:textId="1B8555BD"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w:t>
      </w:r>
      <w:r w:rsidR="007E0B39">
        <w:rPr>
          <w:rFonts w:ascii="Times New Roman" w:hAnsi="Times New Roman" w:cs="Times New Roman"/>
          <w:sz w:val="24"/>
          <w:szCs w:val="24"/>
        </w:rPr>
        <w:t>23</w:t>
      </w:r>
      <w:r w:rsidRPr="007429EB">
        <w:rPr>
          <w:rFonts w:ascii="Times New Roman" w:hAnsi="Times New Roman" w:cs="Times New Roman"/>
          <w:sz w:val="24"/>
          <w:szCs w:val="24"/>
        </w:rPr>
        <w:t>.</w:t>
      </w:r>
      <w:r w:rsidRPr="007429EB">
        <w:rPr>
          <w:rFonts w:ascii="Times New Roman" w:hAnsi="Times New Roman" w:cs="Times New Roman"/>
          <w:sz w:val="24"/>
          <w:szCs w:val="24"/>
        </w:rPr>
        <w:tab/>
        <w:t xml:space="preserve">Moise N, </w:t>
      </w:r>
      <w:proofErr w:type="spellStart"/>
      <w:r w:rsidRPr="007429EB">
        <w:rPr>
          <w:rFonts w:ascii="Times New Roman" w:hAnsi="Times New Roman" w:cs="Times New Roman"/>
          <w:sz w:val="24"/>
          <w:szCs w:val="24"/>
        </w:rPr>
        <w:t>Cené</w:t>
      </w:r>
      <w:proofErr w:type="spellEnd"/>
      <w:r w:rsidRPr="007429EB">
        <w:rPr>
          <w:rFonts w:ascii="Times New Roman" w:hAnsi="Times New Roman" w:cs="Times New Roman"/>
          <w:sz w:val="24"/>
          <w:szCs w:val="24"/>
        </w:rPr>
        <w:t xml:space="preserve"> CW, Tabak RG, Young DR, Mills KT, Essien UR, Anderson CAM, Lopez-Jimenez F (2022) Leveraging implementation science for cardiovascular health equity: A scientific statement from the American Heart Association. Circulation. https://doi.org/10.1161/cir.0000000000001096</w:t>
      </w:r>
    </w:p>
    <w:p w14:paraId="161C6C64" w14:textId="05DDE06F"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12</w:t>
      </w:r>
      <w:r w:rsidR="007E0B39">
        <w:rPr>
          <w:rFonts w:ascii="Times New Roman" w:hAnsi="Times New Roman" w:cs="Times New Roman"/>
          <w:sz w:val="24"/>
          <w:szCs w:val="24"/>
        </w:rPr>
        <w:t>4</w:t>
      </w:r>
      <w:r w:rsidRPr="007429EB">
        <w:rPr>
          <w:rFonts w:ascii="Times New Roman" w:hAnsi="Times New Roman" w:cs="Times New Roman"/>
          <w:sz w:val="24"/>
          <w:szCs w:val="24"/>
        </w:rPr>
        <w:t>.</w:t>
      </w:r>
      <w:r w:rsidRPr="007429EB">
        <w:rPr>
          <w:rFonts w:ascii="Times New Roman" w:hAnsi="Times New Roman" w:cs="Times New Roman"/>
          <w:sz w:val="24"/>
          <w:szCs w:val="24"/>
        </w:rPr>
        <w:tab/>
        <w:t>Victor RG, Lynch K, Li N, et al (2018) A Cluster-Randomized trial of Blood-Pressure reduction in Black barbershops. New England Journal of Medicine 378:1291–1301</w:t>
      </w:r>
    </w:p>
    <w:p w14:paraId="5B770594" w14:textId="5A0BDF60"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12</w:t>
      </w:r>
      <w:r w:rsidR="007E0B39">
        <w:rPr>
          <w:rFonts w:ascii="Times New Roman" w:hAnsi="Times New Roman" w:cs="Times New Roman"/>
          <w:sz w:val="24"/>
          <w:szCs w:val="24"/>
        </w:rPr>
        <w:t>5</w:t>
      </w:r>
      <w:r w:rsidRPr="007429EB">
        <w:rPr>
          <w:rFonts w:ascii="Times New Roman" w:hAnsi="Times New Roman" w:cs="Times New Roman"/>
          <w:sz w:val="24"/>
          <w:szCs w:val="24"/>
        </w:rPr>
        <w:t>.</w:t>
      </w:r>
      <w:r w:rsidRPr="007429EB">
        <w:rPr>
          <w:rFonts w:ascii="Times New Roman" w:hAnsi="Times New Roman" w:cs="Times New Roman"/>
          <w:sz w:val="24"/>
          <w:szCs w:val="24"/>
        </w:rPr>
        <w:tab/>
        <w:t xml:space="preserve">Singh K, Bawa VS, </w:t>
      </w:r>
      <w:proofErr w:type="spellStart"/>
      <w:r w:rsidRPr="007429EB">
        <w:rPr>
          <w:rFonts w:ascii="Times New Roman" w:hAnsi="Times New Roman" w:cs="Times New Roman"/>
          <w:sz w:val="24"/>
          <w:szCs w:val="24"/>
        </w:rPr>
        <w:t>Venkateshmurthy</w:t>
      </w:r>
      <w:proofErr w:type="spellEnd"/>
      <w:r w:rsidRPr="007429EB">
        <w:rPr>
          <w:rFonts w:ascii="Times New Roman" w:hAnsi="Times New Roman" w:cs="Times New Roman"/>
          <w:sz w:val="24"/>
          <w:szCs w:val="24"/>
        </w:rPr>
        <w:t xml:space="preserve"> NS, et al (2021) Assessment of studies of quality improvement strategies to enhance outcomes in patients with cardiovascular disease. JAMA Network Open 4:e2113375</w:t>
      </w:r>
    </w:p>
    <w:p w14:paraId="001DE306" w14:textId="5823730E"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12</w:t>
      </w:r>
      <w:r w:rsidR="007E0B39">
        <w:rPr>
          <w:rFonts w:ascii="Times New Roman" w:hAnsi="Times New Roman" w:cs="Times New Roman"/>
          <w:sz w:val="24"/>
          <w:szCs w:val="24"/>
        </w:rPr>
        <w:t>6</w:t>
      </w:r>
      <w:r w:rsidRPr="007429EB">
        <w:rPr>
          <w:rFonts w:ascii="Times New Roman" w:hAnsi="Times New Roman" w:cs="Times New Roman"/>
          <w:sz w:val="24"/>
          <w:szCs w:val="24"/>
        </w:rPr>
        <w:t>.</w:t>
      </w:r>
      <w:r w:rsidRPr="007429EB">
        <w:rPr>
          <w:rFonts w:ascii="Times New Roman" w:hAnsi="Times New Roman" w:cs="Times New Roman"/>
          <w:sz w:val="24"/>
          <w:szCs w:val="24"/>
        </w:rPr>
        <w:tab/>
        <w:t xml:space="preserve">Douglass PL, </w:t>
      </w:r>
      <w:proofErr w:type="spellStart"/>
      <w:r w:rsidRPr="007429EB">
        <w:rPr>
          <w:rFonts w:ascii="Times New Roman" w:hAnsi="Times New Roman" w:cs="Times New Roman"/>
          <w:sz w:val="24"/>
          <w:szCs w:val="24"/>
        </w:rPr>
        <w:t>Itchhaporia</w:t>
      </w:r>
      <w:proofErr w:type="spellEnd"/>
      <w:r w:rsidRPr="007429EB">
        <w:rPr>
          <w:rFonts w:ascii="Times New Roman" w:hAnsi="Times New Roman" w:cs="Times New Roman"/>
          <w:sz w:val="24"/>
          <w:szCs w:val="24"/>
        </w:rPr>
        <w:t xml:space="preserve"> D, Bozkurt B, et al (2024) Achieving equitable cardiovascular care for all. JACC Advances 3:101050</w:t>
      </w:r>
    </w:p>
    <w:p w14:paraId="159B1202" w14:textId="55E19846"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12</w:t>
      </w:r>
      <w:r w:rsidR="007E0B39">
        <w:rPr>
          <w:rFonts w:ascii="Times New Roman" w:hAnsi="Times New Roman" w:cs="Times New Roman"/>
          <w:sz w:val="24"/>
          <w:szCs w:val="24"/>
        </w:rPr>
        <w:t>7</w:t>
      </w:r>
      <w:r w:rsidRPr="007429EB">
        <w:rPr>
          <w:rFonts w:ascii="Times New Roman" w:hAnsi="Times New Roman" w:cs="Times New Roman"/>
          <w:sz w:val="24"/>
          <w:szCs w:val="24"/>
        </w:rPr>
        <w:t>.</w:t>
      </w:r>
      <w:r w:rsidRPr="007429EB">
        <w:rPr>
          <w:rFonts w:ascii="Times New Roman" w:hAnsi="Times New Roman" w:cs="Times New Roman"/>
          <w:sz w:val="24"/>
          <w:szCs w:val="24"/>
        </w:rPr>
        <w:tab/>
        <w:t>Schwartz JK, Kringle EA, Burns SP, Hoyt CR, Harris KM, Tayeb S (2024) Cardiovascular Outcomes, Health-Promoting Behaviors, and Social Determinants: Structural Racism and the Behavioral Risk Factor Surveillance system. Health Equity 8:707–719</w:t>
      </w:r>
    </w:p>
    <w:p w14:paraId="790E8C60" w14:textId="506ED239"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12</w:t>
      </w:r>
      <w:r w:rsidR="007E0B39">
        <w:rPr>
          <w:rFonts w:ascii="Times New Roman" w:hAnsi="Times New Roman" w:cs="Times New Roman"/>
          <w:sz w:val="24"/>
          <w:szCs w:val="24"/>
        </w:rPr>
        <w:t>8</w:t>
      </w:r>
      <w:r w:rsidRPr="007429EB">
        <w:rPr>
          <w:rFonts w:ascii="Times New Roman" w:hAnsi="Times New Roman" w:cs="Times New Roman"/>
          <w:sz w:val="24"/>
          <w:szCs w:val="24"/>
        </w:rPr>
        <w:t>.</w:t>
      </w:r>
      <w:r w:rsidRPr="007429EB">
        <w:rPr>
          <w:rFonts w:ascii="Times New Roman" w:hAnsi="Times New Roman" w:cs="Times New Roman"/>
          <w:sz w:val="24"/>
          <w:szCs w:val="24"/>
        </w:rPr>
        <w:tab/>
      </w:r>
      <w:proofErr w:type="spellStart"/>
      <w:r w:rsidRPr="007429EB">
        <w:rPr>
          <w:rFonts w:ascii="Times New Roman" w:hAnsi="Times New Roman" w:cs="Times New Roman"/>
          <w:sz w:val="24"/>
          <w:szCs w:val="24"/>
        </w:rPr>
        <w:t>D’Lima</w:t>
      </w:r>
      <w:proofErr w:type="spellEnd"/>
      <w:r w:rsidRPr="007429EB">
        <w:rPr>
          <w:rFonts w:ascii="Times New Roman" w:hAnsi="Times New Roman" w:cs="Times New Roman"/>
          <w:sz w:val="24"/>
          <w:szCs w:val="24"/>
        </w:rPr>
        <w:t xml:space="preserve"> D, Soukup T, Hull L (2022) Evaluating the Application of the RE-AIM Planning and Evaluation Framework: An updated Systematic review and exploration of Pragmatic application. Frontiers in Public Health. https://doi.org/10.3389/fpubh.2021.755738</w:t>
      </w:r>
    </w:p>
    <w:p w14:paraId="3E2C292E" w14:textId="47B48109"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12</w:t>
      </w:r>
      <w:r w:rsidR="007E0B39">
        <w:rPr>
          <w:rFonts w:ascii="Times New Roman" w:hAnsi="Times New Roman" w:cs="Times New Roman"/>
          <w:sz w:val="24"/>
          <w:szCs w:val="24"/>
        </w:rPr>
        <w:t>9</w:t>
      </w:r>
      <w:r w:rsidRPr="007429EB">
        <w:rPr>
          <w:rFonts w:ascii="Times New Roman" w:hAnsi="Times New Roman" w:cs="Times New Roman"/>
          <w:sz w:val="24"/>
          <w:szCs w:val="24"/>
        </w:rPr>
        <w:t>.</w:t>
      </w:r>
      <w:r w:rsidRPr="007429EB">
        <w:rPr>
          <w:rFonts w:ascii="Times New Roman" w:hAnsi="Times New Roman" w:cs="Times New Roman"/>
          <w:sz w:val="24"/>
          <w:szCs w:val="24"/>
        </w:rPr>
        <w:tab/>
      </w:r>
      <w:proofErr w:type="spellStart"/>
      <w:r w:rsidRPr="007429EB">
        <w:rPr>
          <w:rFonts w:ascii="Times New Roman" w:hAnsi="Times New Roman" w:cs="Times New Roman"/>
          <w:sz w:val="24"/>
          <w:szCs w:val="24"/>
        </w:rPr>
        <w:t>Safaeinili</w:t>
      </w:r>
      <w:proofErr w:type="spellEnd"/>
      <w:r w:rsidRPr="007429EB">
        <w:rPr>
          <w:rFonts w:ascii="Times New Roman" w:hAnsi="Times New Roman" w:cs="Times New Roman"/>
          <w:sz w:val="24"/>
          <w:szCs w:val="24"/>
        </w:rPr>
        <w:t xml:space="preserve"> N, Brown‐Johnson C, Shaw JG, Mahoney M, Winget M (2019) CFIR simplified: Pragmatic application of and adaptations to the Consolidated Framework for Implementation Research (CFIR) for evaluation of a patient‐centered care transformation within a learning health system. Learning Health Systems. https://doi.org/10.1002/lrh2.10201</w:t>
      </w:r>
    </w:p>
    <w:p w14:paraId="3F34A1C1" w14:textId="4813ED41"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lastRenderedPageBreak/>
        <w:t>1</w:t>
      </w:r>
      <w:r w:rsidR="007E0B39">
        <w:rPr>
          <w:rFonts w:ascii="Times New Roman" w:hAnsi="Times New Roman" w:cs="Times New Roman"/>
          <w:sz w:val="24"/>
          <w:szCs w:val="24"/>
        </w:rPr>
        <w:t>30</w:t>
      </w:r>
      <w:r w:rsidRPr="007429EB">
        <w:rPr>
          <w:rFonts w:ascii="Times New Roman" w:hAnsi="Times New Roman" w:cs="Times New Roman"/>
          <w:sz w:val="24"/>
          <w:szCs w:val="24"/>
        </w:rPr>
        <w:t>.</w:t>
      </w:r>
      <w:r w:rsidRPr="007429EB">
        <w:rPr>
          <w:rFonts w:ascii="Times New Roman" w:hAnsi="Times New Roman" w:cs="Times New Roman"/>
          <w:sz w:val="24"/>
          <w:szCs w:val="24"/>
        </w:rPr>
        <w:tab/>
        <w:t>Anderson TS, Wilson LM, Sussman JB (2024) Atherosclerotic cardiovascular Disease risk estimates using the predicting risk of cardiovascular disease Events equations. JAMA Internal Medicine 184:963</w:t>
      </w:r>
    </w:p>
    <w:p w14:paraId="612E2CFF" w14:textId="70D7D125"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w:t>
      </w:r>
      <w:r w:rsidR="007E0B39">
        <w:rPr>
          <w:rFonts w:ascii="Times New Roman" w:hAnsi="Times New Roman" w:cs="Times New Roman"/>
          <w:sz w:val="24"/>
          <w:szCs w:val="24"/>
        </w:rPr>
        <w:t>31</w:t>
      </w:r>
      <w:r w:rsidRPr="007429EB">
        <w:rPr>
          <w:rFonts w:ascii="Times New Roman" w:hAnsi="Times New Roman" w:cs="Times New Roman"/>
          <w:sz w:val="24"/>
          <w:szCs w:val="24"/>
        </w:rPr>
        <w:t>.</w:t>
      </w:r>
      <w:r w:rsidRPr="007429EB">
        <w:rPr>
          <w:rFonts w:ascii="Times New Roman" w:hAnsi="Times New Roman" w:cs="Times New Roman"/>
          <w:sz w:val="24"/>
          <w:szCs w:val="24"/>
        </w:rPr>
        <w:tab/>
        <w:t xml:space="preserve">Knowles M, Crowley AP, Vasan A, </w:t>
      </w:r>
      <w:proofErr w:type="spellStart"/>
      <w:r w:rsidRPr="007429EB">
        <w:rPr>
          <w:rFonts w:ascii="Times New Roman" w:hAnsi="Times New Roman" w:cs="Times New Roman"/>
          <w:sz w:val="24"/>
          <w:szCs w:val="24"/>
        </w:rPr>
        <w:t>Kangovi</w:t>
      </w:r>
      <w:proofErr w:type="spellEnd"/>
      <w:r w:rsidRPr="007429EB">
        <w:rPr>
          <w:rFonts w:ascii="Times New Roman" w:hAnsi="Times New Roman" w:cs="Times New Roman"/>
          <w:sz w:val="24"/>
          <w:szCs w:val="24"/>
        </w:rPr>
        <w:t xml:space="preserve"> S (2023) Community Health Worker Integration with and Effectiveness in Health Care and Public Health in the United States. Annual Review of Public Health 44:363–381</w:t>
      </w:r>
    </w:p>
    <w:p w14:paraId="43812234" w14:textId="238332FE"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w:t>
      </w:r>
      <w:r w:rsidR="007E0B39">
        <w:rPr>
          <w:rFonts w:ascii="Times New Roman" w:hAnsi="Times New Roman" w:cs="Times New Roman"/>
          <w:sz w:val="24"/>
          <w:szCs w:val="24"/>
        </w:rPr>
        <w:t>32</w:t>
      </w:r>
      <w:r w:rsidRPr="007429EB">
        <w:rPr>
          <w:rFonts w:ascii="Times New Roman" w:hAnsi="Times New Roman" w:cs="Times New Roman"/>
          <w:sz w:val="24"/>
          <w:szCs w:val="24"/>
        </w:rPr>
        <w:t>.</w:t>
      </w:r>
      <w:r w:rsidRPr="007429EB">
        <w:rPr>
          <w:rFonts w:ascii="Times New Roman" w:hAnsi="Times New Roman" w:cs="Times New Roman"/>
          <w:sz w:val="24"/>
          <w:szCs w:val="24"/>
        </w:rPr>
        <w:tab/>
        <w:t xml:space="preserve">Kini V, </w:t>
      </w:r>
      <w:proofErr w:type="spellStart"/>
      <w:r w:rsidRPr="007429EB">
        <w:rPr>
          <w:rFonts w:ascii="Times New Roman" w:hAnsi="Times New Roman" w:cs="Times New Roman"/>
          <w:sz w:val="24"/>
          <w:szCs w:val="24"/>
        </w:rPr>
        <w:t>Breathett</w:t>
      </w:r>
      <w:proofErr w:type="spellEnd"/>
      <w:r w:rsidRPr="007429EB">
        <w:rPr>
          <w:rFonts w:ascii="Times New Roman" w:hAnsi="Times New Roman" w:cs="Times New Roman"/>
          <w:sz w:val="24"/>
          <w:szCs w:val="24"/>
        </w:rPr>
        <w:t xml:space="preserve"> K, Groeneveld PW, Ho PM, Nallamothu BK, Peterson PN, Rush P, Wang TY, Zeitler EP, Borden WB (2022) Strategies to Reduce Low-Value Cardiovascular Care: A scientific statement from the American Heart Association. Circulation Cardiovascular Quality and Outcomes. https://doi.org/10.1161/hcq.0000000000000105</w:t>
      </w:r>
    </w:p>
    <w:p w14:paraId="4C0A107D" w14:textId="26955B0B"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w:t>
      </w:r>
      <w:r w:rsidR="007E0B39">
        <w:rPr>
          <w:rFonts w:ascii="Times New Roman" w:hAnsi="Times New Roman" w:cs="Times New Roman"/>
          <w:sz w:val="24"/>
          <w:szCs w:val="24"/>
        </w:rPr>
        <w:t>33</w:t>
      </w:r>
      <w:r w:rsidRPr="007429EB">
        <w:rPr>
          <w:rFonts w:ascii="Times New Roman" w:hAnsi="Times New Roman" w:cs="Times New Roman"/>
          <w:sz w:val="24"/>
          <w:szCs w:val="24"/>
        </w:rPr>
        <w:t>.</w:t>
      </w:r>
      <w:r w:rsidRPr="007429EB">
        <w:rPr>
          <w:rFonts w:ascii="Times New Roman" w:hAnsi="Times New Roman" w:cs="Times New Roman"/>
          <w:sz w:val="24"/>
          <w:szCs w:val="24"/>
        </w:rPr>
        <w:tab/>
        <w:t>Helfrich CD, Hartmann CW, Parikh TJ, Au DH (2019) Promoting Health Equity through De-Implementation Research. Ethnicity &amp; Disease 29:93–96</w:t>
      </w:r>
    </w:p>
    <w:p w14:paraId="39275EF5" w14:textId="08BED070"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13</w:t>
      </w:r>
      <w:r w:rsidR="007E0B39">
        <w:rPr>
          <w:rFonts w:ascii="Times New Roman" w:hAnsi="Times New Roman" w:cs="Times New Roman"/>
          <w:sz w:val="24"/>
          <w:szCs w:val="24"/>
        </w:rPr>
        <w:t>4</w:t>
      </w:r>
      <w:r w:rsidRPr="007429EB">
        <w:rPr>
          <w:rFonts w:ascii="Times New Roman" w:hAnsi="Times New Roman" w:cs="Times New Roman"/>
          <w:sz w:val="24"/>
          <w:szCs w:val="24"/>
        </w:rPr>
        <w:t>.</w:t>
      </w:r>
      <w:r w:rsidRPr="007429EB">
        <w:rPr>
          <w:rFonts w:ascii="Times New Roman" w:hAnsi="Times New Roman" w:cs="Times New Roman"/>
          <w:sz w:val="24"/>
          <w:szCs w:val="24"/>
        </w:rPr>
        <w:tab/>
      </w:r>
      <w:proofErr w:type="spellStart"/>
      <w:r w:rsidRPr="007429EB">
        <w:rPr>
          <w:rFonts w:ascii="Times New Roman" w:hAnsi="Times New Roman" w:cs="Times New Roman"/>
          <w:sz w:val="24"/>
          <w:szCs w:val="24"/>
        </w:rPr>
        <w:t>Pineles</w:t>
      </w:r>
      <w:proofErr w:type="spellEnd"/>
      <w:r w:rsidRPr="007429EB">
        <w:rPr>
          <w:rFonts w:ascii="Times New Roman" w:hAnsi="Times New Roman" w:cs="Times New Roman"/>
          <w:sz w:val="24"/>
          <w:szCs w:val="24"/>
        </w:rPr>
        <w:t xml:space="preserve"> BL, Bonafide CP, Ashcraft LE (2024) </w:t>
      </w:r>
      <w:proofErr w:type="spellStart"/>
      <w:r w:rsidRPr="007429EB">
        <w:rPr>
          <w:rFonts w:ascii="Times New Roman" w:hAnsi="Times New Roman" w:cs="Times New Roman"/>
          <w:sz w:val="24"/>
          <w:szCs w:val="24"/>
        </w:rPr>
        <w:t>Deimplementation</w:t>
      </w:r>
      <w:proofErr w:type="spellEnd"/>
      <w:r w:rsidRPr="007429EB">
        <w:rPr>
          <w:rFonts w:ascii="Times New Roman" w:hAnsi="Times New Roman" w:cs="Times New Roman"/>
          <w:sz w:val="24"/>
          <w:szCs w:val="24"/>
        </w:rPr>
        <w:t xml:space="preserve"> of Ineffective and Harmful Medical Practices: A Data-Driven Commentary. American Journal of Epidemiology. https://doi.org/10.1093/aje/kwae285</w:t>
      </w:r>
    </w:p>
    <w:p w14:paraId="3672A4C9" w14:textId="433371B0"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13</w:t>
      </w:r>
      <w:r w:rsidR="007E0B39">
        <w:rPr>
          <w:rFonts w:ascii="Times New Roman" w:hAnsi="Times New Roman" w:cs="Times New Roman"/>
          <w:sz w:val="24"/>
          <w:szCs w:val="24"/>
        </w:rPr>
        <w:t>5</w:t>
      </w:r>
      <w:r w:rsidRPr="007429EB">
        <w:rPr>
          <w:rFonts w:ascii="Times New Roman" w:hAnsi="Times New Roman" w:cs="Times New Roman"/>
          <w:sz w:val="24"/>
          <w:szCs w:val="24"/>
        </w:rPr>
        <w:t>.</w:t>
      </w:r>
      <w:r w:rsidRPr="007429EB">
        <w:rPr>
          <w:rFonts w:ascii="Times New Roman" w:hAnsi="Times New Roman" w:cs="Times New Roman"/>
          <w:sz w:val="24"/>
          <w:szCs w:val="24"/>
        </w:rPr>
        <w:tab/>
        <w:t>Simon GE, Garner BR, Smith JD, et al (2025) Rollout trial designs in implementation research are often necessary and sometimes preferred. Implementation Science. https://doi.org/10.1186/s13012-025-01422-x</w:t>
      </w:r>
    </w:p>
    <w:p w14:paraId="67288D4E" w14:textId="5788D3C6"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13</w:t>
      </w:r>
      <w:r w:rsidR="007E0B39">
        <w:rPr>
          <w:rFonts w:ascii="Times New Roman" w:hAnsi="Times New Roman" w:cs="Times New Roman"/>
          <w:sz w:val="24"/>
          <w:szCs w:val="24"/>
        </w:rPr>
        <w:t>6</w:t>
      </w:r>
      <w:r w:rsidRPr="007429EB">
        <w:rPr>
          <w:rFonts w:ascii="Times New Roman" w:hAnsi="Times New Roman" w:cs="Times New Roman"/>
          <w:sz w:val="24"/>
          <w:szCs w:val="24"/>
        </w:rPr>
        <w:t>.</w:t>
      </w:r>
      <w:r w:rsidRPr="007429EB">
        <w:rPr>
          <w:rFonts w:ascii="Times New Roman" w:hAnsi="Times New Roman" w:cs="Times New Roman"/>
          <w:sz w:val="24"/>
          <w:szCs w:val="24"/>
        </w:rPr>
        <w:tab/>
        <w:t>Hooper R (2021) Key concepts in clinical epidemiology: Stepped wedge trials. Journal of Clinical Epidemiology 137:159–162</w:t>
      </w:r>
    </w:p>
    <w:p w14:paraId="19C1E4D2" w14:textId="7763B2A5" w:rsidR="006B38ED" w:rsidRPr="007429EB" w:rsidRDefault="006B38ED" w:rsidP="007429EB">
      <w:pPr>
        <w:jc w:val="both"/>
        <w:rPr>
          <w:rFonts w:ascii="Times New Roman" w:hAnsi="Times New Roman" w:cs="Times New Roman"/>
          <w:sz w:val="24"/>
          <w:szCs w:val="24"/>
        </w:rPr>
      </w:pPr>
      <w:r w:rsidRPr="007429EB">
        <w:rPr>
          <w:rFonts w:ascii="Times New Roman" w:hAnsi="Times New Roman" w:cs="Times New Roman"/>
          <w:sz w:val="24"/>
          <w:szCs w:val="24"/>
        </w:rPr>
        <w:t>13</w:t>
      </w:r>
      <w:r w:rsidR="007E0B39">
        <w:rPr>
          <w:rFonts w:ascii="Times New Roman" w:hAnsi="Times New Roman" w:cs="Times New Roman"/>
          <w:sz w:val="24"/>
          <w:szCs w:val="24"/>
        </w:rPr>
        <w:t>7</w:t>
      </w:r>
      <w:r w:rsidRPr="007429EB">
        <w:rPr>
          <w:rFonts w:ascii="Times New Roman" w:hAnsi="Times New Roman" w:cs="Times New Roman"/>
          <w:sz w:val="24"/>
          <w:szCs w:val="24"/>
        </w:rPr>
        <w:t>.</w:t>
      </w:r>
      <w:r w:rsidRPr="007429EB">
        <w:rPr>
          <w:rFonts w:ascii="Times New Roman" w:hAnsi="Times New Roman" w:cs="Times New Roman"/>
          <w:sz w:val="24"/>
          <w:szCs w:val="24"/>
        </w:rPr>
        <w:tab/>
        <w:t>Breathett K, Lewsey S, Brownell NK, et al (2024) Implementation Science to Achieve equity in heart Failure Care: A scientific statement from the American Heart Association. Circulation. https://doi.org/10.1161/cir.0000000000001231</w:t>
      </w:r>
    </w:p>
    <w:p w14:paraId="3E740CF4" w14:textId="77777777" w:rsidR="006B38ED" w:rsidRPr="007429EB" w:rsidRDefault="006B38ED" w:rsidP="007429EB">
      <w:pPr>
        <w:jc w:val="both"/>
        <w:rPr>
          <w:rFonts w:ascii="Times New Roman" w:hAnsi="Times New Roman" w:cs="Times New Roman"/>
          <w:sz w:val="24"/>
          <w:szCs w:val="24"/>
        </w:rPr>
      </w:pPr>
    </w:p>
    <w:p w14:paraId="0521BD1E" w14:textId="77777777" w:rsidR="006B38ED" w:rsidRPr="007429EB" w:rsidRDefault="006B38ED" w:rsidP="007429EB">
      <w:pPr>
        <w:jc w:val="both"/>
        <w:rPr>
          <w:rFonts w:ascii="Times New Roman" w:hAnsi="Times New Roman" w:cs="Times New Roman"/>
          <w:sz w:val="24"/>
          <w:szCs w:val="24"/>
        </w:rPr>
      </w:pPr>
    </w:p>
    <w:p w14:paraId="7A60DE85" w14:textId="77777777" w:rsidR="006B38ED" w:rsidRPr="007429EB" w:rsidRDefault="006B38ED" w:rsidP="007429EB">
      <w:pPr>
        <w:jc w:val="both"/>
        <w:rPr>
          <w:rFonts w:ascii="Times New Roman" w:hAnsi="Times New Roman" w:cs="Times New Roman"/>
          <w:sz w:val="24"/>
          <w:szCs w:val="24"/>
        </w:rPr>
      </w:pPr>
    </w:p>
    <w:p w14:paraId="71457E1D" w14:textId="77777777" w:rsidR="006B38ED" w:rsidRPr="007429EB" w:rsidRDefault="006B38ED" w:rsidP="007429EB">
      <w:pPr>
        <w:jc w:val="both"/>
        <w:rPr>
          <w:rFonts w:ascii="Times New Roman" w:hAnsi="Times New Roman" w:cs="Times New Roman"/>
          <w:sz w:val="24"/>
          <w:szCs w:val="24"/>
        </w:rPr>
      </w:pPr>
    </w:p>
    <w:p w14:paraId="12040AA9" w14:textId="77777777" w:rsidR="006B38ED" w:rsidRPr="007429EB" w:rsidRDefault="006B38ED" w:rsidP="007429EB">
      <w:pPr>
        <w:jc w:val="both"/>
        <w:rPr>
          <w:rFonts w:ascii="Times New Roman" w:hAnsi="Times New Roman" w:cs="Times New Roman"/>
          <w:sz w:val="24"/>
          <w:szCs w:val="24"/>
        </w:rPr>
      </w:pPr>
    </w:p>
    <w:p w14:paraId="5AF72B49" w14:textId="77777777" w:rsidR="006B38ED" w:rsidRPr="007429EB" w:rsidRDefault="006B38ED" w:rsidP="007429EB">
      <w:pPr>
        <w:jc w:val="both"/>
        <w:rPr>
          <w:rFonts w:ascii="Times New Roman" w:hAnsi="Times New Roman" w:cs="Times New Roman"/>
          <w:sz w:val="24"/>
          <w:szCs w:val="24"/>
        </w:rPr>
      </w:pPr>
    </w:p>
    <w:sectPr w:rsidR="006B38ED" w:rsidRPr="007429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zNDY3NDU2MDU3MDZW0lEKTi0uzszPAykwrAUAz7XW4ywAAAA="/>
  </w:docVars>
  <w:rsids>
    <w:rsidRoot w:val="00C76776"/>
    <w:rsid w:val="00090B6A"/>
    <w:rsid w:val="001F11D9"/>
    <w:rsid w:val="00237847"/>
    <w:rsid w:val="002C68D1"/>
    <w:rsid w:val="00367371"/>
    <w:rsid w:val="004272C9"/>
    <w:rsid w:val="00430009"/>
    <w:rsid w:val="00593025"/>
    <w:rsid w:val="006349C2"/>
    <w:rsid w:val="00657822"/>
    <w:rsid w:val="00667C94"/>
    <w:rsid w:val="006B38ED"/>
    <w:rsid w:val="006C4CDB"/>
    <w:rsid w:val="007429EB"/>
    <w:rsid w:val="007E0B39"/>
    <w:rsid w:val="00B00752"/>
    <w:rsid w:val="00C76776"/>
    <w:rsid w:val="00CD07FC"/>
    <w:rsid w:val="00D04425"/>
    <w:rsid w:val="00EC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8633E"/>
  <w15:chartTrackingRefBased/>
  <w15:docId w15:val="{7824B37D-7EA8-1F44-AD12-4450AAD50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776"/>
    <w:pPr>
      <w:spacing w:after="0" w:line="276" w:lineRule="auto"/>
    </w:pPr>
    <w:rPr>
      <w:rFonts w:ascii="Arial" w:eastAsia="Arial" w:hAnsi="Arial" w:cs="Arial"/>
      <w:kern w:val="0"/>
      <w:sz w:val="22"/>
      <w:szCs w:val="22"/>
      <w:lang w:val="en" w:eastAsia="en-GB"/>
      <w14:ligatures w14:val="none"/>
    </w:rPr>
  </w:style>
  <w:style w:type="paragraph" w:styleId="Heading1">
    <w:name w:val="heading 1"/>
    <w:basedOn w:val="Normal"/>
    <w:next w:val="Normal"/>
    <w:link w:val="Heading1Char"/>
    <w:uiPriority w:val="9"/>
    <w:qFormat/>
    <w:rsid w:val="00C7677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C7677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C7677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C7677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eastAsia="en-US"/>
      <w14:ligatures w14:val="standardContextual"/>
    </w:rPr>
  </w:style>
  <w:style w:type="paragraph" w:styleId="Heading5">
    <w:name w:val="heading 5"/>
    <w:basedOn w:val="Normal"/>
    <w:next w:val="Normal"/>
    <w:link w:val="Heading5Char"/>
    <w:uiPriority w:val="9"/>
    <w:semiHidden/>
    <w:unhideWhenUsed/>
    <w:qFormat/>
    <w:rsid w:val="00C7677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eastAsia="en-US"/>
      <w14:ligatures w14:val="standardContextual"/>
    </w:rPr>
  </w:style>
  <w:style w:type="paragraph" w:styleId="Heading6">
    <w:name w:val="heading 6"/>
    <w:basedOn w:val="Normal"/>
    <w:next w:val="Normal"/>
    <w:link w:val="Heading6Char"/>
    <w:uiPriority w:val="9"/>
    <w:semiHidden/>
    <w:unhideWhenUsed/>
    <w:qFormat/>
    <w:rsid w:val="00C76776"/>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Heading7">
    <w:name w:val="heading 7"/>
    <w:basedOn w:val="Normal"/>
    <w:next w:val="Normal"/>
    <w:link w:val="Heading7Char"/>
    <w:uiPriority w:val="9"/>
    <w:semiHidden/>
    <w:unhideWhenUsed/>
    <w:qFormat/>
    <w:rsid w:val="00C76776"/>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Heading8">
    <w:name w:val="heading 8"/>
    <w:basedOn w:val="Normal"/>
    <w:next w:val="Normal"/>
    <w:link w:val="Heading8Char"/>
    <w:uiPriority w:val="9"/>
    <w:semiHidden/>
    <w:unhideWhenUsed/>
    <w:qFormat/>
    <w:rsid w:val="00C76776"/>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Heading9">
    <w:name w:val="heading 9"/>
    <w:basedOn w:val="Normal"/>
    <w:next w:val="Normal"/>
    <w:link w:val="Heading9Char"/>
    <w:uiPriority w:val="9"/>
    <w:semiHidden/>
    <w:unhideWhenUsed/>
    <w:qFormat/>
    <w:rsid w:val="00C76776"/>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67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67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67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67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67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6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6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6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6776"/>
    <w:rPr>
      <w:rFonts w:eastAsiaTheme="majorEastAsia" w:cstheme="majorBidi"/>
      <w:color w:val="272727" w:themeColor="text1" w:themeTint="D8"/>
    </w:rPr>
  </w:style>
  <w:style w:type="paragraph" w:styleId="Title">
    <w:name w:val="Title"/>
    <w:basedOn w:val="Normal"/>
    <w:next w:val="Normal"/>
    <w:link w:val="TitleChar"/>
    <w:uiPriority w:val="10"/>
    <w:qFormat/>
    <w:rsid w:val="00C76776"/>
    <w:pPr>
      <w:spacing w:after="80" w:line="240" w:lineRule="auto"/>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C767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677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C76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6776"/>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rsid w:val="00C76776"/>
    <w:rPr>
      <w:i/>
      <w:iCs/>
      <w:color w:val="404040" w:themeColor="text1" w:themeTint="BF"/>
    </w:rPr>
  </w:style>
  <w:style w:type="paragraph" w:styleId="ListParagraph">
    <w:name w:val="List Paragraph"/>
    <w:basedOn w:val="Normal"/>
    <w:uiPriority w:val="34"/>
    <w:qFormat/>
    <w:rsid w:val="00C76776"/>
    <w:pPr>
      <w:spacing w:after="160"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 w:type="character" w:styleId="IntenseEmphasis">
    <w:name w:val="Intense Emphasis"/>
    <w:basedOn w:val="DefaultParagraphFont"/>
    <w:uiPriority w:val="21"/>
    <w:qFormat/>
    <w:rsid w:val="00C76776"/>
    <w:rPr>
      <w:i/>
      <w:iCs/>
      <w:color w:val="0F4761" w:themeColor="accent1" w:themeShade="BF"/>
    </w:rPr>
  </w:style>
  <w:style w:type="paragraph" w:styleId="IntenseQuote">
    <w:name w:val="Intense Quote"/>
    <w:basedOn w:val="Normal"/>
    <w:next w:val="Normal"/>
    <w:link w:val="IntenseQuoteChar"/>
    <w:uiPriority w:val="30"/>
    <w:qFormat/>
    <w:rsid w:val="00C7677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rsid w:val="00C76776"/>
    <w:rPr>
      <w:i/>
      <w:iCs/>
      <w:color w:val="0F4761" w:themeColor="accent1" w:themeShade="BF"/>
    </w:rPr>
  </w:style>
  <w:style w:type="character" w:styleId="IntenseReference">
    <w:name w:val="Intense Reference"/>
    <w:basedOn w:val="DefaultParagraphFont"/>
    <w:uiPriority w:val="32"/>
    <w:qFormat/>
    <w:rsid w:val="00C76776"/>
    <w:rPr>
      <w:b/>
      <w:bCs/>
      <w:smallCaps/>
      <w:color w:val="0F4761" w:themeColor="accent1" w:themeShade="BF"/>
      <w:spacing w:val="5"/>
    </w:rPr>
  </w:style>
  <w:style w:type="paragraph" w:styleId="CommentText">
    <w:name w:val="annotation text"/>
    <w:basedOn w:val="Normal"/>
    <w:link w:val="CommentTextChar"/>
    <w:uiPriority w:val="99"/>
    <w:unhideWhenUsed/>
    <w:rsid w:val="00C76776"/>
    <w:pPr>
      <w:spacing w:line="240" w:lineRule="auto"/>
    </w:pPr>
    <w:rPr>
      <w:sz w:val="20"/>
      <w:szCs w:val="20"/>
    </w:rPr>
  </w:style>
  <w:style w:type="character" w:customStyle="1" w:styleId="CommentTextChar">
    <w:name w:val="Comment Text Char"/>
    <w:basedOn w:val="DefaultParagraphFont"/>
    <w:link w:val="CommentText"/>
    <w:uiPriority w:val="99"/>
    <w:rsid w:val="00C76776"/>
    <w:rPr>
      <w:rFonts w:ascii="Arial" w:eastAsia="Arial" w:hAnsi="Arial" w:cs="Arial"/>
      <w:kern w:val="0"/>
      <w:sz w:val="20"/>
      <w:szCs w:val="20"/>
      <w:lang w:val="en" w:eastAsia="en-GB"/>
      <w14:ligatures w14:val="none"/>
    </w:rPr>
  </w:style>
  <w:style w:type="character" w:styleId="CommentReference">
    <w:name w:val="annotation reference"/>
    <w:basedOn w:val="DefaultParagraphFont"/>
    <w:uiPriority w:val="99"/>
    <w:semiHidden/>
    <w:unhideWhenUsed/>
    <w:rsid w:val="00C76776"/>
    <w:rPr>
      <w:sz w:val="16"/>
      <w:szCs w:val="16"/>
    </w:rPr>
  </w:style>
  <w:style w:type="paragraph" w:styleId="CommentSubject">
    <w:name w:val="annotation subject"/>
    <w:basedOn w:val="CommentText"/>
    <w:next w:val="CommentText"/>
    <w:link w:val="CommentSubjectChar"/>
    <w:uiPriority w:val="99"/>
    <w:semiHidden/>
    <w:unhideWhenUsed/>
    <w:rsid w:val="00B00752"/>
    <w:rPr>
      <w:b/>
      <w:bCs/>
    </w:rPr>
  </w:style>
  <w:style w:type="character" w:customStyle="1" w:styleId="CommentSubjectChar">
    <w:name w:val="Comment Subject Char"/>
    <w:basedOn w:val="CommentTextChar"/>
    <w:link w:val="CommentSubject"/>
    <w:uiPriority w:val="99"/>
    <w:semiHidden/>
    <w:rsid w:val="00B00752"/>
    <w:rPr>
      <w:rFonts w:ascii="Arial" w:eastAsia="Arial" w:hAnsi="Arial" w:cs="Arial"/>
      <w:b/>
      <w:bCs/>
      <w:kern w:val="0"/>
      <w:sz w:val="20"/>
      <w:szCs w:val="20"/>
      <w:lang w:val="en" w:eastAsia="en-GB"/>
      <w14:ligatures w14:val="none"/>
    </w:rPr>
  </w:style>
  <w:style w:type="paragraph" w:styleId="Revision">
    <w:name w:val="Revision"/>
    <w:hidden/>
    <w:uiPriority w:val="99"/>
    <w:semiHidden/>
    <w:rsid w:val="00B00752"/>
    <w:pPr>
      <w:spacing w:after="0" w:line="240" w:lineRule="auto"/>
    </w:pPr>
    <w:rPr>
      <w:rFonts w:ascii="Arial" w:eastAsia="Arial" w:hAnsi="Arial" w:cs="Arial"/>
      <w:kern w:val="0"/>
      <w:sz w:val="22"/>
      <w:szCs w:val="22"/>
      <w:lang w:val="en"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24412</Words>
  <Characters>139151</Characters>
  <Application>Microsoft Office Word</Application>
  <DocSecurity>0</DocSecurity>
  <Lines>1159</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Cedrick Mutebi</dc:creator>
  <cp:keywords/>
  <dc:description/>
  <cp:lastModifiedBy>Toluwalase Awoyemi</cp:lastModifiedBy>
  <cp:revision>5</cp:revision>
  <dcterms:created xsi:type="dcterms:W3CDTF">2025-06-26T18:35:00Z</dcterms:created>
  <dcterms:modified xsi:type="dcterms:W3CDTF">2025-07-21T23:22:00Z</dcterms:modified>
</cp:coreProperties>
</file>