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agriglia6acolori"/>
        <w:tblW w:w="15468" w:type="dxa"/>
        <w:tblLook w:val="04A0" w:firstRow="1" w:lastRow="0" w:firstColumn="1" w:lastColumn="0" w:noHBand="0" w:noVBand="1"/>
      </w:tblPr>
      <w:tblGrid>
        <w:gridCol w:w="1701"/>
        <w:gridCol w:w="1472"/>
        <w:gridCol w:w="2625"/>
        <w:gridCol w:w="1683"/>
        <w:gridCol w:w="2099"/>
        <w:gridCol w:w="2039"/>
        <w:gridCol w:w="3842"/>
        <w:gridCol w:w="7"/>
      </w:tblGrid>
      <w:tr w:rsidR="002178D3" w:rsidRPr="00A73FD8" w14:paraId="4E74EC6E" w14:textId="77777777" w:rsidTr="006F66E9">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5468" w:type="dxa"/>
            <w:gridSpan w:val="8"/>
            <w:noWrap/>
          </w:tcPr>
          <w:p w14:paraId="03617FEA" w14:textId="12F75C3F" w:rsidR="002178D3" w:rsidRPr="00A73FD8" w:rsidRDefault="008803A5" w:rsidP="0039436D">
            <w:pPr>
              <w:rPr>
                <w:rFonts w:ascii="Times New Roman" w:eastAsia="Times New Roman" w:hAnsi="Times New Roman" w:cs="Times New Roman"/>
                <w:color w:val="000000"/>
                <w:kern w:val="0"/>
                <w:lang w:val="en-US" w:eastAsia="it-IT"/>
                <w14:ligatures w14:val="none"/>
              </w:rPr>
            </w:pPr>
            <w:r>
              <w:rPr>
                <w:rFonts w:ascii="Times New Roman" w:eastAsia="Times New Roman" w:hAnsi="Times New Roman" w:cs="Times New Roman"/>
                <w:color w:val="000000"/>
                <w:kern w:val="0"/>
                <w:lang w:val="en-US" w:eastAsia="it-IT"/>
                <w14:ligatures w14:val="none"/>
              </w:rPr>
              <w:t>Supplementary File 2</w:t>
            </w:r>
            <w:r w:rsidR="002178D3" w:rsidRPr="00A73FD8">
              <w:rPr>
                <w:rFonts w:ascii="Times New Roman" w:eastAsia="Times New Roman" w:hAnsi="Times New Roman" w:cs="Times New Roman"/>
                <w:color w:val="000000"/>
                <w:kern w:val="0"/>
                <w:lang w:val="en-US" w:eastAsia="it-IT"/>
                <w14:ligatures w14:val="none"/>
              </w:rPr>
              <w:t xml:space="preserve">. </w:t>
            </w:r>
            <w:r w:rsidR="002178D3" w:rsidRPr="00A73FD8">
              <w:rPr>
                <w:rFonts w:ascii="Times New Roman" w:eastAsia="Times New Roman" w:hAnsi="Times New Roman" w:cs="Times New Roman"/>
                <w:b w:val="0"/>
                <w:bCs w:val="0"/>
                <w:color w:val="000000"/>
                <w:kern w:val="0"/>
                <w:lang w:val="en-US" w:eastAsia="it-IT"/>
                <w14:ligatures w14:val="none"/>
              </w:rPr>
              <w:t>Summary of the included studies</w:t>
            </w:r>
          </w:p>
        </w:tc>
      </w:tr>
      <w:tr w:rsidR="002178D3" w:rsidRPr="00A73FD8" w14:paraId="02A77C8F"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457115C" w14:textId="6FF22A1D" w:rsidR="002178D3" w:rsidRPr="00A73FD8" w:rsidRDefault="002178D3" w:rsidP="00B33E24">
            <w:pPr>
              <w:jc w:val="center"/>
              <w:rPr>
                <w:rFonts w:ascii="Times New Roman" w:eastAsia="Times New Roman" w:hAnsi="Times New Roman" w:cs="Times New Roman"/>
                <w:b w:val="0"/>
                <w:bCs w:val="0"/>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Authors and year | types of publications</w:t>
            </w:r>
          </w:p>
        </w:tc>
        <w:tc>
          <w:tcPr>
            <w:tcW w:w="1472" w:type="dxa"/>
            <w:noWrap/>
            <w:hideMark/>
          </w:tcPr>
          <w:p w14:paraId="7B41DB1F" w14:textId="77777777"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r w:rsidRPr="00A73FD8">
              <w:rPr>
                <w:rFonts w:ascii="Times New Roman" w:eastAsia="Times New Roman" w:hAnsi="Times New Roman" w:cs="Times New Roman"/>
                <w:b/>
                <w:bCs/>
                <w:color w:val="000000"/>
                <w:kern w:val="0"/>
                <w:lang w:eastAsia="it-IT"/>
                <w14:ligatures w14:val="none"/>
              </w:rPr>
              <w:t>Country</w:t>
            </w:r>
          </w:p>
        </w:tc>
        <w:tc>
          <w:tcPr>
            <w:tcW w:w="2625" w:type="dxa"/>
            <w:noWrap/>
            <w:hideMark/>
          </w:tcPr>
          <w:p w14:paraId="28803943" w14:textId="7B68D29A"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proofErr w:type="spellStart"/>
            <w:r w:rsidRPr="00A73FD8">
              <w:rPr>
                <w:rFonts w:ascii="Times New Roman" w:eastAsia="Times New Roman" w:hAnsi="Times New Roman" w:cs="Times New Roman"/>
                <w:b/>
                <w:bCs/>
                <w:color w:val="000000"/>
                <w:kern w:val="0"/>
                <w:lang w:eastAsia="it-IT"/>
                <w14:ligatures w14:val="none"/>
              </w:rPr>
              <w:t>Main</w:t>
            </w:r>
            <w:proofErr w:type="spellEnd"/>
            <w:r w:rsidRPr="00A73FD8">
              <w:rPr>
                <w:rFonts w:ascii="Times New Roman" w:eastAsia="Times New Roman" w:hAnsi="Times New Roman" w:cs="Times New Roman"/>
                <w:b/>
                <w:bCs/>
                <w:color w:val="000000"/>
                <w:kern w:val="0"/>
                <w:lang w:eastAsia="it-IT"/>
                <w14:ligatures w14:val="none"/>
              </w:rPr>
              <w:t xml:space="preserve"> </w:t>
            </w:r>
            <w:proofErr w:type="spellStart"/>
            <w:r w:rsidRPr="00A73FD8">
              <w:rPr>
                <w:rFonts w:ascii="Times New Roman" w:eastAsia="Times New Roman" w:hAnsi="Times New Roman" w:cs="Times New Roman"/>
                <w:b/>
                <w:bCs/>
                <w:color w:val="000000"/>
                <w:kern w:val="0"/>
                <w:lang w:eastAsia="it-IT"/>
                <w14:ligatures w14:val="none"/>
              </w:rPr>
              <w:t>objective</w:t>
            </w:r>
            <w:proofErr w:type="spellEnd"/>
          </w:p>
        </w:tc>
        <w:tc>
          <w:tcPr>
            <w:tcW w:w="1683" w:type="dxa"/>
            <w:noWrap/>
            <w:hideMark/>
          </w:tcPr>
          <w:p w14:paraId="5A2182B3" w14:textId="44D673A8"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r w:rsidRPr="00A73FD8">
              <w:rPr>
                <w:rFonts w:ascii="Times New Roman" w:eastAsia="Times New Roman" w:hAnsi="Times New Roman" w:cs="Times New Roman"/>
                <w:b/>
                <w:bCs/>
                <w:color w:val="000000"/>
                <w:kern w:val="0"/>
                <w:lang w:eastAsia="it-IT"/>
                <w14:ligatures w14:val="none"/>
              </w:rPr>
              <w:t>Study design</w:t>
            </w:r>
          </w:p>
        </w:tc>
        <w:tc>
          <w:tcPr>
            <w:tcW w:w="2099" w:type="dxa"/>
            <w:noWrap/>
            <w:hideMark/>
          </w:tcPr>
          <w:p w14:paraId="529FF22E" w14:textId="77777777"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r w:rsidRPr="00A73FD8">
              <w:rPr>
                <w:rFonts w:ascii="Times New Roman" w:eastAsia="Times New Roman" w:hAnsi="Times New Roman" w:cs="Times New Roman"/>
                <w:b/>
                <w:bCs/>
                <w:color w:val="000000"/>
                <w:kern w:val="0"/>
                <w:lang w:eastAsia="it-IT"/>
                <w14:ligatures w14:val="none"/>
              </w:rPr>
              <w:t>Sample</w:t>
            </w:r>
          </w:p>
        </w:tc>
        <w:tc>
          <w:tcPr>
            <w:tcW w:w="2039" w:type="dxa"/>
            <w:noWrap/>
            <w:hideMark/>
          </w:tcPr>
          <w:p w14:paraId="5D1AB0CA" w14:textId="4AB0A418"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proofErr w:type="spellStart"/>
            <w:r w:rsidRPr="00A73FD8">
              <w:rPr>
                <w:rFonts w:ascii="Times New Roman" w:eastAsia="Times New Roman" w:hAnsi="Times New Roman" w:cs="Times New Roman"/>
                <w:b/>
                <w:bCs/>
                <w:color w:val="000000"/>
                <w:kern w:val="0"/>
                <w:lang w:eastAsia="it-IT"/>
                <w14:ligatures w14:val="none"/>
              </w:rPr>
              <w:t>Transition</w:t>
            </w:r>
            <w:proofErr w:type="spellEnd"/>
            <w:r w:rsidRPr="00A73FD8">
              <w:rPr>
                <w:rFonts w:ascii="Times New Roman" w:eastAsia="Times New Roman" w:hAnsi="Times New Roman" w:cs="Times New Roman"/>
                <w:b/>
                <w:bCs/>
                <w:color w:val="000000"/>
                <w:kern w:val="0"/>
                <w:lang w:eastAsia="it-IT"/>
                <w14:ligatures w14:val="none"/>
              </w:rPr>
              <w:t xml:space="preserve"> </w:t>
            </w:r>
            <w:proofErr w:type="spellStart"/>
            <w:r w:rsidRPr="00A73FD8">
              <w:rPr>
                <w:rFonts w:ascii="Times New Roman" w:eastAsia="Times New Roman" w:hAnsi="Times New Roman" w:cs="Times New Roman"/>
                <w:b/>
                <w:bCs/>
                <w:color w:val="000000"/>
                <w:kern w:val="0"/>
                <w:lang w:eastAsia="it-IT"/>
                <w14:ligatures w14:val="none"/>
              </w:rPr>
              <w:t>characteristics</w:t>
            </w:r>
            <w:proofErr w:type="spellEnd"/>
          </w:p>
        </w:tc>
        <w:tc>
          <w:tcPr>
            <w:tcW w:w="3842" w:type="dxa"/>
            <w:noWrap/>
            <w:hideMark/>
          </w:tcPr>
          <w:p w14:paraId="63FD2CAB" w14:textId="4CFFD446" w:rsidR="002178D3" w:rsidRPr="00A73FD8" w:rsidRDefault="002178D3" w:rsidP="00B33E2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it-IT"/>
                <w14:ligatures w14:val="none"/>
              </w:rPr>
            </w:pPr>
            <w:r w:rsidRPr="00A73FD8">
              <w:rPr>
                <w:rFonts w:ascii="Times New Roman" w:eastAsia="Times New Roman" w:hAnsi="Times New Roman" w:cs="Times New Roman"/>
                <w:b/>
                <w:bCs/>
                <w:color w:val="000000"/>
                <w:kern w:val="0"/>
                <w:lang w:eastAsia="it-IT"/>
                <w14:ligatures w14:val="none"/>
              </w:rPr>
              <w:t xml:space="preserve">Key </w:t>
            </w:r>
            <w:proofErr w:type="spellStart"/>
            <w:r w:rsidRPr="00A73FD8">
              <w:rPr>
                <w:rFonts w:ascii="Times New Roman" w:eastAsia="Times New Roman" w:hAnsi="Times New Roman" w:cs="Times New Roman"/>
                <w:b/>
                <w:bCs/>
                <w:color w:val="000000"/>
                <w:kern w:val="0"/>
                <w:lang w:eastAsia="it-IT"/>
                <w14:ligatures w14:val="none"/>
              </w:rPr>
              <w:t>findings</w:t>
            </w:r>
            <w:proofErr w:type="spellEnd"/>
          </w:p>
        </w:tc>
      </w:tr>
      <w:tr w:rsidR="002178D3" w:rsidRPr="00A73FD8" w14:paraId="63FABE9F" w14:textId="77777777" w:rsidTr="006F66E9">
        <w:trPr>
          <w:gridAfter w:val="1"/>
          <w:wAfter w:w="7" w:type="dxa"/>
          <w:trHeight w:val="4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571624F" w14:textId="32B890AD"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Bratt</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(2023)</w:t>
            </w:r>
          </w:p>
          <w:p w14:paraId="677997B7"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6E6224A8" w14:textId="483690CE"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46252F67"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Sweden</w:t>
            </w:r>
            <w:proofErr w:type="spellEnd"/>
          </w:p>
        </w:tc>
        <w:tc>
          <w:tcPr>
            <w:tcW w:w="2625" w:type="dxa"/>
            <w:noWrap/>
            <w:hideMark/>
          </w:tcPr>
          <w:p w14:paraId="1B986241"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assess the empowering effect of a structured, person-centered transition program for adolescents with congenital heart disease (CHD) and examine its impact on transition readiness, health outcomes, and parental involvement.</w:t>
            </w:r>
          </w:p>
        </w:tc>
        <w:tc>
          <w:tcPr>
            <w:tcW w:w="1683" w:type="dxa"/>
            <w:noWrap/>
            <w:hideMark/>
          </w:tcPr>
          <w:p w14:paraId="3FFE174D" w14:textId="16E9374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Hybrid experimental design: randomized controlled trial (RCT) within a longitudinal observational study.</w:t>
            </w:r>
          </w:p>
        </w:tc>
        <w:tc>
          <w:tcPr>
            <w:tcW w:w="2099" w:type="dxa"/>
            <w:noWrap/>
            <w:hideMark/>
          </w:tcPr>
          <w:p w14:paraId="11D0CDF3" w14:textId="33C0CC18"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208 patients, ages 16 to 18.5; divided into IG (70), CG (69), CCCG (69)</w:t>
            </w:r>
            <w:r w:rsidR="00CF36FC" w:rsidRPr="00A73FD8">
              <w:rPr>
                <w:rFonts w:ascii="Times New Roman" w:eastAsia="Times New Roman" w:hAnsi="Times New Roman" w:cs="Times New Roman"/>
                <w:color w:val="000000"/>
                <w:kern w:val="0"/>
                <w:lang w:val="en-US" w:eastAsia="it-IT"/>
                <w14:ligatures w14:val="none"/>
              </w:rPr>
              <w:t>,</w:t>
            </w:r>
            <w:r w:rsidRPr="00A73FD8">
              <w:rPr>
                <w:rFonts w:ascii="Times New Roman" w:eastAsia="Times New Roman" w:hAnsi="Times New Roman" w:cs="Times New Roman"/>
                <w:color w:val="000000"/>
                <w:kern w:val="0"/>
                <w:lang w:val="en-US" w:eastAsia="it-IT"/>
                <w14:ligatures w14:val="none"/>
              </w:rPr>
              <w:t xml:space="preserve"> with dropout rates: IG (16), CG (8), CCCG (29). The majority had complex or moderate CHD.</w:t>
            </w:r>
          </w:p>
        </w:tc>
        <w:tc>
          <w:tcPr>
            <w:tcW w:w="2039" w:type="dxa"/>
            <w:noWrap/>
            <w:hideMark/>
          </w:tcPr>
          <w:p w14:paraId="1279A91D"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val="en-US" w:eastAsia="it-IT"/>
                <w14:ligatures w14:val="none"/>
              </w:rPr>
              <w:t xml:space="preserve">Transitional care program in outpatient pediatric cardiology, with outcome assessments at T0 (16 years), T1 (17 years), and T2 (18.5 years). </w:t>
            </w:r>
            <w:proofErr w:type="spellStart"/>
            <w:r w:rsidRPr="00A73FD8">
              <w:rPr>
                <w:rFonts w:ascii="Times New Roman" w:eastAsia="Times New Roman" w:hAnsi="Times New Roman" w:cs="Times New Roman"/>
                <w:color w:val="000000"/>
                <w:kern w:val="0"/>
                <w:lang w:eastAsia="it-IT"/>
                <w14:ligatures w14:val="none"/>
              </w:rPr>
              <w:t>Administered</w:t>
            </w:r>
            <w:proofErr w:type="spellEnd"/>
            <w:r w:rsidRPr="00A73FD8">
              <w:rPr>
                <w:rFonts w:ascii="Times New Roman" w:eastAsia="Times New Roman" w:hAnsi="Times New Roman" w:cs="Times New Roman"/>
                <w:color w:val="000000"/>
                <w:kern w:val="0"/>
                <w:lang w:eastAsia="it-IT"/>
                <w14:ligatures w14:val="none"/>
              </w:rPr>
              <w:t xml:space="preserve"> by </w:t>
            </w:r>
            <w:proofErr w:type="spellStart"/>
            <w:r w:rsidRPr="00A73FD8">
              <w:rPr>
                <w:rFonts w:ascii="Times New Roman" w:eastAsia="Times New Roman" w:hAnsi="Times New Roman" w:cs="Times New Roman"/>
                <w:color w:val="000000"/>
                <w:kern w:val="0"/>
                <w:lang w:eastAsia="it-IT"/>
                <w14:ligatures w14:val="none"/>
              </w:rPr>
              <w:t>trained</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specialized</w:t>
            </w:r>
            <w:proofErr w:type="spellEnd"/>
            <w:r w:rsidRPr="00A73FD8">
              <w:rPr>
                <w:rFonts w:ascii="Times New Roman" w:eastAsia="Times New Roman" w:hAnsi="Times New Roman" w:cs="Times New Roman"/>
                <w:color w:val="000000"/>
                <w:kern w:val="0"/>
                <w:lang w:eastAsia="it-IT"/>
                <w14:ligatures w14:val="none"/>
              </w:rPr>
              <w:t xml:space="preserve"> nurses.</w:t>
            </w:r>
          </w:p>
        </w:tc>
        <w:tc>
          <w:tcPr>
            <w:tcW w:w="3842" w:type="dxa"/>
            <w:noWrap/>
            <w:hideMark/>
          </w:tcPr>
          <w:p w14:paraId="60597C19" w14:textId="5E692F8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Empowerment increased in IG compared to CG (</w:t>
            </w:r>
            <w:r w:rsidRPr="00A73FD8">
              <w:rPr>
                <w:rFonts w:ascii="Times New Roman" w:eastAsia="Times New Roman" w:hAnsi="Times New Roman" w:cs="Times New Roman"/>
                <w:color w:val="000000"/>
                <w:kern w:val="0"/>
                <w:lang w:eastAsia="it-IT"/>
                <w14:ligatures w14:val="none"/>
              </w:rPr>
              <w:t>Δ</w:t>
            </w:r>
            <w:r w:rsidRPr="00A73FD8">
              <w:rPr>
                <w:rFonts w:ascii="Times New Roman" w:eastAsia="Times New Roman" w:hAnsi="Times New Roman" w:cs="Times New Roman"/>
                <w:color w:val="000000"/>
                <w:kern w:val="0"/>
                <w:lang w:val="en-US" w:eastAsia="it-IT"/>
                <w14:ligatures w14:val="none"/>
              </w:rPr>
              <w:t xml:space="preserve"> 3.44). IG observed improved parental involvement, CHD knowledge, and physical appearance satisfaction. No contamination detected between CG and CCCG.</w:t>
            </w:r>
          </w:p>
        </w:tc>
      </w:tr>
      <w:tr w:rsidR="002178D3" w:rsidRPr="00A73FD8" w14:paraId="58579881"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8347C05" w14:textId="6D221D51" w:rsidR="002178D3" w:rsidRPr="00A73FD8" w:rsidRDefault="0037185E"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37185E">
              <w:rPr>
                <w:rFonts w:ascii="Times New Roman" w:eastAsia="Times New Roman" w:hAnsi="Times New Roman" w:cs="Times New Roman"/>
                <w:b w:val="0"/>
                <w:bCs w:val="0"/>
                <w:color w:val="000000"/>
                <w:kern w:val="0"/>
                <w:lang w:val="fr-FR" w:eastAsia="it-IT"/>
                <w14:ligatures w14:val="none"/>
              </w:rPr>
              <w:t>Acuña</w:t>
            </w:r>
            <w:proofErr w:type="spellEnd"/>
            <w:r w:rsidRPr="0037185E">
              <w:rPr>
                <w:rFonts w:ascii="Times New Roman" w:eastAsia="Times New Roman" w:hAnsi="Times New Roman" w:cs="Times New Roman"/>
                <w:b w:val="0"/>
                <w:bCs w:val="0"/>
                <w:color w:val="000000"/>
                <w:kern w:val="0"/>
                <w:lang w:val="fr-FR" w:eastAsia="it-IT"/>
                <w14:ligatures w14:val="none"/>
              </w:rPr>
              <w:t xml:space="preserve"> </w:t>
            </w:r>
            <w:r w:rsidR="002178D3" w:rsidRPr="00A73FD8">
              <w:rPr>
                <w:rFonts w:ascii="Times New Roman" w:eastAsia="Times New Roman" w:hAnsi="Times New Roman" w:cs="Times New Roman"/>
                <w:b w:val="0"/>
                <w:bCs w:val="0"/>
                <w:color w:val="000000"/>
                <w:kern w:val="0"/>
                <w:lang w:val="fr-FR" w:eastAsia="it-IT"/>
                <w14:ligatures w14:val="none"/>
              </w:rPr>
              <w:t>Mora et al. (2022)</w:t>
            </w:r>
          </w:p>
          <w:p w14:paraId="33AB87F6"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256FB70D" w14:textId="568BB75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49CE26AB"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Sweden</w:t>
            </w:r>
            <w:proofErr w:type="spellEnd"/>
          </w:p>
        </w:tc>
        <w:tc>
          <w:tcPr>
            <w:tcW w:w="2625" w:type="dxa"/>
            <w:noWrap/>
            <w:hideMark/>
          </w:tcPr>
          <w:p w14:paraId="04AE49C3"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examine the directional effects between patient empowerment and patient-reported outcomes (PROs), including communication skills, health, quality of life, and transition readiness in adolescents with CHD.</w:t>
            </w:r>
          </w:p>
        </w:tc>
        <w:tc>
          <w:tcPr>
            <w:tcW w:w="1683" w:type="dxa"/>
            <w:noWrap/>
            <w:hideMark/>
          </w:tcPr>
          <w:p w14:paraId="2D5076F0" w14:textId="5610008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RCT embedded within a longitudinal observational study (RI-CLPM model).</w:t>
            </w:r>
          </w:p>
        </w:tc>
        <w:tc>
          <w:tcPr>
            <w:tcW w:w="2099" w:type="dxa"/>
            <w:noWrap/>
            <w:hideMark/>
          </w:tcPr>
          <w:p w14:paraId="02EF9867"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140 patients, ages 16 to 18.5, with CHD severity: mild (13.8%), moderate (64.6%), complex (24.6%). IG and CG with 70 each; significant dropouts at each follow-up.</w:t>
            </w:r>
          </w:p>
        </w:tc>
        <w:tc>
          <w:tcPr>
            <w:tcW w:w="2039" w:type="dxa"/>
            <w:noWrap/>
            <w:hideMark/>
          </w:tcPr>
          <w:p w14:paraId="3CB65846" w14:textId="469F957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Three time-point interventions in outpatient pediatric cardiology, assessing empowerment, communication skills, health, and readiness for transition.</w:t>
            </w:r>
          </w:p>
        </w:tc>
        <w:tc>
          <w:tcPr>
            <w:tcW w:w="3842" w:type="dxa"/>
            <w:noWrap/>
            <w:hideMark/>
          </w:tcPr>
          <w:p w14:paraId="3A653965" w14:textId="066277B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Empowerment, communication skills, patient health, and transition readiness improved significantly, particularly from T1 (17 years) to T2 (18.5 years), showing </w:t>
            </w:r>
            <w:r w:rsidR="00CF36FC" w:rsidRPr="00A73FD8">
              <w:rPr>
                <w:rFonts w:ascii="Times New Roman" w:eastAsia="Times New Roman" w:hAnsi="Times New Roman" w:cs="Times New Roman"/>
                <w:color w:val="000000"/>
                <w:kern w:val="0"/>
                <w:lang w:val="en-US" w:eastAsia="it-IT"/>
                <w14:ligatures w14:val="none"/>
              </w:rPr>
              <w:t xml:space="preserve">that </w:t>
            </w:r>
            <w:r w:rsidRPr="00A73FD8">
              <w:rPr>
                <w:rFonts w:ascii="Times New Roman" w:eastAsia="Times New Roman" w:hAnsi="Times New Roman" w:cs="Times New Roman"/>
                <w:color w:val="000000"/>
                <w:kern w:val="0"/>
                <w:lang w:val="en-US" w:eastAsia="it-IT"/>
                <w14:ligatures w14:val="none"/>
              </w:rPr>
              <w:t>readiness for transition correlates with age. A significant link was observed between empowerment and communication skills; empowerment is also proportional to transition readiness.</w:t>
            </w:r>
          </w:p>
        </w:tc>
      </w:tr>
      <w:tr w:rsidR="002178D3" w:rsidRPr="00A73FD8" w14:paraId="655CAAAE"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032C4A7" w14:textId="514A3D88"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r w:rsidRPr="00A73FD8">
              <w:rPr>
                <w:rFonts w:ascii="Times New Roman" w:eastAsia="Times New Roman" w:hAnsi="Times New Roman" w:cs="Times New Roman"/>
                <w:b w:val="0"/>
                <w:bCs w:val="0"/>
                <w:color w:val="000000"/>
                <w:kern w:val="0"/>
                <w:lang w:eastAsia="it-IT"/>
                <w14:ligatures w14:val="none"/>
              </w:rPr>
              <w:t>Bratt et al. (2022)</w:t>
            </w:r>
          </w:p>
          <w:p w14:paraId="145F6029"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p w14:paraId="29F8D1D9" w14:textId="77777777" w:rsidR="002178D3" w:rsidRPr="00A73FD8" w:rsidRDefault="002178D3" w:rsidP="00E363A9">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 xml:space="preserve">Conference </w:t>
            </w:r>
            <w:proofErr w:type="spellStart"/>
            <w:r w:rsidRPr="00A73FD8">
              <w:rPr>
                <w:rFonts w:ascii="Times New Roman" w:hAnsi="Times New Roman" w:cs="Times New Roman"/>
                <w:b w:val="0"/>
                <w:bCs w:val="0"/>
                <w:color w:val="000000"/>
              </w:rPr>
              <w:t>proceeding</w:t>
            </w:r>
            <w:proofErr w:type="spellEnd"/>
          </w:p>
          <w:p w14:paraId="33826B46"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tc>
        <w:tc>
          <w:tcPr>
            <w:tcW w:w="1472" w:type="dxa"/>
            <w:noWrap/>
            <w:hideMark/>
          </w:tcPr>
          <w:p w14:paraId="2D5A312D"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Sweden</w:t>
            </w:r>
            <w:proofErr w:type="spellEnd"/>
          </w:p>
        </w:tc>
        <w:tc>
          <w:tcPr>
            <w:tcW w:w="2625" w:type="dxa"/>
            <w:noWrap/>
            <w:hideMark/>
          </w:tcPr>
          <w:p w14:paraId="781D4F88"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investigate the empowering effect of a structured transition program on adolescents with CHD and assess its impact on secondary outcomes like parental involvement, specific CHD knowledge, and satisfaction with physical appearance.</w:t>
            </w:r>
          </w:p>
        </w:tc>
        <w:tc>
          <w:tcPr>
            <w:tcW w:w="1683" w:type="dxa"/>
            <w:noWrap/>
            <w:hideMark/>
          </w:tcPr>
          <w:p w14:paraId="1780F97D"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Hybrid experimental design: RCT embedded in a longitudinal observational study across seven CHD centers in Sweden.</w:t>
            </w:r>
          </w:p>
        </w:tc>
        <w:tc>
          <w:tcPr>
            <w:tcW w:w="2099" w:type="dxa"/>
            <w:noWrap/>
            <w:hideMark/>
          </w:tcPr>
          <w:p w14:paraId="49EFE53C"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it-IT"/>
                <w14:ligatures w14:val="none"/>
              </w:rPr>
            </w:pPr>
            <w:r w:rsidRPr="00A73FD8">
              <w:rPr>
                <w:rFonts w:ascii="Times New Roman" w:eastAsia="Times New Roman" w:hAnsi="Times New Roman" w:cs="Times New Roman"/>
                <w:kern w:val="0"/>
                <w:lang w:val="en-US" w:eastAsia="it-IT"/>
                <w14:ligatures w14:val="none"/>
              </w:rPr>
              <w:t xml:space="preserve">138 adolescents with CHD, aged 16 at baseline up to 18.5 in the follow-ups, who participated along with their parents. This group was divided across randomized and observational study </w:t>
            </w:r>
            <w:r w:rsidRPr="00A73FD8">
              <w:rPr>
                <w:rFonts w:ascii="Times New Roman" w:eastAsia="Times New Roman" w:hAnsi="Times New Roman" w:cs="Times New Roman"/>
                <w:kern w:val="0"/>
                <w:lang w:val="en-US" w:eastAsia="it-IT"/>
                <w14:ligatures w14:val="none"/>
              </w:rPr>
              <w:lastRenderedPageBreak/>
              <w:t>arms for assessments over time.</w:t>
            </w:r>
          </w:p>
        </w:tc>
        <w:tc>
          <w:tcPr>
            <w:tcW w:w="2039" w:type="dxa"/>
            <w:noWrap/>
            <w:hideMark/>
          </w:tcPr>
          <w:p w14:paraId="133A0AD0" w14:textId="36055DD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Three time-point interventions (T0 at 16 years, T1 at 17 years, and T2 at 18.5 years) were conducted in a hospital setting, focusing on transition empowerment and </w:t>
            </w:r>
            <w:r w:rsidRPr="00A73FD8">
              <w:rPr>
                <w:rFonts w:ascii="Times New Roman" w:eastAsia="Times New Roman" w:hAnsi="Times New Roman" w:cs="Times New Roman"/>
                <w:color w:val="000000"/>
                <w:kern w:val="0"/>
                <w:lang w:val="en-US" w:eastAsia="it-IT"/>
                <w14:ligatures w14:val="none"/>
              </w:rPr>
              <w:lastRenderedPageBreak/>
              <w:t>parental involvement.</w:t>
            </w:r>
          </w:p>
        </w:tc>
        <w:tc>
          <w:tcPr>
            <w:tcW w:w="3842" w:type="dxa"/>
            <w:noWrap/>
            <w:hideMark/>
          </w:tcPr>
          <w:p w14:paraId="34BD8323" w14:textId="04522A3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Significant improvement in empowerment in IG from T0 to T2. Secondary outcomes, including parental involvement, CHD knowledge, and satisfaction with appearance, also showed significant positive change, supporting the program's effectiveness for patients and caregivers.</w:t>
            </w:r>
          </w:p>
        </w:tc>
      </w:tr>
      <w:tr w:rsidR="002178D3" w:rsidRPr="00A73FD8" w14:paraId="6C3CA3F1"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3FC51CA" w14:textId="4053A4D0"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roofErr w:type="spellStart"/>
            <w:r w:rsidRPr="00A73FD8">
              <w:rPr>
                <w:rFonts w:ascii="Times New Roman" w:eastAsia="Times New Roman" w:hAnsi="Times New Roman" w:cs="Times New Roman"/>
                <w:b w:val="0"/>
                <w:bCs w:val="0"/>
                <w:color w:val="000000"/>
                <w:kern w:val="0"/>
                <w:lang w:eastAsia="it-IT"/>
                <w14:ligatures w14:val="none"/>
              </w:rPr>
              <w:t>Ladouceur</w:t>
            </w:r>
            <w:proofErr w:type="spellEnd"/>
            <w:r w:rsidRPr="00A73FD8">
              <w:rPr>
                <w:rFonts w:ascii="Times New Roman" w:eastAsia="Times New Roman" w:hAnsi="Times New Roman" w:cs="Times New Roman"/>
                <w:b w:val="0"/>
                <w:bCs w:val="0"/>
                <w:color w:val="000000"/>
                <w:kern w:val="0"/>
                <w:lang w:eastAsia="it-IT"/>
                <w14:ligatures w14:val="none"/>
              </w:rPr>
              <w:t xml:space="preserve"> et al. (2016)</w:t>
            </w:r>
          </w:p>
          <w:p w14:paraId="1864B6D4"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p w14:paraId="6AC6B150" w14:textId="77777777" w:rsidR="002178D3" w:rsidRPr="00A73FD8" w:rsidRDefault="002178D3" w:rsidP="00E363A9">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 xml:space="preserve">Conference </w:t>
            </w:r>
            <w:proofErr w:type="spellStart"/>
            <w:r w:rsidRPr="00A73FD8">
              <w:rPr>
                <w:rFonts w:ascii="Times New Roman" w:hAnsi="Times New Roman" w:cs="Times New Roman"/>
                <w:b w:val="0"/>
                <w:bCs w:val="0"/>
                <w:color w:val="000000"/>
              </w:rPr>
              <w:t>proceeding</w:t>
            </w:r>
            <w:proofErr w:type="spellEnd"/>
          </w:p>
          <w:p w14:paraId="2F0CD4AA"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tc>
        <w:tc>
          <w:tcPr>
            <w:tcW w:w="1472" w:type="dxa"/>
            <w:noWrap/>
            <w:hideMark/>
          </w:tcPr>
          <w:p w14:paraId="1A47567A"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France</w:t>
            </w:r>
          </w:p>
        </w:tc>
        <w:tc>
          <w:tcPr>
            <w:tcW w:w="2625" w:type="dxa"/>
            <w:noWrap/>
            <w:hideMark/>
          </w:tcPr>
          <w:p w14:paraId="3DCD3C32"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effectiveness of a structured educational program on knowledge and self-management skills among adolescents and young adults with CHD, focusing on transition preparation and quality of life improvement.</w:t>
            </w:r>
          </w:p>
        </w:tc>
        <w:tc>
          <w:tcPr>
            <w:tcW w:w="1683" w:type="dxa"/>
            <w:noWrap/>
            <w:hideMark/>
          </w:tcPr>
          <w:p w14:paraId="058B14A6" w14:textId="6C68742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 xml:space="preserve">A </w:t>
            </w:r>
            <w:proofErr w:type="spellStart"/>
            <w:r w:rsidRPr="00A73FD8">
              <w:rPr>
                <w:rFonts w:ascii="Times New Roman" w:eastAsia="Times New Roman" w:hAnsi="Times New Roman" w:cs="Times New Roman"/>
                <w:color w:val="000000"/>
                <w:kern w:val="0"/>
                <w:lang w:eastAsia="it-IT"/>
                <w14:ligatures w14:val="none"/>
              </w:rPr>
              <w:t>monocentric</w:t>
            </w:r>
            <w:proofErr w:type="spellEnd"/>
            <w:r w:rsidRPr="00A73FD8">
              <w:rPr>
                <w:rFonts w:ascii="Times New Roman" w:eastAsia="Times New Roman" w:hAnsi="Times New Roman" w:cs="Times New Roman"/>
                <w:color w:val="000000"/>
                <w:kern w:val="0"/>
                <w:lang w:eastAsia="it-IT"/>
                <w14:ligatures w14:val="none"/>
              </w:rPr>
              <w:t>, quasi-</w:t>
            </w:r>
            <w:proofErr w:type="spellStart"/>
            <w:r w:rsidRPr="00A73FD8">
              <w:rPr>
                <w:rFonts w:ascii="Times New Roman" w:eastAsia="Times New Roman" w:hAnsi="Times New Roman" w:cs="Times New Roman"/>
                <w:color w:val="000000"/>
                <w:kern w:val="0"/>
                <w:lang w:eastAsia="it-IT"/>
                <w14:ligatures w14:val="none"/>
              </w:rPr>
              <w:t>experimental</w:t>
            </w:r>
            <w:proofErr w:type="spellEnd"/>
            <w:r w:rsidRPr="00A73FD8">
              <w:rPr>
                <w:rFonts w:ascii="Times New Roman" w:eastAsia="Times New Roman" w:hAnsi="Times New Roman" w:cs="Times New Roman"/>
                <w:color w:val="000000"/>
                <w:kern w:val="0"/>
                <w:lang w:eastAsia="it-IT"/>
                <w14:ligatures w14:val="none"/>
              </w:rPr>
              <w:t xml:space="preserve"> design with quantitative and qualitative </w:t>
            </w:r>
            <w:proofErr w:type="spellStart"/>
            <w:r w:rsidRPr="00A73FD8">
              <w:rPr>
                <w:rFonts w:ascii="Times New Roman" w:eastAsia="Times New Roman" w:hAnsi="Times New Roman" w:cs="Times New Roman"/>
                <w:color w:val="000000"/>
                <w:kern w:val="0"/>
                <w:lang w:eastAsia="it-IT"/>
                <w14:ligatures w14:val="none"/>
              </w:rPr>
              <w:t>elements</w:t>
            </w:r>
            <w:proofErr w:type="spellEnd"/>
            <w:r w:rsidRPr="00A73FD8">
              <w:rPr>
                <w:rFonts w:ascii="Times New Roman" w:eastAsia="Times New Roman" w:hAnsi="Times New Roman" w:cs="Times New Roman"/>
                <w:color w:val="000000"/>
                <w:kern w:val="0"/>
                <w:lang w:eastAsia="it-IT"/>
                <w14:ligatures w14:val="none"/>
              </w:rPr>
              <w:t>.</w:t>
            </w:r>
          </w:p>
        </w:tc>
        <w:tc>
          <w:tcPr>
            <w:tcW w:w="2099" w:type="dxa"/>
            <w:noWrap/>
            <w:hideMark/>
          </w:tcPr>
          <w:p w14:paraId="43A3C68C" w14:textId="58D5BE6F"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115 adolescents and young adults with CHD (45 girls); IG: 22 in an educational program for 11 months; CG: 93 in usual care.</w:t>
            </w:r>
          </w:p>
        </w:tc>
        <w:tc>
          <w:tcPr>
            <w:tcW w:w="2039" w:type="dxa"/>
            <w:noWrap/>
            <w:hideMark/>
          </w:tcPr>
          <w:p w14:paraId="7D04C312" w14:textId="1C0D2F0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 specific knowledge questionnaire assessed educational intervention to improve knowledge and self-management. Conducted in a hospital setting.</w:t>
            </w:r>
          </w:p>
        </w:tc>
        <w:tc>
          <w:tcPr>
            <w:tcW w:w="3842" w:type="dxa"/>
            <w:noWrap/>
            <w:hideMark/>
          </w:tcPr>
          <w:p w14:paraId="3ABC7E0E" w14:textId="0651B5C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IG showed a higher mean knowledge score (11.7) than CG (8.6). CG had significant knowledge gaps, with only 20% aware of follow-up guidelines and 43% aware of infection prevention. The program effectively improved follow-up and cardiac symptoms knowledge, enhancing quality of life.</w:t>
            </w:r>
          </w:p>
        </w:tc>
      </w:tr>
      <w:tr w:rsidR="002178D3" w:rsidRPr="00A73FD8" w14:paraId="529C755F"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4AF2144" w14:textId="7A0E0EF5"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r w:rsidRPr="00A73FD8">
              <w:rPr>
                <w:rFonts w:ascii="Times New Roman" w:eastAsia="Times New Roman" w:hAnsi="Times New Roman" w:cs="Times New Roman"/>
                <w:b w:val="0"/>
                <w:bCs w:val="0"/>
                <w:color w:val="000000"/>
                <w:kern w:val="0"/>
                <w:lang w:eastAsia="it-IT"/>
                <w14:ligatures w14:val="none"/>
              </w:rPr>
              <w:t>Charles et al. (2016)</w:t>
            </w:r>
          </w:p>
          <w:p w14:paraId="6B54F221"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p w14:paraId="23C70241" w14:textId="600B354F" w:rsidR="002178D3" w:rsidRPr="00A73FD8" w:rsidRDefault="002178D3" w:rsidP="00E363A9">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 xml:space="preserve">Conference </w:t>
            </w:r>
            <w:proofErr w:type="spellStart"/>
            <w:r w:rsidRPr="00A73FD8">
              <w:rPr>
                <w:rFonts w:ascii="Times New Roman" w:hAnsi="Times New Roman" w:cs="Times New Roman"/>
                <w:b w:val="0"/>
                <w:bCs w:val="0"/>
                <w:color w:val="000000"/>
              </w:rPr>
              <w:t>proceeding</w:t>
            </w:r>
            <w:proofErr w:type="spellEnd"/>
          </w:p>
          <w:p w14:paraId="6D6A51FA"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tc>
        <w:tc>
          <w:tcPr>
            <w:tcW w:w="1472" w:type="dxa"/>
            <w:noWrap/>
            <w:hideMark/>
          </w:tcPr>
          <w:p w14:paraId="22D7E6B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4FBB0745" w14:textId="5E083FC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evaluate the impact of a structured, nurse-led intervention on self-management and transition readiness in adolescents with moderate to complex CHD, emphasizing tools like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and skill development.</w:t>
            </w:r>
          </w:p>
        </w:tc>
        <w:tc>
          <w:tcPr>
            <w:tcW w:w="1683" w:type="dxa"/>
            <w:noWrap/>
            <w:hideMark/>
          </w:tcPr>
          <w:p w14:paraId="5512C785" w14:textId="07B65AF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Multicentric RCT with embedded qualitative elements.</w:t>
            </w:r>
          </w:p>
        </w:tc>
        <w:tc>
          <w:tcPr>
            <w:tcW w:w="2099" w:type="dxa"/>
            <w:noWrap/>
            <w:hideMark/>
          </w:tcPr>
          <w:p w14:paraId="4C7D10E8"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57 adolescents, ages 16-17, with moderate to complex CHD.</w:t>
            </w:r>
          </w:p>
        </w:tc>
        <w:tc>
          <w:tcPr>
            <w:tcW w:w="2039" w:type="dxa"/>
            <w:noWrap/>
            <w:hideMark/>
          </w:tcPr>
          <w:p w14:paraId="74FE7B14"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val="en-US" w:eastAsia="it-IT"/>
                <w14:ligatures w14:val="none"/>
              </w:rPr>
              <w:t xml:space="preserve">Two-session intervention: Session 1 (1 hour) focused on patient education,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creation, and goal setting; Session 2 (1.5 hours, two months later) emphasized self-management skills through videos, role-play, and goal follow-up. </w:t>
            </w:r>
            <w:proofErr w:type="spellStart"/>
            <w:r w:rsidRPr="00A73FD8">
              <w:rPr>
                <w:rFonts w:ascii="Times New Roman" w:eastAsia="Times New Roman" w:hAnsi="Times New Roman" w:cs="Times New Roman"/>
                <w:color w:val="000000"/>
                <w:kern w:val="0"/>
                <w:lang w:eastAsia="it-IT"/>
                <w14:ligatures w14:val="none"/>
              </w:rPr>
              <w:t>Conducted</w:t>
            </w:r>
            <w:proofErr w:type="spellEnd"/>
            <w:r w:rsidRPr="00A73FD8">
              <w:rPr>
                <w:rFonts w:ascii="Times New Roman" w:eastAsia="Times New Roman" w:hAnsi="Times New Roman" w:cs="Times New Roman"/>
                <w:color w:val="000000"/>
                <w:kern w:val="0"/>
                <w:lang w:eastAsia="it-IT"/>
                <w14:ligatures w14:val="none"/>
              </w:rPr>
              <w:t xml:space="preserve"> in hospital.</w:t>
            </w:r>
          </w:p>
        </w:tc>
        <w:tc>
          <w:tcPr>
            <w:tcW w:w="3842" w:type="dxa"/>
            <w:noWrap/>
            <w:hideMark/>
          </w:tcPr>
          <w:p w14:paraId="61C4B68F"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Key steps: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creation, goal setting, and role-play. 78% kept their passport, 46% felt ready for transition post-intervention, versus 5% initially. 40% requested additional sessions to further understand and manage their condition, highlighting the need to begin transition preparation early.</w:t>
            </w:r>
          </w:p>
        </w:tc>
      </w:tr>
      <w:tr w:rsidR="002178D3" w:rsidRPr="00A73FD8" w14:paraId="598DA210"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B40D51C" w14:textId="0EDDCD22"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Mondal</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(2020)</w:t>
            </w:r>
          </w:p>
          <w:p w14:paraId="319A1287"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574FAD27" w14:textId="7EC597FC"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6B2A3BC"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2E4032B9" w14:textId="22143AB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determine the successful transfer rate of adolescents with CHD from pediatric to adult care and identify patient and context-related factors associated with unsuccessful transfer.</w:t>
            </w:r>
          </w:p>
        </w:tc>
        <w:tc>
          <w:tcPr>
            <w:tcW w:w="1683" w:type="dxa"/>
            <w:noWrap/>
            <w:hideMark/>
          </w:tcPr>
          <w:p w14:paraId="6FE6AB5C"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Retrospective cohort study at a tertiary care center.</w:t>
            </w:r>
          </w:p>
        </w:tc>
        <w:tc>
          <w:tcPr>
            <w:tcW w:w="2099" w:type="dxa"/>
            <w:noWrap/>
            <w:hideMark/>
          </w:tcPr>
          <w:p w14:paraId="7F48E58C"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279 patients, ages 17-26, with CHD severity: mild (48%), moderate (38%), and severe (14%).</w:t>
            </w:r>
          </w:p>
        </w:tc>
        <w:tc>
          <w:tcPr>
            <w:tcW w:w="2039" w:type="dxa"/>
            <w:noWrap/>
            <w:hideMark/>
          </w:tcPr>
          <w:p w14:paraId="2A9B3940" w14:textId="637513A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Use transition pamphlets, </w:t>
            </w:r>
            <w:proofErr w:type="spellStart"/>
            <w:r w:rsidRPr="00A73FD8">
              <w:rPr>
                <w:rFonts w:ascii="Times New Roman" w:eastAsia="Times New Roman" w:hAnsi="Times New Roman" w:cs="Times New Roman"/>
                <w:color w:val="000000"/>
                <w:kern w:val="0"/>
                <w:lang w:val="en-US" w:eastAsia="it-IT"/>
                <w14:ligatures w14:val="none"/>
              </w:rPr>
              <w:t>MyTransition</w:t>
            </w:r>
            <w:proofErr w:type="spellEnd"/>
            <w:r w:rsidRPr="00A73FD8">
              <w:rPr>
                <w:rFonts w:ascii="Times New Roman" w:eastAsia="Times New Roman" w:hAnsi="Times New Roman" w:cs="Times New Roman"/>
                <w:color w:val="000000"/>
                <w:kern w:val="0"/>
                <w:lang w:val="en-US" w:eastAsia="it-IT"/>
                <w14:ligatures w14:val="none"/>
              </w:rPr>
              <w:t xml:space="preserve"> mobile app with Transition-Q questionnaire, and nurse-led follow-up with </w:t>
            </w:r>
            <w:r w:rsidRPr="00A73FD8">
              <w:rPr>
                <w:rFonts w:ascii="Times New Roman" w:eastAsia="Times New Roman" w:hAnsi="Times New Roman" w:cs="Times New Roman"/>
                <w:color w:val="000000"/>
                <w:kern w:val="0"/>
                <w:lang w:val="en-US" w:eastAsia="it-IT"/>
                <w14:ligatures w14:val="none"/>
              </w:rPr>
              <w:lastRenderedPageBreak/>
              <w:t>reminders via mail and phone to ensure attendance at adult care.</w:t>
            </w:r>
          </w:p>
        </w:tc>
        <w:tc>
          <w:tcPr>
            <w:tcW w:w="3842" w:type="dxa"/>
            <w:noWrap/>
            <w:hideMark/>
          </w:tcPr>
          <w:p w14:paraId="1FF01CCD" w14:textId="625C920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96.4% successfully transferred, with only 3.6% lost to follow-up. Risk factors for loss: male sex, &gt;200 km distance to clinic, and mild CHD severity. Early discussions and transition tools, like the </w:t>
            </w:r>
            <w:proofErr w:type="spellStart"/>
            <w:r w:rsidRPr="00A73FD8">
              <w:rPr>
                <w:rFonts w:ascii="Times New Roman" w:eastAsia="Times New Roman" w:hAnsi="Times New Roman" w:cs="Times New Roman"/>
                <w:color w:val="000000"/>
                <w:kern w:val="0"/>
                <w:lang w:val="en-US" w:eastAsia="it-IT"/>
                <w14:ligatures w14:val="none"/>
              </w:rPr>
              <w:t>MyTransition</w:t>
            </w:r>
            <w:proofErr w:type="spellEnd"/>
            <w:r w:rsidRPr="00A73FD8">
              <w:rPr>
                <w:rFonts w:ascii="Times New Roman" w:eastAsia="Times New Roman" w:hAnsi="Times New Roman" w:cs="Times New Roman"/>
                <w:color w:val="000000"/>
                <w:kern w:val="0"/>
                <w:lang w:val="en-US" w:eastAsia="it-IT"/>
                <w14:ligatures w14:val="none"/>
              </w:rPr>
              <w:t xml:space="preserve"> app, were associated with high transfer success.</w:t>
            </w:r>
          </w:p>
        </w:tc>
      </w:tr>
      <w:tr w:rsidR="002178D3" w:rsidRPr="00A73FD8" w14:paraId="34F2361B"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372FE8C" w14:textId="4ABC9CA0"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roofErr w:type="spellStart"/>
            <w:r w:rsidRPr="00A73FD8">
              <w:rPr>
                <w:rFonts w:ascii="Times New Roman" w:eastAsia="Times New Roman" w:hAnsi="Times New Roman" w:cs="Times New Roman"/>
                <w:b w:val="0"/>
                <w:bCs w:val="0"/>
                <w:color w:val="000000"/>
                <w:kern w:val="0"/>
                <w:lang w:eastAsia="it-IT"/>
                <w14:ligatures w14:val="none"/>
              </w:rPr>
              <w:lastRenderedPageBreak/>
              <w:t>Sanker</w:t>
            </w:r>
            <w:proofErr w:type="spellEnd"/>
            <w:r w:rsidRPr="00A73FD8">
              <w:rPr>
                <w:rFonts w:ascii="Times New Roman" w:eastAsia="Times New Roman" w:hAnsi="Times New Roman" w:cs="Times New Roman"/>
                <w:b w:val="0"/>
                <w:bCs w:val="0"/>
                <w:color w:val="000000"/>
                <w:kern w:val="0"/>
                <w:lang w:eastAsia="it-IT"/>
                <w14:ligatures w14:val="none"/>
              </w:rPr>
              <w:t xml:space="preserve"> et al. (2021)</w:t>
            </w:r>
          </w:p>
          <w:p w14:paraId="68A7D779"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p w14:paraId="0A022F14" w14:textId="77777777" w:rsidR="002178D3" w:rsidRPr="00A73FD8" w:rsidRDefault="002178D3" w:rsidP="001B2A40">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 xml:space="preserve">Conference </w:t>
            </w:r>
            <w:proofErr w:type="spellStart"/>
            <w:r w:rsidRPr="00A73FD8">
              <w:rPr>
                <w:rFonts w:ascii="Times New Roman" w:hAnsi="Times New Roman" w:cs="Times New Roman"/>
                <w:b w:val="0"/>
                <w:bCs w:val="0"/>
                <w:color w:val="000000"/>
              </w:rPr>
              <w:t>proceeding</w:t>
            </w:r>
            <w:proofErr w:type="spellEnd"/>
          </w:p>
          <w:p w14:paraId="298F257E" w14:textId="77777777" w:rsidR="002178D3" w:rsidRPr="00A73FD8" w:rsidRDefault="002178D3" w:rsidP="0039436D">
            <w:pPr>
              <w:jc w:val="center"/>
              <w:rPr>
                <w:rFonts w:ascii="Times New Roman" w:eastAsia="Times New Roman" w:hAnsi="Times New Roman" w:cs="Times New Roman"/>
                <w:b w:val="0"/>
                <w:bCs w:val="0"/>
                <w:color w:val="000000"/>
                <w:kern w:val="0"/>
                <w:lang w:eastAsia="it-IT"/>
                <w14:ligatures w14:val="none"/>
              </w:rPr>
            </w:pPr>
          </w:p>
        </w:tc>
        <w:tc>
          <w:tcPr>
            <w:tcW w:w="1472" w:type="dxa"/>
            <w:noWrap/>
            <w:hideMark/>
          </w:tcPr>
          <w:p w14:paraId="739E18E7"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United States</w:t>
            </w:r>
          </w:p>
        </w:tc>
        <w:tc>
          <w:tcPr>
            <w:tcW w:w="2625" w:type="dxa"/>
            <w:noWrap/>
            <w:hideMark/>
          </w:tcPr>
          <w:p w14:paraId="132E56B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assess self-preparedness for the transition to adult care among adolescents and young adults with CHD, evaluating their confidence and knowledge about health management.</w:t>
            </w:r>
          </w:p>
        </w:tc>
        <w:tc>
          <w:tcPr>
            <w:tcW w:w="1683" w:type="dxa"/>
            <w:noWrap/>
            <w:hideMark/>
          </w:tcPr>
          <w:p w14:paraId="73C1B3F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Cross-sectional, survey-based study at a single cardiology center.</w:t>
            </w:r>
          </w:p>
        </w:tc>
        <w:tc>
          <w:tcPr>
            <w:tcW w:w="2099" w:type="dxa"/>
            <w:noWrap/>
            <w:hideMark/>
          </w:tcPr>
          <w:p w14:paraId="69223D35"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88 respondents out of 396 eligible patients, ages 12-25, with CHD.</w:t>
            </w:r>
          </w:p>
        </w:tc>
        <w:tc>
          <w:tcPr>
            <w:tcW w:w="2039" w:type="dxa"/>
            <w:noWrap/>
            <w:hideMark/>
          </w:tcPr>
          <w:p w14:paraId="61930DDE" w14:textId="65E6D4E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 transition readiness survey (AAP/ACP Transition Readiness for Youth Assessment) was mailed to patients to assess their confidence and knowledge of health management. Conducted at a pediatric heart center.</w:t>
            </w:r>
          </w:p>
        </w:tc>
        <w:tc>
          <w:tcPr>
            <w:tcW w:w="3842" w:type="dxa"/>
            <w:noWrap/>
            <w:hideMark/>
          </w:tcPr>
          <w:p w14:paraId="6187E1E7" w14:textId="2F60DBD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85% felt confident in managing their health, but 15% lacked an understanding of lifelong care, 14% didn’t grasp the need for health insurance, and 54% required assistance with medication refills. Gaps in younger patients highlight a need for targeted health education to enhance transition readiness.</w:t>
            </w:r>
          </w:p>
        </w:tc>
      </w:tr>
      <w:tr w:rsidR="002178D3" w:rsidRPr="00A73FD8" w14:paraId="22DEAAAA"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89B1888" w14:textId="149DBED2"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Mackie</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(2018)</w:t>
            </w:r>
          </w:p>
          <w:p w14:paraId="1A9A40EA"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4B1285D2" w14:textId="2AB90323"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0A4A53A"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67637709"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impact of a nurse-led transition intervention on reducing delays in adult CHD care and improving CHD knowledge, self-management, and self-advocacy skills in adolescents.</w:t>
            </w:r>
          </w:p>
        </w:tc>
        <w:tc>
          <w:tcPr>
            <w:tcW w:w="1683" w:type="dxa"/>
            <w:noWrap/>
            <w:hideMark/>
          </w:tcPr>
          <w:p w14:paraId="6DDA93B8" w14:textId="1D6A1AF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Monocentric</w:t>
            </w:r>
            <w:proofErr w:type="spellEnd"/>
            <w:r w:rsidRPr="00A73FD8">
              <w:rPr>
                <w:rFonts w:ascii="Times New Roman" w:eastAsia="Times New Roman" w:hAnsi="Times New Roman" w:cs="Times New Roman"/>
                <w:color w:val="000000"/>
                <w:kern w:val="0"/>
                <w:lang w:eastAsia="it-IT"/>
                <w14:ligatures w14:val="none"/>
              </w:rPr>
              <w:t>, RCT</w:t>
            </w:r>
          </w:p>
        </w:tc>
        <w:tc>
          <w:tcPr>
            <w:tcW w:w="2099" w:type="dxa"/>
            <w:noWrap/>
            <w:hideMark/>
          </w:tcPr>
          <w:p w14:paraId="7561F8EB"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121 adolescents, ages 16-17, with moderate or complex CHD (58 in IG, 63 in CG).</w:t>
            </w:r>
          </w:p>
        </w:tc>
        <w:tc>
          <w:tcPr>
            <w:tcW w:w="2039" w:type="dxa"/>
            <w:noWrap/>
            <w:hideMark/>
          </w:tcPr>
          <w:p w14:paraId="4A9751F9" w14:textId="5EC52EA8"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Two individualized sessions for the IG: 1st session (15 min) on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and CHD education; 2nd session (11 min) on self-management skills; follow-up assessments at 1, 6, 12, and 18 months. Conducted in a pediatric cardiology clinic.</w:t>
            </w:r>
          </w:p>
        </w:tc>
        <w:tc>
          <w:tcPr>
            <w:tcW w:w="3842" w:type="dxa"/>
            <w:noWrap/>
            <w:hideMark/>
          </w:tcPr>
          <w:p w14:paraId="2A308803" w14:textId="1B3028EF"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IG had shorter wait times for adult care (2 months vs. 7 in CG) and higher scores on </w:t>
            </w:r>
            <w:proofErr w:type="spellStart"/>
            <w:r w:rsidRPr="00A73FD8">
              <w:rPr>
                <w:rFonts w:ascii="Times New Roman" w:eastAsia="Times New Roman" w:hAnsi="Times New Roman" w:cs="Times New Roman"/>
                <w:color w:val="000000"/>
                <w:kern w:val="0"/>
                <w:lang w:val="en-US" w:eastAsia="it-IT"/>
                <w14:ligatures w14:val="none"/>
              </w:rPr>
              <w:t>MyHeart</w:t>
            </w:r>
            <w:proofErr w:type="spellEnd"/>
            <w:r w:rsidRPr="00A73FD8">
              <w:rPr>
                <w:rFonts w:ascii="Times New Roman" w:eastAsia="Times New Roman" w:hAnsi="Times New Roman" w:cs="Times New Roman"/>
                <w:color w:val="000000"/>
                <w:kern w:val="0"/>
                <w:lang w:val="en-US" w:eastAsia="it-IT"/>
                <w14:ligatures w14:val="none"/>
              </w:rPr>
              <w:t xml:space="preserve"> knowledge and TRAQ self-management and self-advocacy measures. 94% of IG answered questions independently vs. 67% in CG, indicating improved preparation. Younger patients showed knowledge gaps, emphasizing the need for early transition education.</w:t>
            </w:r>
          </w:p>
        </w:tc>
      </w:tr>
      <w:tr w:rsidR="002178D3" w:rsidRPr="00A73FD8" w14:paraId="73CA63C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B44B142" w14:textId="1B378A38"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Acuña</w:t>
            </w:r>
            <w:proofErr w:type="spellEnd"/>
            <w:r w:rsidRPr="00A73FD8">
              <w:rPr>
                <w:rFonts w:ascii="Times New Roman" w:eastAsia="Times New Roman" w:hAnsi="Times New Roman" w:cs="Times New Roman"/>
                <w:b w:val="0"/>
                <w:bCs w:val="0"/>
                <w:color w:val="000000"/>
                <w:kern w:val="0"/>
                <w:lang w:val="fr-FR" w:eastAsia="it-IT"/>
                <w14:ligatures w14:val="none"/>
              </w:rPr>
              <w:t xml:space="preserve"> Mora et al. (2020)</w:t>
            </w:r>
          </w:p>
          <w:p w14:paraId="216C21D9"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534611D9" w14:textId="4C5B56CD"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4227A6B8"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Sweden</w:t>
            </w:r>
            <w:proofErr w:type="spellEnd"/>
            <w:r w:rsidRPr="00A73FD8">
              <w:rPr>
                <w:rFonts w:ascii="Times New Roman" w:eastAsia="Times New Roman" w:hAnsi="Times New Roman" w:cs="Times New Roman"/>
                <w:color w:val="000000"/>
                <w:kern w:val="0"/>
                <w:lang w:eastAsia="it-IT"/>
                <w14:ligatures w14:val="none"/>
              </w:rPr>
              <w:t>​</w:t>
            </w:r>
          </w:p>
        </w:tc>
        <w:tc>
          <w:tcPr>
            <w:tcW w:w="2625" w:type="dxa"/>
            <w:noWrap/>
            <w:hideMark/>
          </w:tcPr>
          <w:p w14:paraId="0633C87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empower adolescents with CHD and facilitate their transition to adult care through a person-centered program </w:t>
            </w:r>
            <w:r w:rsidRPr="00A73FD8">
              <w:rPr>
                <w:rFonts w:ascii="Times New Roman" w:eastAsia="Times New Roman" w:hAnsi="Times New Roman" w:cs="Times New Roman"/>
                <w:color w:val="000000"/>
                <w:kern w:val="0"/>
                <w:lang w:val="en-US" w:eastAsia="it-IT"/>
                <w14:ligatures w14:val="none"/>
              </w:rPr>
              <w:lastRenderedPageBreak/>
              <w:t>developed via Intervention Mapping.</w:t>
            </w:r>
          </w:p>
        </w:tc>
        <w:tc>
          <w:tcPr>
            <w:tcW w:w="1683" w:type="dxa"/>
            <w:noWrap/>
            <w:hideMark/>
          </w:tcPr>
          <w:p w14:paraId="0B9E8574"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Hybrid experimental design (RCT embedded in a </w:t>
            </w:r>
            <w:r w:rsidRPr="00A73FD8">
              <w:rPr>
                <w:rFonts w:ascii="Times New Roman" w:eastAsia="Times New Roman" w:hAnsi="Times New Roman" w:cs="Times New Roman"/>
                <w:color w:val="000000"/>
                <w:kern w:val="0"/>
                <w:lang w:val="en-US" w:eastAsia="it-IT"/>
                <w14:ligatures w14:val="none"/>
              </w:rPr>
              <w:lastRenderedPageBreak/>
              <w:t>longitudinal study).</w:t>
            </w:r>
          </w:p>
        </w:tc>
        <w:tc>
          <w:tcPr>
            <w:tcW w:w="2099" w:type="dxa"/>
            <w:noWrap/>
            <w:hideMark/>
          </w:tcPr>
          <w:p w14:paraId="5B726F28" w14:textId="7213167C"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Young persons with CHD, ages 14-25, and their parents.</w:t>
            </w:r>
          </w:p>
        </w:tc>
        <w:tc>
          <w:tcPr>
            <w:tcW w:w="2039" w:type="dxa"/>
            <w:noWrap/>
            <w:hideMark/>
          </w:tcPr>
          <w:p w14:paraId="501F3E54" w14:textId="5E3D473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Three meetings over 2.5 years with a transition coordinator. The program uses goal-</w:t>
            </w:r>
            <w:r w:rsidRPr="00A73FD8">
              <w:rPr>
                <w:rFonts w:ascii="Times New Roman" w:eastAsia="Times New Roman" w:hAnsi="Times New Roman" w:cs="Times New Roman"/>
                <w:color w:val="000000"/>
                <w:kern w:val="0"/>
                <w:lang w:val="en-US" w:eastAsia="it-IT"/>
                <w14:ligatures w14:val="none"/>
              </w:rPr>
              <w:lastRenderedPageBreak/>
              <w:t>setting, modeling, and active learning to improve knowledge, self-efficacy, and self-management.</w:t>
            </w:r>
          </w:p>
        </w:tc>
        <w:tc>
          <w:tcPr>
            <w:tcW w:w="3842" w:type="dxa"/>
            <w:noWrap/>
            <w:hideMark/>
          </w:tcPr>
          <w:p w14:paraId="59A6EC76" w14:textId="5136D9A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The program aims to increase patient empowerment, prepare adolescents to take responsibility for their health , and enhance knowledge, self-efficacy, </w:t>
            </w:r>
            <w:r w:rsidRPr="00A73FD8">
              <w:rPr>
                <w:rFonts w:ascii="Times New Roman" w:eastAsia="Times New Roman" w:hAnsi="Times New Roman" w:cs="Times New Roman"/>
                <w:color w:val="000000"/>
                <w:kern w:val="0"/>
                <w:lang w:val="en-US" w:eastAsia="it-IT"/>
                <w14:ligatures w14:val="none"/>
              </w:rPr>
              <w:lastRenderedPageBreak/>
              <w:t>and self-management. Evaluation of effectiveness and process is ongoing.</w:t>
            </w:r>
          </w:p>
        </w:tc>
      </w:tr>
      <w:tr w:rsidR="002178D3" w:rsidRPr="00A73FD8" w14:paraId="31D2F883"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DB0A006" w14:textId="4D66476E"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lastRenderedPageBreak/>
              <w:t>Charles et al. (2021)</w:t>
            </w:r>
          </w:p>
          <w:p w14:paraId="7575AB35"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36638FC2" w14:textId="3E360644"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48EC8B0"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14B5DF28"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explore the effectiveness of a two-session nurse-led intervention on transition readiness among adolescents with CHD, focusing on key elements such as health passport creation, goal setting, and role-play exercises.</w:t>
            </w:r>
          </w:p>
        </w:tc>
        <w:tc>
          <w:tcPr>
            <w:tcW w:w="1683" w:type="dxa"/>
            <w:noWrap/>
            <w:hideMark/>
          </w:tcPr>
          <w:p w14:paraId="203EC57E"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Mixed-methods, two-site clinical trial.</w:t>
            </w:r>
          </w:p>
        </w:tc>
        <w:tc>
          <w:tcPr>
            <w:tcW w:w="2099" w:type="dxa"/>
            <w:noWrap/>
            <w:hideMark/>
          </w:tcPr>
          <w:p w14:paraId="232B42F3"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57 adolescents, ages 16-17, with moderate or complex CHD.</w:t>
            </w:r>
          </w:p>
        </w:tc>
        <w:tc>
          <w:tcPr>
            <w:tcW w:w="2039" w:type="dxa"/>
            <w:noWrap/>
            <w:hideMark/>
          </w:tcPr>
          <w:p w14:paraId="4DB42564"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val="en-US" w:eastAsia="it-IT"/>
                <w14:ligatures w14:val="none"/>
              </w:rPr>
              <w:t xml:space="preserve">Two 1-on-1 sessions: Session 1 focused on education and creating a health passport; Session 2 emphasized self-management, goal setting, and role-plays. </w:t>
            </w:r>
            <w:proofErr w:type="spellStart"/>
            <w:r w:rsidRPr="00A73FD8">
              <w:rPr>
                <w:rFonts w:ascii="Times New Roman" w:eastAsia="Times New Roman" w:hAnsi="Times New Roman" w:cs="Times New Roman"/>
                <w:color w:val="000000"/>
                <w:kern w:val="0"/>
                <w:lang w:eastAsia="it-IT"/>
                <w14:ligatures w14:val="none"/>
              </w:rPr>
              <w:t>Conducted</w:t>
            </w:r>
            <w:proofErr w:type="spellEnd"/>
            <w:r w:rsidRPr="00A73FD8">
              <w:rPr>
                <w:rFonts w:ascii="Times New Roman" w:eastAsia="Times New Roman" w:hAnsi="Times New Roman" w:cs="Times New Roman"/>
                <w:color w:val="000000"/>
                <w:kern w:val="0"/>
                <w:lang w:eastAsia="it-IT"/>
                <w14:ligatures w14:val="none"/>
              </w:rPr>
              <w:t xml:space="preserve"> by </w:t>
            </w:r>
            <w:proofErr w:type="spellStart"/>
            <w:r w:rsidRPr="00A73FD8">
              <w:rPr>
                <w:rFonts w:ascii="Times New Roman" w:eastAsia="Times New Roman" w:hAnsi="Times New Roman" w:cs="Times New Roman"/>
                <w:color w:val="000000"/>
                <w:kern w:val="0"/>
                <w:lang w:eastAsia="it-IT"/>
                <w14:ligatures w14:val="none"/>
              </w:rPr>
              <w:t>trained</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RNs</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at</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two</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pediatric</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cardiology</w:t>
            </w:r>
            <w:proofErr w:type="spellEnd"/>
            <w:r w:rsidRPr="00A73FD8">
              <w:rPr>
                <w:rFonts w:ascii="Times New Roman" w:eastAsia="Times New Roman" w:hAnsi="Times New Roman" w:cs="Times New Roman"/>
                <w:color w:val="000000"/>
                <w:kern w:val="0"/>
                <w:lang w:eastAsia="it-IT"/>
                <w14:ligatures w14:val="none"/>
              </w:rPr>
              <w:t xml:space="preserve"> centers.</w:t>
            </w:r>
          </w:p>
        </w:tc>
        <w:tc>
          <w:tcPr>
            <w:tcW w:w="3842" w:type="dxa"/>
            <w:noWrap/>
            <w:hideMark/>
          </w:tcPr>
          <w:p w14:paraId="130B4140"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Identified a typology of transition readiness: 1) Independent, 2) Ready, 3) Follow-up Needed, and 4) At-risk. About 40% needed additional transition support. Key components valued were the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goal setting, and role-plays.</w:t>
            </w:r>
          </w:p>
        </w:tc>
      </w:tr>
      <w:tr w:rsidR="002178D3" w:rsidRPr="00A73FD8" w14:paraId="1E2962FD"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353787B" w14:textId="333C2611"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Burström</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(2019)</w:t>
            </w:r>
          </w:p>
          <w:p w14:paraId="6A10B73C"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05947F47" w14:textId="1E52696B"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CE3776C"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Sweden</w:t>
            </w:r>
            <w:proofErr w:type="spellEnd"/>
          </w:p>
        </w:tc>
        <w:tc>
          <w:tcPr>
            <w:tcW w:w="2625" w:type="dxa"/>
            <w:noWrap/>
            <w:hideMark/>
          </w:tcPr>
          <w:p w14:paraId="2D693FA7" w14:textId="209105C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describe the level of transition readiness in adolescents with CHD, compare adolescents’ assessments with their parents, and study factors influencing transition readiness.</w:t>
            </w:r>
          </w:p>
        </w:tc>
        <w:tc>
          <w:tcPr>
            <w:tcW w:w="1683" w:type="dxa"/>
            <w:noWrap/>
            <w:hideMark/>
          </w:tcPr>
          <w:p w14:paraId="39BBC635"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Cross-</w:t>
            </w:r>
            <w:proofErr w:type="spellStart"/>
            <w:r w:rsidRPr="00A73FD8">
              <w:rPr>
                <w:rFonts w:ascii="Times New Roman" w:eastAsia="Times New Roman" w:hAnsi="Times New Roman" w:cs="Times New Roman"/>
                <w:color w:val="000000"/>
                <w:kern w:val="0"/>
                <w:lang w:eastAsia="it-IT"/>
                <w14:ligatures w14:val="none"/>
              </w:rPr>
              <w:t>sectional</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triadic</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evaluation</w:t>
            </w:r>
            <w:proofErr w:type="spellEnd"/>
            <w:r w:rsidRPr="00A73FD8">
              <w:rPr>
                <w:rFonts w:ascii="Times New Roman" w:eastAsia="Times New Roman" w:hAnsi="Times New Roman" w:cs="Times New Roman"/>
                <w:color w:val="000000"/>
                <w:kern w:val="0"/>
                <w:lang w:eastAsia="it-IT"/>
                <w14:ligatures w14:val="none"/>
              </w:rPr>
              <w:t>.</w:t>
            </w:r>
          </w:p>
        </w:tc>
        <w:tc>
          <w:tcPr>
            <w:tcW w:w="2099" w:type="dxa"/>
            <w:noWrap/>
            <w:hideMark/>
          </w:tcPr>
          <w:p w14:paraId="73AF9F3D"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157 adolescents with CHD, ages 14-18, and their parents (complete triads: adolescent, mother, and father).</w:t>
            </w:r>
          </w:p>
        </w:tc>
        <w:tc>
          <w:tcPr>
            <w:tcW w:w="2039" w:type="dxa"/>
            <w:noWrap/>
            <w:hideMark/>
          </w:tcPr>
          <w:p w14:paraId="337CEC02"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Transition Readiness Questionnaire (RTQ) assessed adolescent responsibility, parental involvement, and overall readiness for transfer.</w:t>
            </w:r>
          </w:p>
        </w:tc>
        <w:tc>
          <w:tcPr>
            <w:tcW w:w="3842" w:type="dxa"/>
            <w:noWrap/>
            <w:hideMark/>
          </w:tcPr>
          <w:p w14:paraId="5A76E483" w14:textId="0A971D1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Adolescents rated themselves as more ready than their parents rated them. Higher readiness correlated with older age, higher empowerment, and less perceived threat from the illness. Parental involvement decreased with age. Enhanced transition readiness </w:t>
            </w:r>
            <w:r w:rsidR="00CF36FC" w:rsidRPr="00A73FD8">
              <w:rPr>
                <w:rFonts w:ascii="Times New Roman" w:eastAsia="Times New Roman" w:hAnsi="Times New Roman" w:cs="Times New Roman"/>
                <w:color w:val="000000"/>
                <w:kern w:val="0"/>
                <w:lang w:val="en-US" w:eastAsia="it-IT"/>
                <w14:ligatures w14:val="none"/>
              </w:rPr>
              <w:t xml:space="preserve">is </w:t>
            </w:r>
            <w:r w:rsidRPr="00A73FD8">
              <w:rPr>
                <w:rFonts w:ascii="Times New Roman" w:eastAsia="Times New Roman" w:hAnsi="Times New Roman" w:cs="Times New Roman"/>
                <w:color w:val="000000"/>
                <w:kern w:val="0"/>
                <w:lang w:val="en-US" w:eastAsia="it-IT"/>
                <w14:ligatures w14:val="none"/>
              </w:rPr>
              <w:t>linked with parental trust and lower perceived illness threat.</w:t>
            </w:r>
          </w:p>
        </w:tc>
      </w:tr>
      <w:tr w:rsidR="002178D3" w:rsidRPr="00A73FD8" w14:paraId="06FED1D7"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5B4849E" w14:textId="0D0C51E0"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Campbell et al. (2016)</w:t>
            </w:r>
          </w:p>
          <w:p w14:paraId="4DA91AF2"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34C73EE1" w14:textId="6B7B9D76"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5AC415B4" w14:textId="0DD3055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hAnsi="Times New Roman" w:cs="Times New Roman"/>
              </w:rPr>
              <w:t>UK, Canada, Australia, USA</w:t>
            </w:r>
          </w:p>
        </w:tc>
        <w:tc>
          <w:tcPr>
            <w:tcW w:w="2625" w:type="dxa"/>
            <w:noWrap/>
            <w:hideMark/>
          </w:tcPr>
          <w:p w14:paraId="2F817DAC" w14:textId="6808868C"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evaluate the effectiveness of interventions designed to improve the transition of care for adolescents from pediatric to adult health services.</w:t>
            </w:r>
          </w:p>
        </w:tc>
        <w:tc>
          <w:tcPr>
            <w:tcW w:w="1683" w:type="dxa"/>
            <w:noWrap/>
            <w:hideMark/>
          </w:tcPr>
          <w:p w14:paraId="15BEFCD0" w14:textId="25DC980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Systematic review of 4 RCTs (N=238)</w:t>
            </w:r>
          </w:p>
        </w:tc>
        <w:tc>
          <w:tcPr>
            <w:tcW w:w="2099" w:type="dxa"/>
            <w:noWrap/>
            <w:hideMark/>
          </w:tcPr>
          <w:p w14:paraId="5AF57C6C" w14:textId="1821FF1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Adolescents with various chronic conditions (heart disease, spina bifida, type 1 diabetes, cystic fibrosis, IBD); 4 RCTs included </w:t>
            </w:r>
            <w:r w:rsidRPr="00A73FD8">
              <w:rPr>
                <w:rFonts w:ascii="Times New Roman" w:hAnsi="Times New Roman" w:cs="Times New Roman"/>
                <w:lang w:val="en-US"/>
              </w:rPr>
              <w:lastRenderedPageBreak/>
              <w:t>from USA, Canada, and Australia</w:t>
            </w:r>
            <w:r w:rsidRPr="00A73FD8">
              <w:rPr>
                <w:rFonts w:ascii="Times New Roman" w:hAnsi="Times New Roman" w:cs="Times New Roman"/>
                <w:lang w:val="en-US"/>
              </w:rPr>
              <w:t>.</w:t>
            </w:r>
          </w:p>
        </w:tc>
        <w:tc>
          <w:tcPr>
            <w:tcW w:w="2039" w:type="dxa"/>
            <w:noWrap/>
            <w:hideMark/>
          </w:tcPr>
          <w:p w14:paraId="16B3124E" w14:textId="2583328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Interventions included nurse-led sessions, a web/SMS program, structured phone support post-transfer, and a two-day workshop. Most </w:t>
            </w:r>
            <w:r w:rsidRPr="00A73FD8">
              <w:rPr>
                <w:rFonts w:ascii="Times New Roman" w:eastAsia="Times New Roman" w:hAnsi="Times New Roman" w:cs="Times New Roman"/>
                <w:color w:val="000000"/>
                <w:kern w:val="0"/>
                <w:lang w:val="en-US" w:eastAsia="it-IT"/>
                <w14:ligatures w14:val="none"/>
              </w:rPr>
              <w:lastRenderedPageBreak/>
              <w:t>focused on education, self-management, and transition readiness.</w:t>
            </w:r>
          </w:p>
        </w:tc>
        <w:tc>
          <w:tcPr>
            <w:tcW w:w="3842" w:type="dxa"/>
            <w:noWrap/>
            <w:hideMark/>
          </w:tcPr>
          <w:p w14:paraId="6ED1F05B" w14:textId="05C71108"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Low-certainty evidence: slight improvements in disease knowledge, self-efficacy (PAM), and TRAQ scores with nurse-led and tech-based interventions. No significant improvements in health outcomes, QoL, or transfer rates. Highlights need for </w:t>
            </w:r>
            <w:r w:rsidRPr="00A73FD8">
              <w:rPr>
                <w:rFonts w:ascii="Times New Roman" w:eastAsia="Times New Roman" w:hAnsi="Times New Roman" w:cs="Times New Roman"/>
                <w:color w:val="000000"/>
                <w:kern w:val="0"/>
                <w:lang w:val="en-US" w:eastAsia="it-IT"/>
                <w14:ligatures w14:val="none"/>
              </w:rPr>
              <w:lastRenderedPageBreak/>
              <w:t>more rigorous, long-term studies across diverse conditions and systems.</w:t>
            </w:r>
          </w:p>
        </w:tc>
      </w:tr>
      <w:tr w:rsidR="002178D3" w:rsidRPr="00A73FD8" w14:paraId="27C0A14B"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D4E9A7A" w14:textId="0D92620B"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lastRenderedPageBreak/>
              <w:t>Flocco</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(2019)</w:t>
            </w:r>
          </w:p>
          <w:p w14:paraId="32EBBF12"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78C4E577" w14:textId="190DD1EF"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34A4078F"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Italy</w:t>
            </w:r>
            <w:proofErr w:type="spellEnd"/>
          </w:p>
        </w:tc>
        <w:tc>
          <w:tcPr>
            <w:tcW w:w="2625" w:type="dxa"/>
            <w:noWrap/>
            <w:hideMark/>
          </w:tcPr>
          <w:p w14:paraId="13C2C036"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assess the impact of a transition care model on health perceptions in adolescents with CHD, focusing on quality of life, satisfaction, knowledge, and anxiety reduction.</w:t>
            </w:r>
          </w:p>
        </w:tc>
        <w:tc>
          <w:tcPr>
            <w:tcW w:w="1683" w:type="dxa"/>
            <w:noWrap/>
            <w:hideMark/>
          </w:tcPr>
          <w:p w14:paraId="31548121"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Quasi-</w:t>
            </w:r>
            <w:proofErr w:type="spellStart"/>
            <w:r w:rsidRPr="00A73FD8">
              <w:rPr>
                <w:rFonts w:ascii="Times New Roman" w:eastAsia="Times New Roman" w:hAnsi="Times New Roman" w:cs="Times New Roman"/>
                <w:color w:val="000000"/>
                <w:kern w:val="0"/>
                <w:lang w:eastAsia="it-IT"/>
                <w14:ligatures w14:val="none"/>
              </w:rPr>
              <w:t>experimental</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pre</w:t>
            </w:r>
            <w:proofErr w:type="spellEnd"/>
            <w:r w:rsidRPr="00A73FD8">
              <w:rPr>
                <w:rFonts w:ascii="Times New Roman" w:eastAsia="Times New Roman" w:hAnsi="Times New Roman" w:cs="Times New Roman"/>
                <w:color w:val="000000"/>
                <w:kern w:val="0"/>
                <w:lang w:eastAsia="it-IT"/>
                <w14:ligatures w14:val="none"/>
              </w:rPr>
              <w:t>/post-</w:t>
            </w:r>
            <w:proofErr w:type="spellStart"/>
            <w:r w:rsidRPr="00A73FD8">
              <w:rPr>
                <w:rFonts w:ascii="Times New Roman" w:eastAsia="Times New Roman" w:hAnsi="Times New Roman" w:cs="Times New Roman"/>
                <w:color w:val="000000"/>
                <w:kern w:val="0"/>
                <w:lang w:eastAsia="it-IT"/>
                <w14:ligatures w14:val="none"/>
              </w:rPr>
              <w:t>intervention</w:t>
            </w:r>
            <w:proofErr w:type="spellEnd"/>
            <w:r w:rsidRPr="00A73FD8">
              <w:rPr>
                <w:rFonts w:ascii="Times New Roman" w:eastAsia="Times New Roman" w:hAnsi="Times New Roman" w:cs="Times New Roman"/>
                <w:color w:val="000000"/>
                <w:kern w:val="0"/>
                <w:lang w:eastAsia="it-IT"/>
                <w14:ligatures w14:val="none"/>
              </w:rPr>
              <w:t xml:space="preserve"> study</w:t>
            </w:r>
          </w:p>
        </w:tc>
        <w:tc>
          <w:tcPr>
            <w:tcW w:w="2099" w:type="dxa"/>
            <w:noWrap/>
            <w:hideMark/>
          </w:tcPr>
          <w:p w14:paraId="11EA9A98"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224 adolescents with CHD (60.7% male; mean age: 14.84 years), classified as simple (22%), moderate (56%), or severe (22%) CHD.</w:t>
            </w:r>
          </w:p>
        </w:tc>
        <w:tc>
          <w:tcPr>
            <w:tcW w:w="2039" w:type="dxa"/>
            <w:noWrap/>
            <w:hideMark/>
          </w:tcPr>
          <w:p w14:paraId="70397742"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val="en-US" w:eastAsia="it-IT"/>
                <w14:ligatures w14:val="none"/>
              </w:rPr>
              <w:t xml:space="preserve">A three-pillar transition model: education on CHD, counseling sessions with peer support, and coordinated care led by a transition coordinator. </w:t>
            </w:r>
            <w:proofErr w:type="spellStart"/>
            <w:r w:rsidRPr="00A73FD8">
              <w:rPr>
                <w:rFonts w:ascii="Times New Roman" w:eastAsia="Times New Roman" w:hAnsi="Times New Roman" w:cs="Times New Roman"/>
                <w:color w:val="000000"/>
                <w:kern w:val="0"/>
                <w:lang w:eastAsia="it-IT"/>
                <w14:ligatures w14:val="none"/>
              </w:rPr>
              <w:t>Conducted</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at</w:t>
            </w:r>
            <w:proofErr w:type="spellEnd"/>
            <w:r w:rsidRPr="00A73FD8">
              <w:rPr>
                <w:rFonts w:ascii="Times New Roman" w:eastAsia="Times New Roman" w:hAnsi="Times New Roman" w:cs="Times New Roman"/>
                <w:color w:val="000000"/>
                <w:kern w:val="0"/>
                <w:lang w:eastAsia="it-IT"/>
                <w14:ligatures w14:val="none"/>
              </w:rPr>
              <w:t xml:space="preserve"> an </w:t>
            </w:r>
            <w:proofErr w:type="spellStart"/>
            <w:r w:rsidRPr="00A73FD8">
              <w:rPr>
                <w:rFonts w:ascii="Times New Roman" w:eastAsia="Times New Roman" w:hAnsi="Times New Roman" w:cs="Times New Roman"/>
                <w:color w:val="000000"/>
                <w:kern w:val="0"/>
                <w:lang w:eastAsia="it-IT"/>
                <w14:ligatures w14:val="none"/>
              </w:rPr>
              <w:t>Italian</w:t>
            </w:r>
            <w:proofErr w:type="spellEnd"/>
            <w:r w:rsidRPr="00A73FD8">
              <w:rPr>
                <w:rFonts w:ascii="Times New Roman" w:eastAsia="Times New Roman" w:hAnsi="Times New Roman" w:cs="Times New Roman"/>
                <w:color w:val="000000"/>
                <w:kern w:val="0"/>
                <w:lang w:eastAsia="it-IT"/>
                <w14:ligatures w14:val="none"/>
              </w:rPr>
              <w:t xml:space="preserve"> center for CHD.</w:t>
            </w:r>
          </w:p>
        </w:tc>
        <w:tc>
          <w:tcPr>
            <w:tcW w:w="3842" w:type="dxa"/>
            <w:noWrap/>
            <w:hideMark/>
          </w:tcPr>
          <w:p w14:paraId="67A10819" w14:textId="6A1E1ED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Significant improvements in pain reduction, anxiety, knowledge, life satisfaction, and quality of life (all p &lt; 0.001). The analyses showed promise in enhancing health perceptions for adolescent CHD patients.</w:t>
            </w:r>
          </w:p>
        </w:tc>
      </w:tr>
      <w:tr w:rsidR="002178D3" w:rsidRPr="00A73FD8" w14:paraId="3A3F954A"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FC68E00" w14:textId="040CF24B"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Fernandes et al. (2019)</w:t>
            </w:r>
          </w:p>
          <w:p w14:paraId="37BA23F3"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23F8778A" w14:textId="7B01F784"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0E0EB2F1"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United States</w:t>
            </w:r>
          </w:p>
        </w:tc>
        <w:tc>
          <w:tcPr>
            <w:tcW w:w="2625" w:type="dxa"/>
            <w:noWrap/>
            <w:hideMark/>
          </w:tcPr>
          <w:p w14:paraId="64F377CD"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determine adolescents’ and young adults’ understanding of the need for lifelong cardiac care (LLCC) and awareness of recommended adult care providers for CHD.</w:t>
            </w:r>
          </w:p>
        </w:tc>
        <w:tc>
          <w:tcPr>
            <w:tcW w:w="1683" w:type="dxa"/>
            <w:noWrap/>
            <w:hideMark/>
          </w:tcPr>
          <w:p w14:paraId="6B47F2C6"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Multi-center, cross-sectional survey study</w:t>
            </w:r>
          </w:p>
        </w:tc>
        <w:tc>
          <w:tcPr>
            <w:tcW w:w="2099" w:type="dxa"/>
            <w:noWrap/>
            <w:hideMark/>
          </w:tcPr>
          <w:p w14:paraId="42398712"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290 adolescents and young adults, ages 13-20, with surgically repaired CHD (62% male). Diagnoses include repaired aortic coarctation, tetralogy of Fallot, Fontan procedure, and arterial switch operation for transposition of the great arteries.</w:t>
            </w:r>
          </w:p>
        </w:tc>
        <w:tc>
          <w:tcPr>
            <w:tcW w:w="2039" w:type="dxa"/>
            <w:noWrap/>
            <w:hideMark/>
          </w:tcPr>
          <w:p w14:paraId="33FFA22B" w14:textId="18D8639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 survey was administered at 10 U.S. medical centers with ACHD programs, assessing knowledge of LLCC and provider types for adult care.</w:t>
            </w:r>
          </w:p>
        </w:tc>
        <w:tc>
          <w:tcPr>
            <w:tcW w:w="3842" w:type="dxa"/>
            <w:noWrap/>
            <w:hideMark/>
          </w:tcPr>
          <w:p w14:paraId="70FD2349" w14:textId="59CC9CE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78% understood the need for LLCC, but only 37% knew an ACHD specialist should guide it. Only 37% recalled discussions about LLCC with their care team, but 90% desired more information. Indicates a need for targeted LLCC education.</w:t>
            </w:r>
          </w:p>
        </w:tc>
      </w:tr>
      <w:tr w:rsidR="002178D3" w:rsidRPr="00A73FD8" w14:paraId="5DB3326D"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4F602D4" w14:textId="1783DB5B"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Gaydos</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(2020)</w:t>
            </w:r>
          </w:p>
          <w:p w14:paraId="726B8CAC"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344F15C5" w14:textId="0CD74933"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5902F0E5"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United States</w:t>
            </w:r>
          </w:p>
        </w:tc>
        <w:tc>
          <w:tcPr>
            <w:tcW w:w="2625" w:type="dxa"/>
            <w:noWrap/>
            <w:hideMark/>
          </w:tcPr>
          <w:p w14:paraId="60E0623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evaluate the impact of a transition clinic intervention on follow-up rates in adolescents and young adults with CHD, aiming to reduce the rate </w:t>
            </w:r>
            <w:r w:rsidRPr="00A73FD8">
              <w:rPr>
                <w:rFonts w:ascii="Times New Roman" w:eastAsia="Times New Roman" w:hAnsi="Times New Roman" w:cs="Times New Roman"/>
                <w:color w:val="000000"/>
                <w:kern w:val="0"/>
                <w:lang w:val="en-US" w:eastAsia="it-IT"/>
                <w14:ligatures w14:val="none"/>
              </w:rPr>
              <w:lastRenderedPageBreak/>
              <w:t>of patients lost to follow-up.</w:t>
            </w:r>
          </w:p>
        </w:tc>
        <w:tc>
          <w:tcPr>
            <w:tcW w:w="1683" w:type="dxa"/>
            <w:noWrap/>
            <w:hideMark/>
          </w:tcPr>
          <w:p w14:paraId="1B25072A"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Retrospective case-control study within a quality improvement project</w:t>
            </w:r>
          </w:p>
        </w:tc>
        <w:tc>
          <w:tcPr>
            <w:tcW w:w="2099" w:type="dxa"/>
            <w:noWrap/>
            <w:hideMark/>
          </w:tcPr>
          <w:p w14:paraId="7690A3A8"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53 adolescents and young adults with CHD, aged ≥11 years, from a single-center CHD clinic</w:t>
            </w:r>
          </w:p>
        </w:tc>
        <w:tc>
          <w:tcPr>
            <w:tcW w:w="2039" w:type="dxa"/>
            <w:noWrap/>
            <w:hideMark/>
          </w:tcPr>
          <w:p w14:paraId="25E35639"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Monthly transition clinic with self-assessment questionnaires, focused teaching, follow-up via a clinic registry, and </w:t>
            </w:r>
            <w:r w:rsidRPr="00A73FD8">
              <w:rPr>
                <w:rFonts w:ascii="Times New Roman" w:eastAsia="Times New Roman" w:hAnsi="Times New Roman" w:cs="Times New Roman"/>
                <w:color w:val="000000"/>
                <w:kern w:val="0"/>
                <w:lang w:val="en-US" w:eastAsia="it-IT"/>
                <w14:ligatures w14:val="none"/>
              </w:rPr>
              <w:lastRenderedPageBreak/>
              <w:t>personalized ACHD referrals.</w:t>
            </w:r>
          </w:p>
        </w:tc>
        <w:tc>
          <w:tcPr>
            <w:tcW w:w="3842" w:type="dxa"/>
            <w:noWrap/>
            <w:hideMark/>
          </w:tcPr>
          <w:p w14:paraId="1D6F9BA8" w14:textId="3C73F7A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The "lost to follow-up" rate in the intervention group was significantly lower (7.3%) compared to the control (25.9%, </w:t>
            </w:r>
            <w:r w:rsidRPr="00A73FD8">
              <w:rPr>
                <w:rFonts w:ascii="Times New Roman" w:eastAsia="Times New Roman" w:hAnsi="Times New Roman" w:cs="Times New Roman"/>
                <w:i/>
                <w:iCs/>
                <w:color w:val="000000"/>
                <w:kern w:val="0"/>
                <w:lang w:val="en-US" w:eastAsia="it-IT"/>
                <w14:ligatures w14:val="none"/>
              </w:rPr>
              <w:t>p</w:t>
            </w:r>
            <w:r w:rsidRPr="00A73FD8">
              <w:rPr>
                <w:rFonts w:ascii="Times New Roman" w:eastAsia="Times New Roman" w:hAnsi="Times New Roman" w:cs="Times New Roman"/>
                <w:color w:val="000000"/>
                <w:kern w:val="0"/>
                <w:lang w:val="en-US" w:eastAsia="it-IT"/>
                <w14:ligatures w14:val="none"/>
              </w:rPr>
              <w:t xml:space="preserve"> &lt; 0.01). Transition readiness increased with age, and clinic participation was the primary factor associated with improved follow-up.</w:t>
            </w:r>
          </w:p>
        </w:tc>
      </w:tr>
      <w:tr w:rsidR="002178D3" w:rsidRPr="00A73FD8" w14:paraId="0ACB2EAC"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8742272" w14:textId="6A5C40E5"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Ladouceur et al. (2017)</w:t>
            </w:r>
          </w:p>
          <w:p w14:paraId="05292F3F"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3EA27ADB" w14:textId="18062FA6"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7A4FF5AD"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France</w:t>
            </w:r>
          </w:p>
        </w:tc>
        <w:tc>
          <w:tcPr>
            <w:tcW w:w="2625" w:type="dxa"/>
            <w:noWrap/>
            <w:hideMark/>
          </w:tcPr>
          <w:p w14:paraId="6890F10C"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educational needs and impact of a structured transition intervention program on knowledge and self-management skills among adolescents with CHD.</w:t>
            </w:r>
          </w:p>
        </w:tc>
        <w:tc>
          <w:tcPr>
            <w:tcW w:w="1683" w:type="dxa"/>
            <w:noWrap/>
            <w:hideMark/>
          </w:tcPr>
          <w:p w14:paraId="1B7C354D"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Cross-sectional study with education vs. control group</w:t>
            </w:r>
          </w:p>
        </w:tc>
        <w:tc>
          <w:tcPr>
            <w:tcW w:w="2099" w:type="dxa"/>
            <w:noWrap/>
            <w:hideMark/>
          </w:tcPr>
          <w:p w14:paraId="07157995" w14:textId="7D74D71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115 adolescents with CHD (mean age 17 ± 2 years; 47 females) enrolled at a pediatric cardiology clinic in Paris</w:t>
            </w:r>
          </w:p>
        </w:tc>
        <w:tc>
          <w:tcPr>
            <w:tcW w:w="2039" w:type="dxa"/>
            <w:noWrap/>
            <w:hideMark/>
          </w:tcPr>
          <w:p w14:paraId="5DE5FBDB"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val="en-US" w:eastAsia="it-IT"/>
                <w14:ligatures w14:val="none"/>
              </w:rPr>
              <w:t xml:space="preserve">Structured education program with sessions on health issues, risky behaviors, self-management, and group sessions on common topics. </w:t>
            </w:r>
            <w:proofErr w:type="spellStart"/>
            <w:r w:rsidRPr="00A73FD8">
              <w:rPr>
                <w:rFonts w:ascii="Times New Roman" w:eastAsia="Times New Roman" w:hAnsi="Times New Roman" w:cs="Times New Roman"/>
                <w:color w:val="000000"/>
                <w:kern w:val="0"/>
                <w:lang w:eastAsia="it-IT"/>
                <w14:ligatures w14:val="none"/>
              </w:rPr>
              <w:t>Materials</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included</w:t>
            </w:r>
            <w:proofErr w:type="spellEnd"/>
            <w:r w:rsidRPr="00A73FD8">
              <w:rPr>
                <w:rFonts w:ascii="Times New Roman" w:eastAsia="Times New Roman" w:hAnsi="Times New Roman" w:cs="Times New Roman"/>
                <w:color w:val="000000"/>
                <w:kern w:val="0"/>
                <w:lang w:eastAsia="it-IT"/>
                <w14:ligatures w14:val="none"/>
              </w:rPr>
              <w:t xml:space="preserve"> a "Health Passport" and video game training.</w:t>
            </w:r>
          </w:p>
        </w:tc>
        <w:tc>
          <w:tcPr>
            <w:tcW w:w="3842" w:type="dxa"/>
            <w:noWrap/>
            <w:hideMark/>
          </w:tcPr>
          <w:p w14:paraId="5AFBD946" w14:textId="7362709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The education group scored significantly higher on knowledge (11.7 ± 3.5) than the control (8.6 ± 3.2, p &lt; 0.001). Key gaps in the control group included knowledge of the condition, follow-up needs, and pregnancy risks.</w:t>
            </w:r>
          </w:p>
        </w:tc>
      </w:tr>
      <w:tr w:rsidR="002178D3" w:rsidRPr="00A73FD8" w14:paraId="6FC58D59"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AA41329" w14:textId="6F856FC5"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t>Mackie</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(2014)</w:t>
            </w:r>
          </w:p>
          <w:p w14:paraId="6517459D"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2FCA209A" w14:textId="48D696BD"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78517C8C"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6924076F"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assess the impact of a nurse-led transition intervention on self-management and knowledge about heart disease among adolescents with CHD.</w:t>
            </w:r>
          </w:p>
        </w:tc>
        <w:tc>
          <w:tcPr>
            <w:tcW w:w="1683" w:type="dxa"/>
            <w:noWrap/>
            <w:hideMark/>
          </w:tcPr>
          <w:p w14:paraId="263E21D7"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Clinical trial</w:t>
            </w:r>
          </w:p>
        </w:tc>
        <w:tc>
          <w:tcPr>
            <w:tcW w:w="2099" w:type="dxa"/>
            <w:noWrap/>
            <w:hideMark/>
          </w:tcPr>
          <w:p w14:paraId="38A4F9E4"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58 adolescents with moderate or complex CHD or cardiomyopathy, ages 15-17</w:t>
            </w:r>
          </w:p>
        </w:tc>
        <w:tc>
          <w:tcPr>
            <w:tcW w:w="2039" w:type="dxa"/>
            <w:noWrap/>
            <w:hideMark/>
          </w:tcPr>
          <w:p w14:paraId="2C136FEE" w14:textId="494F8DF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The 1-hour individualized, nurse-led session focused on CHD education, creation of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and transition skills training.</w:t>
            </w:r>
          </w:p>
        </w:tc>
        <w:tc>
          <w:tcPr>
            <w:tcW w:w="3842" w:type="dxa"/>
            <w:noWrap/>
            <w:hideMark/>
          </w:tcPr>
          <w:p w14:paraId="00B9B79C" w14:textId="2721CFD5"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The intervention group had significantly higher self-management scores on the TRAQ and improved </w:t>
            </w:r>
            <w:proofErr w:type="spellStart"/>
            <w:r w:rsidRPr="00A73FD8">
              <w:rPr>
                <w:rFonts w:ascii="Times New Roman" w:eastAsia="Times New Roman" w:hAnsi="Times New Roman" w:cs="Times New Roman"/>
                <w:color w:val="000000"/>
                <w:kern w:val="0"/>
                <w:lang w:val="en-US" w:eastAsia="it-IT"/>
                <w14:ligatures w14:val="none"/>
              </w:rPr>
              <w:t>MyHeart</w:t>
            </w:r>
            <w:proofErr w:type="spellEnd"/>
            <w:r w:rsidRPr="00A73FD8">
              <w:rPr>
                <w:rFonts w:ascii="Times New Roman" w:eastAsia="Times New Roman" w:hAnsi="Times New Roman" w:cs="Times New Roman"/>
                <w:color w:val="000000"/>
                <w:kern w:val="0"/>
                <w:lang w:val="en-US" w:eastAsia="it-IT"/>
                <w14:ligatures w14:val="none"/>
              </w:rPr>
              <w:t xml:space="preserve"> knowledge scores (75% vs. 61% in controls) at the 6-month follow-up, showing enhanced readiness for transition.</w:t>
            </w:r>
          </w:p>
        </w:tc>
      </w:tr>
      <w:tr w:rsidR="002178D3" w:rsidRPr="00A73FD8" w14:paraId="0A0DE7F7"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DB9D7F5" w14:textId="485AF543"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Soto et al. (2020)</w:t>
            </w:r>
          </w:p>
          <w:p w14:paraId="48592FFD"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08CC7996" w14:textId="2092E13E"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7611DE0"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Chile</w:t>
            </w:r>
          </w:p>
        </w:tc>
        <w:tc>
          <w:tcPr>
            <w:tcW w:w="2625" w:type="dxa"/>
            <w:noWrap/>
            <w:hideMark/>
          </w:tcPr>
          <w:p w14:paraId="53C3DE8F"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transition readiness and factors impacting the successful transfer from pediatric to adult care in adolescents and young adults with CHD.</w:t>
            </w:r>
          </w:p>
        </w:tc>
        <w:tc>
          <w:tcPr>
            <w:tcW w:w="1683" w:type="dxa"/>
            <w:noWrap/>
            <w:hideMark/>
          </w:tcPr>
          <w:p w14:paraId="1C3DF908"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 xml:space="preserve">Multi-center, </w:t>
            </w:r>
            <w:proofErr w:type="spellStart"/>
            <w:r w:rsidRPr="00A73FD8">
              <w:rPr>
                <w:rFonts w:ascii="Times New Roman" w:eastAsia="Times New Roman" w:hAnsi="Times New Roman" w:cs="Times New Roman"/>
                <w:color w:val="000000"/>
                <w:kern w:val="0"/>
                <w:lang w:eastAsia="it-IT"/>
                <w14:ligatures w14:val="none"/>
              </w:rPr>
              <w:t>observational</w:t>
            </w:r>
            <w:proofErr w:type="spellEnd"/>
            <w:r w:rsidRPr="00A73FD8">
              <w:rPr>
                <w:rFonts w:ascii="Times New Roman" w:eastAsia="Times New Roman" w:hAnsi="Times New Roman" w:cs="Times New Roman"/>
                <w:color w:val="000000"/>
                <w:kern w:val="0"/>
                <w:lang w:eastAsia="it-IT"/>
                <w14:ligatures w14:val="none"/>
              </w:rPr>
              <w:t xml:space="preserve"> study</w:t>
            </w:r>
          </w:p>
        </w:tc>
        <w:tc>
          <w:tcPr>
            <w:tcW w:w="2099" w:type="dxa"/>
            <w:noWrap/>
            <w:hideMark/>
          </w:tcPr>
          <w:p w14:paraId="10875CA9"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Adolescents and young adults with CHD across various severities</w:t>
            </w:r>
          </w:p>
        </w:tc>
        <w:tc>
          <w:tcPr>
            <w:tcW w:w="2039" w:type="dxa"/>
            <w:noWrap/>
            <w:hideMark/>
          </w:tcPr>
          <w:p w14:paraId="33FA6E13" w14:textId="6786A052"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Comprehensive transition readiness assessment using structured surveys, self-management evaluations, and timely follow-up tracking.</w:t>
            </w:r>
          </w:p>
        </w:tc>
        <w:tc>
          <w:tcPr>
            <w:tcW w:w="3842" w:type="dxa"/>
            <w:noWrap/>
            <w:hideMark/>
          </w:tcPr>
          <w:p w14:paraId="295DAEF6" w14:textId="5820D0A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Findings indicated a positive correlation between structured transition preparation and increased follow-up attendance. Specific factors such as parental involvement, understanding of health management, and healthcare provider communication significantly improved transition outcomes.</w:t>
            </w:r>
          </w:p>
        </w:tc>
      </w:tr>
      <w:tr w:rsidR="002178D3" w:rsidRPr="00A73FD8" w14:paraId="220D1E2F"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96CD252" w14:textId="52E91D76"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Ricci et al. (2023)</w:t>
            </w:r>
          </w:p>
          <w:p w14:paraId="2492A91C"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5288A4FA" w14:textId="296E5BBC"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5F2DF824" w14:textId="4F6376C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United Kingdom</w:t>
            </w:r>
          </w:p>
        </w:tc>
        <w:tc>
          <w:tcPr>
            <w:tcW w:w="2625" w:type="dxa"/>
            <w:noWrap/>
            <w:hideMark/>
          </w:tcPr>
          <w:p w14:paraId="01955772" w14:textId="3C49584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evaluate the impact of a nurse-led transition service on knowledge and self-care skills in adolescents and young adults with CHD and identify factors </w:t>
            </w:r>
            <w:r w:rsidRPr="00A73FD8">
              <w:rPr>
                <w:rFonts w:ascii="Times New Roman" w:eastAsia="Times New Roman" w:hAnsi="Times New Roman" w:cs="Times New Roman"/>
                <w:color w:val="000000"/>
                <w:kern w:val="0"/>
                <w:lang w:val="en-US" w:eastAsia="it-IT"/>
                <w14:ligatures w14:val="none"/>
              </w:rPr>
              <w:lastRenderedPageBreak/>
              <w:t>associated with a successful transition to adult care.</w:t>
            </w:r>
          </w:p>
        </w:tc>
        <w:tc>
          <w:tcPr>
            <w:tcW w:w="1683" w:type="dxa"/>
            <w:noWrap/>
            <w:hideMark/>
          </w:tcPr>
          <w:p w14:paraId="59486623"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lastRenderedPageBreak/>
              <w:t>Retrospective</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longitudinal</w:t>
            </w:r>
            <w:proofErr w:type="spellEnd"/>
            <w:r w:rsidRPr="00A73FD8">
              <w:rPr>
                <w:rFonts w:ascii="Times New Roman" w:eastAsia="Times New Roman" w:hAnsi="Times New Roman" w:cs="Times New Roman"/>
                <w:color w:val="000000"/>
                <w:kern w:val="0"/>
                <w:lang w:eastAsia="it-IT"/>
                <w14:ligatures w14:val="none"/>
              </w:rPr>
              <w:t xml:space="preserve"> study</w:t>
            </w:r>
          </w:p>
        </w:tc>
        <w:tc>
          <w:tcPr>
            <w:tcW w:w="2099" w:type="dxa"/>
            <w:noWrap/>
            <w:hideMark/>
          </w:tcPr>
          <w:p w14:paraId="49832F9F"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592 adolescents and young adults with CHD, mean age 15.2 years, including patients with </w:t>
            </w:r>
            <w:r w:rsidRPr="00A73FD8">
              <w:rPr>
                <w:rFonts w:ascii="Times New Roman" w:eastAsia="Times New Roman" w:hAnsi="Times New Roman" w:cs="Times New Roman"/>
                <w:color w:val="000000"/>
                <w:kern w:val="0"/>
                <w:lang w:val="en-US" w:eastAsia="it-IT"/>
                <w14:ligatures w14:val="none"/>
              </w:rPr>
              <w:lastRenderedPageBreak/>
              <w:t>learning and physical disabilities</w:t>
            </w:r>
          </w:p>
        </w:tc>
        <w:tc>
          <w:tcPr>
            <w:tcW w:w="2039" w:type="dxa"/>
            <w:noWrap/>
            <w:hideMark/>
          </w:tcPr>
          <w:p w14:paraId="48C6C313"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Nurse-led clinics using a structured model with 2-3 clinic visits over several years, addressing CHD </w:t>
            </w:r>
            <w:r w:rsidRPr="00A73FD8">
              <w:rPr>
                <w:rFonts w:ascii="Times New Roman" w:eastAsia="Times New Roman" w:hAnsi="Times New Roman" w:cs="Times New Roman"/>
                <w:color w:val="000000"/>
                <w:kern w:val="0"/>
                <w:lang w:val="en-US" w:eastAsia="it-IT"/>
                <w14:ligatures w14:val="none"/>
              </w:rPr>
              <w:lastRenderedPageBreak/>
              <w:t>knowledge, self-care, and health independence</w:t>
            </w:r>
          </w:p>
        </w:tc>
        <w:tc>
          <w:tcPr>
            <w:tcW w:w="3842" w:type="dxa"/>
            <w:noWrap/>
            <w:hideMark/>
          </w:tcPr>
          <w:p w14:paraId="0C36815A" w14:textId="54DF83A5"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Patients without learning disabilities showed significant improvement in knowledge (e.g., naming/understanding their CHD) from first to third visits. Successful transition is associated with </w:t>
            </w:r>
            <w:r w:rsidRPr="00A73FD8">
              <w:rPr>
                <w:rFonts w:ascii="Times New Roman" w:eastAsia="Times New Roman" w:hAnsi="Times New Roman" w:cs="Times New Roman"/>
                <w:color w:val="000000"/>
                <w:kern w:val="0"/>
                <w:lang w:val="en-US" w:eastAsia="it-IT"/>
                <w14:ligatures w14:val="none"/>
              </w:rPr>
              <w:lastRenderedPageBreak/>
              <w:t>younger age, simpler CHD, and the absence of physical disability.</w:t>
            </w:r>
          </w:p>
        </w:tc>
      </w:tr>
      <w:tr w:rsidR="002178D3" w:rsidRPr="00A73FD8" w14:paraId="5E08F134"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11A0647" w14:textId="720D9AF4"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roofErr w:type="spellStart"/>
            <w:r w:rsidRPr="00A73FD8">
              <w:rPr>
                <w:rFonts w:ascii="Times New Roman" w:eastAsia="Times New Roman" w:hAnsi="Times New Roman" w:cs="Times New Roman"/>
                <w:b w:val="0"/>
                <w:bCs w:val="0"/>
                <w:color w:val="000000"/>
                <w:kern w:val="0"/>
                <w:lang w:val="fr-FR" w:eastAsia="it-IT"/>
                <w14:ligatures w14:val="none"/>
              </w:rPr>
              <w:lastRenderedPageBreak/>
              <w:t>Flocco</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(2018)</w:t>
            </w:r>
          </w:p>
          <w:p w14:paraId="7267DA59"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6C4BA54C" w14:textId="15308F5B"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2D11459A"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Italy</w:t>
            </w:r>
            <w:proofErr w:type="spellEnd"/>
          </w:p>
        </w:tc>
        <w:tc>
          <w:tcPr>
            <w:tcW w:w="2625" w:type="dxa"/>
            <w:noWrap/>
            <w:hideMark/>
          </w:tcPr>
          <w:p w14:paraId="0AA7FB7E"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effects of a standardized educational intervention on health perception, quality of life, and satisfaction in adolescents with CHD transitioning to adult care.</w:t>
            </w:r>
          </w:p>
        </w:tc>
        <w:tc>
          <w:tcPr>
            <w:tcW w:w="1683" w:type="dxa"/>
            <w:noWrap/>
            <w:hideMark/>
          </w:tcPr>
          <w:p w14:paraId="6967BC61"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Quasi-</w:t>
            </w:r>
            <w:proofErr w:type="spellStart"/>
            <w:r w:rsidRPr="00A73FD8">
              <w:rPr>
                <w:rFonts w:ascii="Times New Roman" w:eastAsia="Times New Roman" w:hAnsi="Times New Roman" w:cs="Times New Roman"/>
                <w:color w:val="000000"/>
                <w:kern w:val="0"/>
                <w:lang w:eastAsia="it-IT"/>
                <w14:ligatures w14:val="none"/>
              </w:rPr>
              <w:t>experimental</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pre</w:t>
            </w:r>
            <w:proofErr w:type="spellEnd"/>
            <w:r w:rsidRPr="00A73FD8">
              <w:rPr>
                <w:rFonts w:ascii="Times New Roman" w:eastAsia="Times New Roman" w:hAnsi="Times New Roman" w:cs="Times New Roman"/>
                <w:color w:val="000000"/>
                <w:kern w:val="0"/>
                <w:lang w:eastAsia="it-IT"/>
                <w14:ligatures w14:val="none"/>
              </w:rPr>
              <w:t>-post design</w:t>
            </w:r>
          </w:p>
        </w:tc>
        <w:tc>
          <w:tcPr>
            <w:tcW w:w="2099" w:type="dxa"/>
            <w:noWrap/>
            <w:hideMark/>
          </w:tcPr>
          <w:p w14:paraId="4BB2CA80"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100 adolescents with CHD, ages 14-21 (mean age 14.79 years, 60% male)</w:t>
            </w:r>
          </w:p>
        </w:tc>
        <w:tc>
          <w:tcPr>
            <w:tcW w:w="2039" w:type="dxa"/>
            <w:noWrap/>
            <w:hideMark/>
          </w:tcPr>
          <w:p w14:paraId="250F749B" w14:textId="7DF06A7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The multidisciplinary transition clinic model has three phases: clinical condition education, psychological support, peer counseling, and communication enhancement through a Transition Coordinator.</w:t>
            </w:r>
          </w:p>
        </w:tc>
        <w:tc>
          <w:tcPr>
            <w:tcW w:w="3842" w:type="dxa"/>
            <w:noWrap/>
            <w:hideMark/>
          </w:tcPr>
          <w:p w14:paraId="5CF92B8F" w14:textId="317F48F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Significant improvements at follow-up in pain/discomfort, anxiety/depression, health perception, general satisfaction, and quality of life. Results indicate that a structured, CHD-specific transition program benefits adolescent health outcomes.</w:t>
            </w:r>
          </w:p>
        </w:tc>
      </w:tr>
      <w:tr w:rsidR="002178D3" w:rsidRPr="00A73FD8" w14:paraId="01091F5E"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C01493C" w14:textId="40C99275"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eastAsia="Times New Roman" w:hAnsi="Times New Roman" w:cs="Times New Roman"/>
                <w:b w:val="0"/>
                <w:bCs w:val="0"/>
                <w:color w:val="000000"/>
                <w:kern w:val="0"/>
                <w:lang w:val="fr-FR" w:eastAsia="it-IT"/>
                <w14:ligatures w14:val="none"/>
              </w:rPr>
              <w:t xml:space="preserve">de </w:t>
            </w:r>
            <w:proofErr w:type="spellStart"/>
            <w:r w:rsidRPr="00A73FD8">
              <w:rPr>
                <w:rFonts w:ascii="Times New Roman" w:eastAsia="Times New Roman" w:hAnsi="Times New Roman" w:cs="Times New Roman"/>
                <w:b w:val="0"/>
                <w:bCs w:val="0"/>
                <w:color w:val="000000"/>
                <w:kern w:val="0"/>
                <w:lang w:val="fr-FR" w:eastAsia="it-IT"/>
                <w14:ligatures w14:val="none"/>
              </w:rPr>
              <w:t>Hosson</w:t>
            </w:r>
            <w:proofErr w:type="spellEnd"/>
            <w:r w:rsidRPr="00A73FD8">
              <w:rPr>
                <w:rFonts w:ascii="Times New Roman" w:eastAsia="Times New Roman" w:hAnsi="Times New Roman" w:cs="Times New Roman"/>
                <w:b w:val="0"/>
                <w:bCs w:val="0"/>
                <w:color w:val="000000"/>
                <w:kern w:val="0"/>
                <w:lang w:val="fr-FR" w:eastAsia="it-IT"/>
                <w14:ligatures w14:val="none"/>
              </w:rPr>
              <w:t xml:space="preserve"> et al. (2024)</w:t>
            </w:r>
          </w:p>
          <w:p w14:paraId="03482B87" w14:textId="77777777"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p>
          <w:p w14:paraId="181A3315" w14:textId="02BA8B63" w:rsidR="002178D3" w:rsidRPr="00A73FD8" w:rsidRDefault="002178D3" w:rsidP="0039436D">
            <w:pPr>
              <w:jc w:val="center"/>
              <w:rPr>
                <w:rFonts w:ascii="Times New Roman" w:eastAsia="Times New Roman" w:hAnsi="Times New Roman" w:cs="Times New Roman"/>
                <w:b w:val="0"/>
                <w:bCs w:val="0"/>
                <w:color w:val="000000"/>
                <w:kern w:val="0"/>
                <w:lang w:val="fr-FR" w:eastAsia="it-IT"/>
                <w14:ligatures w14:val="none"/>
              </w:rPr>
            </w:pPr>
            <w:r w:rsidRPr="00A73FD8">
              <w:rPr>
                <w:rFonts w:ascii="Times New Roman" w:hAnsi="Times New Roman" w:cs="Times New Roman"/>
                <w:b w:val="0"/>
                <w:bCs w:val="0"/>
                <w:lang w:val="fr-FR"/>
              </w:rPr>
              <w:t>Journal Article</w:t>
            </w:r>
          </w:p>
        </w:tc>
        <w:tc>
          <w:tcPr>
            <w:tcW w:w="1472" w:type="dxa"/>
            <w:noWrap/>
            <w:hideMark/>
          </w:tcPr>
          <w:p w14:paraId="40266247"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Belgium</w:t>
            </w:r>
            <w:proofErr w:type="spellEnd"/>
          </w:p>
        </w:tc>
        <w:tc>
          <w:tcPr>
            <w:tcW w:w="2625" w:type="dxa"/>
            <w:noWrap/>
            <w:hideMark/>
          </w:tcPr>
          <w:p w14:paraId="1B9519BC"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effectiveness of the TWAH (Transition With A Heart) program on disease-related knowledge, quality of life, and transition experiences in adolescents with CHD.</w:t>
            </w:r>
          </w:p>
        </w:tc>
        <w:tc>
          <w:tcPr>
            <w:tcW w:w="1683" w:type="dxa"/>
            <w:noWrap/>
            <w:hideMark/>
          </w:tcPr>
          <w:p w14:paraId="4208EFE7"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Pre-posttest study with control group</w:t>
            </w:r>
          </w:p>
        </w:tc>
        <w:tc>
          <w:tcPr>
            <w:tcW w:w="2099" w:type="dxa"/>
            <w:noWrap/>
            <w:hideMark/>
          </w:tcPr>
          <w:p w14:paraId="6BE84A01" w14:textId="2214989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28 adolescents and 25 parents in the intervention group; 53 adolescents and 18 parents in the control group, ages ≥12 with moderate to severe CHD</w:t>
            </w:r>
          </w:p>
        </w:tc>
        <w:tc>
          <w:tcPr>
            <w:tcW w:w="2039" w:type="dxa"/>
            <w:noWrap/>
            <w:hideMark/>
          </w:tcPr>
          <w:p w14:paraId="496C0771" w14:textId="7B1DE75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The TWAH program included tailored education, skills training, a transition coordinator, and a joint transfer outpatient visit involving pediatric and adult cardiologists.</w:t>
            </w:r>
          </w:p>
        </w:tc>
        <w:tc>
          <w:tcPr>
            <w:tcW w:w="3842" w:type="dxa"/>
            <w:noWrap/>
            <w:hideMark/>
          </w:tcPr>
          <w:p w14:paraId="50665649" w14:textId="1D01548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There was a significant increase in CHD knowledge (from 59.8% to 75.7%) and improved transition experiences; there was no gap in follow-up for participants. Transition experience and knowledge gains were notably higher in the intervention group compared to the controls.</w:t>
            </w:r>
          </w:p>
        </w:tc>
      </w:tr>
      <w:tr w:rsidR="002178D3" w:rsidRPr="00A73FD8" w14:paraId="3C4836E7"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7F45936" w14:textId="083B89E5" w:rsidR="002178D3" w:rsidRPr="00A73FD8" w:rsidRDefault="002178D3" w:rsidP="00C61CD0">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Mackie et al. (2019)</w:t>
            </w:r>
          </w:p>
          <w:p w14:paraId="7A1E0E18" w14:textId="2650A33E" w:rsidR="002178D3" w:rsidRPr="00A73FD8" w:rsidRDefault="002178D3" w:rsidP="00E363A9">
            <w:pPr>
              <w:jc w:val="center"/>
              <w:rPr>
                <w:rFonts w:ascii="Times New Roman" w:hAnsi="Times New Roman" w:cs="Times New Roman"/>
                <w:b w:val="0"/>
                <w:bCs w:val="0"/>
                <w:color w:val="000000"/>
              </w:rPr>
            </w:pPr>
            <w:r w:rsidRPr="00A73FD8">
              <w:rPr>
                <w:rFonts w:ascii="Times New Roman" w:hAnsi="Times New Roman" w:cs="Times New Roman"/>
                <w:b w:val="0"/>
                <w:bCs w:val="0"/>
                <w:color w:val="000000"/>
              </w:rPr>
              <w:t xml:space="preserve">Conference </w:t>
            </w:r>
            <w:proofErr w:type="spellStart"/>
            <w:r w:rsidRPr="00A73FD8">
              <w:rPr>
                <w:rFonts w:ascii="Times New Roman" w:hAnsi="Times New Roman" w:cs="Times New Roman"/>
                <w:b w:val="0"/>
                <w:bCs w:val="0"/>
                <w:color w:val="000000"/>
              </w:rPr>
              <w:t>proceeding</w:t>
            </w:r>
            <w:proofErr w:type="spellEnd"/>
          </w:p>
          <w:p w14:paraId="5604FB64" w14:textId="77777777" w:rsidR="002178D3" w:rsidRPr="00A73FD8" w:rsidRDefault="002178D3" w:rsidP="0039436D">
            <w:pPr>
              <w:jc w:val="center"/>
              <w:rPr>
                <w:rFonts w:ascii="Times New Roman" w:eastAsia="Times New Roman" w:hAnsi="Times New Roman" w:cs="Times New Roman"/>
                <w:b w:val="0"/>
                <w:bCs w:val="0"/>
                <w:color w:val="000000"/>
                <w:kern w:val="0"/>
                <w:lang w:val="en-US" w:eastAsia="it-IT"/>
                <w14:ligatures w14:val="none"/>
              </w:rPr>
            </w:pPr>
          </w:p>
        </w:tc>
        <w:tc>
          <w:tcPr>
            <w:tcW w:w="1472" w:type="dxa"/>
            <w:noWrap/>
            <w:hideMark/>
          </w:tcPr>
          <w:p w14:paraId="182D058C" w14:textId="35D00A6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Canada</w:t>
            </w:r>
          </w:p>
        </w:tc>
        <w:tc>
          <w:tcPr>
            <w:tcW w:w="2625" w:type="dxa"/>
            <w:noWrap/>
            <w:hideMark/>
          </w:tcPr>
          <w:p w14:paraId="123A7F1D" w14:textId="57145692"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Evaluate a transition program for patients with CHD transitioning to adult care.</w:t>
            </w:r>
          </w:p>
        </w:tc>
        <w:tc>
          <w:tcPr>
            <w:tcW w:w="1683" w:type="dxa"/>
            <w:noWrap/>
            <w:hideMark/>
          </w:tcPr>
          <w:p w14:paraId="692B384D" w14:textId="79AB997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r w:rsidRPr="00A73FD8">
              <w:rPr>
                <w:rFonts w:ascii="Times New Roman" w:eastAsia="Times New Roman" w:hAnsi="Times New Roman" w:cs="Times New Roman"/>
                <w:color w:val="000000"/>
                <w:kern w:val="0"/>
                <w:lang w:eastAsia="it-IT"/>
                <w14:ligatures w14:val="none"/>
              </w:rPr>
              <w:t>RCT</w:t>
            </w:r>
          </w:p>
        </w:tc>
        <w:tc>
          <w:tcPr>
            <w:tcW w:w="2099" w:type="dxa"/>
            <w:noWrap/>
            <w:hideMark/>
          </w:tcPr>
          <w:p w14:paraId="3A1BC7BA" w14:textId="25F1714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Adolescents with CHD</w:t>
            </w:r>
          </w:p>
        </w:tc>
        <w:tc>
          <w:tcPr>
            <w:tcW w:w="2039" w:type="dxa"/>
            <w:noWrap/>
            <w:hideMark/>
          </w:tcPr>
          <w:p w14:paraId="56C9F7AC" w14:textId="4A7EC30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Focuses on the transition from pediatric to adult care services</w:t>
            </w:r>
          </w:p>
        </w:tc>
        <w:tc>
          <w:tcPr>
            <w:tcW w:w="3842" w:type="dxa"/>
            <w:noWrap/>
            <w:hideMark/>
          </w:tcPr>
          <w:p w14:paraId="1D2F57CE"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it-IT"/>
                <w14:ligatures w14:val="none"/>
              </w:rPr>
            </w:pPr>
            <w:proofErr w:type="spellStart"/>
            <w:r w:rsidRPr="00A73FD8">
              <w:rPr>
                <w:rFonts w:ascii="Times New Roman" w:eastAsia="Times New Roman" w:hAnsi="Times New Roman" w:cs="Times New Roman"/>
                <w:color w:val="000000"/>
                <w:kern w:val="0"/>
                <w:lang w:eastAsia="it-IT"/>
                <w14:ligatures w14:val="none"/>
              </w:rPr>
              <w:t>Improvement</w:t>
            </w:r>
            <w:proofErr w:type="spellEnd"/>
            <w:r w:rsidRPr="00A73FD8">
              <w:rPr>
                <w:rFonts w:ascii="Times New Roman" w:eastAsia="Times New Roman" w:hAnsi="Times New Roman" w:cs="Times New Roman"/>
                <w:color w:val="000000"/>
                <w:kern w:val="0"/>
                <w:lang w:eastAsia="it-IT"/>
                <w14:ligatures w14:val="none"/>
              </w:rPr>
              <w:t xml:space="preserve"> in </w:t>
            </w:r>
            <w:proofErr w:type="spellStart"/>
            <w:r w:rsidRPr="00A73FD8">
              <w:rPr>
                <w:rFonts w:ascii="Times New Roman" w:eastAsia="Times New Roman" w:hAnsi="Times New Roman" w:cs="Times New Roman"/>
                <w:color w:val="000000"/>
                <w:kern w:val="0"/>
                <w:lang w:eastAsia="it-IT"/>
                <w14:ligatures w14:val="none"/>
              </w:rPr>
              <w:t>patient</w:t>
            </w:r>
            <w:proofErr w:type="spellEnd"/>
            <w:r w:rsidRPr="00A73FD8">
              <w:rPr>
                <w:rFonts w:ascii="Times New Roman" w:eastAsia="Times New Roman" w:hAnsi="Times New Roman" w:cs="Times New Roman"/>
                <w:color w:val="000000"/>
                <w:kern w:val="0"/>
                <w:lang w:eastAsia="it-IT"/>
                <w14:ligatures w14:val="none"/>
              </w:rPr>
              <w:t xml:space="preserve"> </w:t>
            </w:r>
            <w:proofErr w:type="spellStart"/>
            <w:r w:rsidRPr="00A73FD8">
              <w:rPr>
                <w:rFonts w:ascii="Times New Roman" w:eastAsia="Times New Roman" w:hAnsi="Times New Roman" w:cs="Times New Roman"/>
                <w:color w:val="000000"/>
                <w:kern w:val="0"/>
                <w:lang w:eastAsia="it-IT"/>
                <w14:ligatures w14:val="none"/>
              </w:rPr>
              <w:t>adherence</w:t>
            </w:r>
            <w:proofErr w:type="spellEnd"/>
            <w:r w:rsidRPr="00A73FD8">
              <w:rPr>
                <w:rFonts w:ascii="Times New Roman" w:eastAsia="Times New Roman" w:hAnsi="Times New Roman" w:cs="Times New Roman"/>
                <w:color w:val="000000"/>
                <w:kern w:val="0"/>
                <w:lang w:eastAsia="it-IT"/>
                <w14:ligatures w14:val="none"/>
              </w:rPr>
              <w:t xml:space="preserve"> and </w:t>
            </w:r>
            <w:proofErr w:type="spellStart"/>
            <w:r w:rsidRPr="00A73FD8">
              <w:rPr>
                <w:rFonts w:ascii="Times New Roman" w:eastAsia="Times New Roman" w:hAnsi="Times New Roman" w:cs="Times New Roman"/>
                <w:color w:val="000000"/>
                <w:kern w:val="0"/>
                <w:lang w:eastAsia="it-IT"/>
                <w14:ligatures w14:val="none"/>
              </w:rPr>
              <w:t>satisfaction</w:t>
            </w:r>
            <w:proofErr w:type="spellEnd"/>
          </w:p>
        </w:tc>
      </w:tr>
      <w:tr w:rsidR="002178D3" w:rsidRPr="00A73FD8" w14:paraId="59BB57F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8E15E27"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t>Mackie</w:t>
            </w:r>
            <w:proofErr w:type="spellEnd"/>
            <w:r w:rsidRPr="006F66E9">
              <w:rPr>
                <w:rFonts w:ascii="Times New Roman" w:hAnsi="Times New Roman" w:cs="Times New Roman"/>
                <w:b w:val="0"/>
                <w:bCs w:val="0"/>
                <w:lang w:val="fr-FR"/>
              </w:rPr>
              <w:t xml:space="preserve"> et al. (2016)</w:t>
            </w:r>
          </w:p>
          <w:p w14:paraId="39162EDE" w14:textId="58E5F3A8" w:rsidR="002178D3" w:rsidRPr="00A73FD8"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2310D431" w14:textId="259D01B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fr-FR" w:eastAsia="it-IT"/>
                <w14:ligatures w14:val="none"/>
              </w:rPr>
            </w:pPr>
            <w:r w:rsidRPr="00A73FD8">
              <w:rPr>
                <w:rFonts w:ascii="Times New Roman" w:eastAsia="Times New Roman" w:hAnsi="Times New Roman" w:cs="Times New Roman"/>
                <w:color w:val="000000"/>
                <w:kern w:val="0"/>
                <w:lang w:val="fr-FR" w:eastAsia="it-IT"/>
                <w14:ligatures w14:val="none"/>
              </w:rPr>
              <w:t>Canada</w:t>
            </w:r>
          </w:p>
        </w:tc>
        <w:tc>
          <w:tcPr>
            <w:tcW w:w="2625" w:type="dxa"/>
            <w:noWrap/>
          </w:tcPr>
          <w:p w14:paraId="57A91199" w14:textId="67A5904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fr-FR" w:eastAsia="it-IT"/>
                <w14:ligatures w14:val="none"/>
              </w:rPr>
              <w:tab/>
            </w:r>
            <w:r w:rsidRPr="00A73FD8">
              <w:rPr>
                <w:rFonts w:ascii="Times New Roman" w:eastAsia="Times New Roman" w:hAnsi="Times New Roman" w:cs="Times New Roman"/>
                <w:color w:val="000000"/>
                <w:kern w:val="0"/>
                <w:lang w:val="en-US" w:eastAsia="it-IT"/>
                <w14:ligatures w14:val="none"/>
              </w:rPr>
              <w:t xml:space="preserve">To evaluate the impact of a nurse-led transition intervention on the time to first adult congenital heart disease </w:t>
            </w:r>
            <w:r w:rsidRPr="00A73FD8">
              <w:rPr>
                <w:rFonts w:ascii="Times New Roman" w:eastAsia="Times New Roman" w:hAnsi="Times New Roman" w:cs="Times New Roman"/>
                <w:color w:val="000000"/>
                <w:kern w:val="0"/>
                <w:lang w:val="en-US" w:eastAsia="it-IT"/>
                <w14:ligatures w14:val="none"/>
              </w:rPr>
              <w:lastRenderedPageBreak/>
              <w:t>(ACHD) clinic attendance among adolescents with CHD.</w:t>
            </w:r>
          </w:p>
        </w:tc>
        <w:tc>
          <w:tcPr>
            <w:tcW w:w="1683" w:type="dxa"/>
            <w:noWrap/>
          </w:tcPr>
          <w:p w14:paraId="0C150476" w14:textId="477D647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Study Protocol</w:t>
            </w:r>
          </w:p>
        </w:tc>
        <w:tc>
          <w:tcPr>
            <w:tcW w:w="2099" w:type="dxa"/>
            <w:noWrap/>
          </w:tcPr>
          <w:p w14:paraId="1D58C93C" w14:textId="36D8051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120 adolescents aged 16–17 with moderate or complex CHD, from two tertiary </w:t>
            </w:r>
            <w:r w:rsidRPr="00A73FD8">
              <w:rPr>
                <w:rFonts w:ascii="Times New Roman" w:eastAsia="Times New Roman" w:hAnsi="Times New Roman" w:cs="Times New Roman"/>
                <w:color w:val="000000"/>
                <w:kern w:val="0"/>
                <w:lang w:val="en-US" w:eastAsia="it-IT"/>
                <w14:ligatures w14:val="none"/>
              </w:rPr>
              <w:lastRenderedPageBreak/>
              <w:t>pediatric cardiology centers in Canada</w:t>
            </w:r>
          </w:p>
        </w:tc>
        <w:tc>
          <w:tcPr>
            <w:tcW w:w="2039" w:type="dxa"/>
            <w:noWrap/>
          </w:tcPr>
          <w:p w14:paraId="722CB645" w14:textId="163540F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Two 1-hour individualized nurse-led sessions: Session 1 focused on CHD knowledge </w:t>
            </w:r>
            <w:r w:rsidRPr="00A73FD8">
              <w:rPr>
                <w:rFonts w:ascii="Times New Roman" w:eastAsia="Times New Roman" w:hAnsi="Times New Roman" w:cs="Times New Roman"/>
                <w:color w:val="000000"/>
                <w:kern w:val="0"/>
                <w:lang w:val="en-US" w:eastAsia="it-IT"/>
                <w14:ligatures w14:val="none"/>
              </w:rPr>
              <w:lastRenderedPageBreak/>
              <w:t xml:space="preserve">and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creation; Session 2 on self-management skills and role-playing. Conducted ~2 months apart in a pediatric cardiology clinic</w:t>
            </w:r>
          </w:p>
        </w:tc>
        <w:tc>
          <w:tcPr>
            <w:tcW w:w="3842" w:type="dxa"/>
            <w:noWrap/>
          </w:tcPr>
          <w:p w14:paraId="38596D1A" w14:textId="442084D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Primary outcome: excess time to first ACHD visit. Secondary outcomes: CHD knowledge (</w:t>
            </w:r>
            <w:proofErr w:type="spellStart"/>
            <w:r w:rsidRPr="00A73FD8">
              <w:rPr>
                <w:rFonts w:ascii="Times New Roman" w:eastAsia="Times New Roman" w:hAnsi="Times New Roman" w:cs="Times New Roman"/>
                <w:color w:val="000000"/>
                <w:kern w:val="0"/>
                <w:lang w:val="en-US" w:eastAsia="it-IT"/>
                <w14:ligatures w14:val="none"/>
              </w:rPr>
              <w:t>MyHeart</w:t>
            </w:r>
            <w:proofErr w:type="spellEnd"/>
            <w:r w:rsidRPr="00A73FD8">
              <w:rPr>
                <w:rFonts w:ascii="Times New Roman" w:eastAsia="Times New Roman" w:hAnsi="Times New Roman" w:cs="Times New Roman"/>
                <w:color w:val="000000"/>
                <w:kern w:val="0"/>
                <w:lang w:val="en-US" w:eastAsia="it-IT"/>
                <w14:ligatures w14:val="none"/>
              </w:rPr>
              <w:t xml:space="preserve"> score), transition readiness (TRAQ, Williams’ scale), and rates of cardiac re-intervention. Study </w:t>
            </w:r>
            <w:r w:rsidRPr="00A73FD8">
              <w:rPr>
                <w:rFonts w:ascii="Times New Roman" w:eastAsia="Times New Roman" w:hAnsi="Times New Roman" w:cs="Times New Roman"/>
                <w:color w:val="000000"/>
                <w:kern w:val="0"/>
                <w:lang w:val="en-US" w:eastAsia="it-IT"/>
                <w14:ligatures w14:val="none"/>
              </w:rPr>
              <w:lastRenderedPageBreak/>
              <w:t>emphasizes treatment fidelity and the clinical relevance of transition preparation.</w:t>
            </w:r>
          </w:p>
        </w:tc>
      </w:tr>
      <w:tr w:rsidR="002178D3" w:rsidRPr="00A73FD8" w14:paraId="5843D469"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9C14218" w14:textId="77777777" w:rsidR="002178D3" w:rsidRPr="006F66E9" w:rsidRDefault="002178D3" w:rsidP="00C61CD0">
            <w:pPr>
              <w:jc w:val="center"/>
              <w:rPr>
                <w:rFonts w:ascii="Times New Roman" w:hAnsi="Times New Roman" w:cs="Times New Roman"/>
                <w:b w:val="0"/>
                <w:bCs w:val="0"/>
                <w:color w:val="000000"/>
                <w:lang w:val="fr-FR"/>
              </w:rPr>
            </w:pPr>
            <w:proofErr w:type="spellStart"/>
            <w:r w:rsidRPr="006F66E9">
              <w:rPr>
                <w:rFonts w:ascii="Times New Roman" w:hAnsi="Times New Roman" w:cs="Times New Roman"/>
                <w:b w:val="0"/>
                <w:bCs w:val="0"/>
                <w:color w:val="000000"/>
                <w:lang w:val="fr-FR"/>
              </w:rPr>
              <w:lastRenderedPageBreak/>
              <w:t>Acuña</w:t>
            </w:r>
            <w:proofErr w:type="spellEnd"/>
            <w:r w:rsidRPr="006F66E9">
              <w:rPr>
                <w:rFonts w:ascii="Times New Roman" w:hAnsi="Times New Roman" w:cs="Times New Roman"/>
                <w:b w:val="0"/>
                <w:bCs w:val="0"/>
                <w:color w:val="000000"/>
                <w:lang w:val="fr-FR"/>
              </w:rPr>
              <w:t xml:space="preserve"> Mora et al. (2017)</w:t>
            </w:r>
          </w:p>
          <w:p w14:paraId="092A916E" w14:textId="06119E77"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4119E9B3" w14:textId="2A3AD51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Sweden</w:t>
            </w:r>
            <w:proofErr w:type="spellEnd"/>
          </w:p>
        </w:tc>
        <w:tc>
          <w:tcPr>
            <w:tcW w:w="2625" w:type="dxa"/>
            <w:noWrap/>
          </w:tcPr>
          <w:p w14:paraId="1A274F79" w14:textId="49E4B66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assess the effectiveness of a structured, person-</w:t>
            </w:r>
            <w:proofErr w:type="spellStart"/>
            <w:r w:rsidRPr="00A73FD8">
              <w:rPr>
                <w:rFonts w:ascii="Times New Roman" w:hAnsi="Times New Roman" w:cs="Times New Roman"/>
                <w:lang w:val="en-US"/>
              </w:rPr>
              <w:t>centred</w:t>
            </w:r>
            <w:proofErr w:type="spellEnd"/>
            <w:r w:rsidRPr="00A73FD8">
              <w:rPr>
                <w:rFonts w:ascii="Times New Roman" w:hAnsi="Times New Roman" w:cs="Times New Roman"/>
                <w:lang w:val="en-US"/>
              </w:rPr>
              <w:t xml:space="preserve"> transition </w:t>
            </w:r>
            <w:proofErr w:type="spellStart"/>
            <w:r w:rsidRPr="00A73FD8">
              <w:rPr>
                <w:rFonts w:ascii="Times New Roman" w:hAnsi="Times New Roman" w:cs="Times New Roman"/>
                <w:lang w:val="en-US"/>
              </w:rPr>
              <w:t>programme</w:t>
            </w:r>
            <w:proofErr w:type="spellEnd"/>
            <w:r w:rsidRPr="00A73FD8">
              <w:rPr>
                <w:rFonts w:ascii="Times New Roman" w:hAnsi="Times New Roman" w:cs="Times New Roman"/>
                <w:lang w:val="en-US"/>
              </w:rPr>
              <w:t xml:space="preserve"> in empowering adolescents with</w:t>
            </w:r>
            <w:r w:rsidRPr="00A73FD8">
              <w:rPr>
                <w:rFonts w:ascii="Times New Roman" w:hAnsi="Times New Roman" w:cs="Times New Roman"/>
                <w:lang w:val="en-US"/>
              </w:rPr>
              <w:t xml:space="preserve"> </w:t>
            </w:r>
            <w:r w:rsidRPr="00A73FD8">
              <w:rPr>
                <w:rFonts w:ascii="Times New Roman" w:hAnsi="Times New Roman" w:cs="Times New Roman"/>
                <w:lang w:val="en-US"/>
              </w:rPr>
              <w:t>CHD during their transition to adulthood.</w:t>
            </w:r>
          </w:p>
        </w:tc>
        <w:tc>
          <w:tcPr>
            <w:tcW w:w="1683" w:type="dxa"/>
            <w:noWrap/>
          </w:tcPr>
          <w:p w14:paraId="71208775" w14:textId="173EBCC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Hybrid experimental design: RCT embedded in a longitudinal observational study</w:t>
            </w:r>
          </w:p>
        </w:tc>
        <w:tc>
          <w:tcPr>
            <w:tcW w:w="2099" w:type="dxa"/>
            <w:noWrap/>
          </w:tcPr>
          <w:p w14:paraId="07F97DAE" w14:textId="73802CAC"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210 adolescents with CHD, aged 16 at enrollment; 70 in each arm (intervention, comparison, control); inclusion of parents as secondary participants.</w:t>
            </w:r>
          </w:p>
        </w:tc>
        <w:tc>
          <w:tcPr>
            <w:tcW w:w="2039" w:type="dxa"/>
            <w:noWrap/>
          </w:tcPr>
          <w:p w14:paraId="09573E87" w14:textId="5DCCC88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Multicomponent person-</w:t>
            </w:r>
            <w:proofErr w:type="spellStart"/>
            <w:r w:rsidRPr="00A73FD8">
              <w:rPr>
                <w:rFonts w:ascii="Times New Roman" w:eastAsia="Times New Roman" w:hAnsi="Times New Roman" w:cs="Times New Roman"/>
                <w:color w:val="000000"/>
                <w:kern w:val="0"/>
                <w:lang w:val="en-US" w:eastAsia="it-IT"/>
                <w14:ligatures w14:val="none"/>
              </w:rPr>
              <w:t>centred</w:t>
            </w:r>
            <w:proofErr w:type="spellEnd"/>
            <w:r w:rsidRPr="00A73FD8">
              <w:rPr>
                <w:rFonts w:ascii="Times New Roman" w:eastAsia="Times New Roman" w:hAnsi="Times New Roman" w:cs="Times New Roman"/>
                <w:color w:val="000000"/>
                <w:kern w:val="0"/>
                <w:lang w:val="en-US" w:eastAsia="it-IT"/>
                <w14:ligatures w14:val="none"/>
              </w:rPr>
              <w:t xml:space="preserve"> </w:t>
            </w:r>
            <w:proofErr w:type="spellStart"/>
            <w:r w:rsidRPr="00A73FD8">
              <w:rPr>
                <w:rFonts w:ascii="Times New Roman" w:eastAsia="Times New Roman" w:hAnsi="Times New Roman" w:cs="Times New Roman"/>
                <w:color w:val="000000"/>
                <w:kern w:val="0"/>
                <w:lang w:val="en-US" w:eastAsia="it-IT"/>
                <w14:ligatures w14:val="none"/>
              </w:rPr>
              <w:t>programme</w:t>
            </w:r>
            <w:proofErr w:type="spellEnd"/>
            <w:r w:rsidRPr="00A73FD8">
              <w:rPr>
                <w:rFonts w:ascii="Times New Roman" w:eastAsia="Times New Roman" w:hAnsi="Times New Roman" w:cs="Times New Roman"/>
                <w:color w:val="000000"/>
                <w:kern w:val="0"/>
                <w:lang w:val="en-US" w:eastAsia="it-IT"/>
                <w14:ligatures w14:val="none"/>
              </w:rPr>
              <w:t xml:space="preserve"> including individualized transition plans, education on CHD, self-management support, peer meetings, and structured transfer to adult care. Intervention delivered over 2 years with 3 outpatient visits, info day, and follow-up.</w:t>
            </w:r>
          </w:p>
        </w:tc>
        <w:tc>
          <w:tcPr>
            <w:tcW w:w="3842" w:type="dxa"/>
            <w:noWrap/>
          </w:tcPr>
          <w:p w14:paraId="73066B00" w14:textId="704C2F7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Study aims to demonstrate increased empowerment (primary outcome) using the GYPES scale. Secondary outcomes: transition readiness, health behaviors, knowledge, quality of life, healthcare use. Results to inform implementation of structured, PCC-based transition models.</w:t>
            </w:r>
          </w:p>
        </w:tc>
      </w:tr>
      <w:tr w:rsidR="002178D3" w:rsidRPr="00A73FD8" w14:paraId="0116EBC6"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6084E82" w14:textId="3016D64F" w:rsidR="002178D3" w:rsidRPr="00A73FD8" w:rsidRDefault="002178D3" w:rsidP="00C223FB">
            <w:pPr>
              <w:jc w:val="center"/>
              <w:rPr>
                <w:rFonts w:ascii="Times New Roman" w:hAnsi="Times New Roman" w:cs="Times New Roman"/>
                <w:b w:val="0"/>
                <w:bCs w:val="0"/>
                <w:color w:val="000000"/>
                <w:lang w:val="fr-FR"/>
              </w:rPr>
            </w:pPr>
            <w:proofErr w:type="spellStart"/>
            <w:r w:rsidRPr="00A73FD8">
              <w:rPr>
                <w:rFonts w:ascii="Times New Roman" w:hAnsi="Times New Roman" w:cs="Times New Roman"/>
                <w:b w:val="0"/>
                <w:bCs w:val="0"/>
                <w:color w:val="000000"/>
                <w:lang w:val="fr-FR"/>
              </w:rPr>
              <w:t>Acuña</w:t>
            </w:r>
            <w:proofErr w:type="spellEnd"/>
            <w:r w:rsidRPr="00A73FD8">
              <w:rPr>
                <w:rFonts w:ascii="Times New Roman" w:hAnsi="Times New Roman" w:cs="Times New Roman"/>
                <w:b w:val="0"/>
                <w:bCs w:val="0"/>
                <w:color w:val="000000"/>
                <w:lang w:val="fr-FR"/>
              </w:rPr>
              <w:t xml:space="preserve"> Mora et al. (201</w:t>
            </w:r>
            <w:r w:rsidRPr="00A73FD8">
              <w:rPr>
                <w:rFonts w:ascii="Times New Roman" w:hAnsi="Times New Roman" w:cs="Times New Roman"/>
                <w:b w:val="0"/>
                <w:bCs w:val="0"/>
                <w:color w:val="000000"/>
                <w:lang w:val="fr-FR"/>
              </w:rPr>
              <w:t>9</w:t>
            </w:r>
            <w:r w:rsidRPr="00A73FD8">
              <w:rPr>
                <w:rFonts w:ascii="Times New Roman" w:hAnsi="Times New Roman" w:cs="Times New Roman"/>
                <w:b w:val="0"/>
                <w:bCs w:val="0"/>
                <w:color w:val="000000"/>
                <w:lang w:val="fr-FR"/>
              </w:rPr>
              <w:t>)</w:t>
            </w:r>
          </w:p>
          <w:p w14:paraId="30F06E2A" w14:textId="62790147" w:rsidR="002178D3" w:rsidRPr="00A73FD8" w:rsidRDefault="002178D3" w:rsidP="00C223FB">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w:t>
            </w:r>
            <w:r w:rsidRPr="00A73FD8">
              <w:rPr>
                <w:rFonts w:ascii="Times New Roman" w:hAnsi="Times New Roman" w:cs="Times New Roman"/>
                <w:b w:val="0"/>
                <w:bCs w:val="0"/>
                <w:lang w:val="fr-FR"/>
              </w:rPr>
              <w:t>e</w:t>
            </w:r>
          </w:p>
        </w:tc>
        <w:tc>
          <w:tcPr>
            <w:tcW w:w="1472" w:type="dxa"/>
            <w:noWrap/>
          </w:tcPr>
          <w:p w14:paraId="12BF1269" w14:textId="3221487F"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fr-FR" w:eastAsia="it-IT"/>
                <w14:ligatures w14:val="none"/>
              </w:rPr>
            </w:pPr>
            <w:proofErr w:type="spellStart"/>
            <w:r w:rsidRPr="00A73FD8">
              <w:rPr>
                <w:rFonts w:ascii="Times New Roman" w:eastAsia="Times New Roman" w:hAnsi="Times New Roman" w:cs="Times New Roman"/>
                <w:color w:val="000000"/>
                <w:kern w:val="0"/>
                <w:lang w:val="fr-FR" w:eastAsia="it-IT"/>
                <w14:ligatures w14:val="none"/>
              </w:rPr>
              <w:t>Sweden</w:t>
            </w:r>
            <w:proofErr w:type="spellEnd"/>
            <w:r w:rsidRPr="00A73FD8">
              <w:rPr>
                <w:rFonts w:ascii="Times New Roman" w:eastAsia="Times New Roman" w:hAnsi="Times New Roman" w:cs="Times New Roman"/>
                <w:color w:val="000000"/>
                <w:kern w:val="0"/>
                <w:lang w:val="fr-FR" w:eastAsia="it-IT"/>
                <w14:ligatures w14:val="none"/>
              </w:rPr>
              <w:t xml:space="preserve">, </w:t>
            </w:r>
            <w:proofErr w:type="spellStart"/>
            <w:r w:rsidRPr="00A73FD8">
              <w:rPr>
                <w:rFonts w:ascii="Times New Roman" w:eastAsia="Times New Roman" w:hAnsi="Times New Roman" w:cs="Times New Roman"/>
                <w:color w:val="000000"/>
                <w:kern w:val="0"/>
                <w:lang w:val="fr-FR" w:eastAsia="it-IT"/>
                <w14:ligatures w14:val="none"/>
              </w:rPr>
              <w:t>Belgium</w:t>
            </w:r>
            <w:proofErr w:type="spellEnd"/>
            <w:r w:rsidRPr="00A73FD8">
              <w:rPr>
                <w:rFonts w:ascii="Times New Roman" w:eastAsia="Times New Roman" w:hAnsi="Times New Roman" w:cs="Times New Roman"/>
                <w:color w:val="000000"/>
                <w:kern w:val="0"/>
                <w:lang w:val="fr-FR" w:eastAsia="it-IT"/>
                <w14:ligatures w14:val="none"/>
              </w:rPr>
              <w:t xml:space="preserve">, South </w:t>
            </w:r>
            <w:proofErr w:type="spellStart"/>
            <w:r w:rsidRPr="00A73FD8">
              <w:rPr>
                <w:rFonts w:ascii="Times New Roman" w:eastAsia="Times New Roman" w:hAnsi="Times New Roman" w:cs="Times New Roman"/>
                <w:color w:val="000000"/>
                <w:kern w:val="0"/>
                <w:lang w:val="fr-FR" w:eastAsia="it-IT"/>
                <w14:ligatures w14:val="none"/>
              </w:rPr>
              <w:t>Africa</w:t>
            </w:r>
            <w:proofErr w:type="spellEnd"/>
          </w:p>
        </w:tc>
        <w:tc>
          <w:tcPr>
            <w:tcW w:w="2625" w:type="dxa"/>
            <w:noWrap/>
          </w:tcPr>
          <w:p w14:paraId="4731EEC1" w14:textId="4F667A2A"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determine the amount, type, and evidence level of published literature on transfer and/or transition in young people with chronic conditions (CCs), and to describe study characteristics.</w:t>
            </w:r>
          </w:p>
        </w:tc>
        <w:tc>
          <w:tcPr>
            <w:tcW w:w="1683" w:type="dxa"/>
            <w:noWrap/>
          </w:tcPr>
          <w:p w14:paraId="61A14D2F" w14:textId="780D5E55"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Scoping review of published studies</w:t>
            </w:r>
          </w:p>
        </w:tc>
        <w:tc>
          <w:tcPr>
            <w:tcW w:w="2099" w:type="dxa"/>
            <w:noWrap/>
          </w:tcPr>
          <w:p w14:paraId="041AF392" w14:textId="0E88E5A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952 publications included: 790 quantitative, 128 qualitative, 34 mixed/</w:t>
            </w:r>
            <w:proofErr w:type="spellStart"/>
            <w:r w:rsidRPr="00A73FD8">
              <w:rPr>
                <w:rFonts w:ascii="Times New Roman" w:eastAsia="Times New Roman" w:hAnsi="Times New Roman" w:cs="Times New Roman"/>
                <w:color w:val="000000"/>
                <w:kern w:val="0"/>
                <w:lang w:val="en-US" w:eastAsia="it-IT"/>
                <w14:ligatures w14:val="none"/>
              </w:rPr>
              <w:t>multimethods</w:t>
            </w:r>
            <w:proofErr w:type="spellEnd"/>
            <w:r w:rsidRPr="00A73FD8">
              <w:rPr>
                <w:rFonts w:ascii="Times New Roman" w:eastAsia="Times New Roman" w:hAnsi="Times New Roman" w:cs="Times New Roman"/>
                <w:color w:val="000000"/>
                <w:kern w:val="0"/>
                <w:lang w:val="en-US" w:eastAsia="it-IT"/>
                <w14:ligatures w14:val="none"/>
              </w:rPr>
              <w:t>; majority from North America and Europe</w:t>
            </w:r>
          </w:p>
        </w:tc>
        <w:tc>
          <w:tcPr>
            <w:tcW w:w="2039" w:type="dxa"/>
            <w:noWrap/>
          </w:tcPr>
          <w:p w14:paraId="18FEE64F" w14:textId="334E131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Included studies on transfer/transition of adolescents and young adults (ages 10–25) with chronic conditions; covered various specialties (mostly endocrinology and neurology); </w:t>
            </w:r>
            <w:r w:rsidRPr="00A73FD8">
              <w:rPr>
                <w:rFonts w:ascii="Times New Roman" w:hAnsi="Times New Roman" w:cs="Times New Roman"/>
                <w:lang w:val="en-US"/>
              </w:rPr>
              <w:lastRenderedPageBreak/>
              <w:t>majority lacked high-level evidence.</w:t>
            </w:r>
          </w:p>
        </w:tc>
        <w:tc>
          <w:tcPr>
            <w:tcW w:w="3842" w:type="dxa"/>
            <w:noWrap/>
          </w:tcPr>
          <w:p w14:paraId="05D61602" w14:textId="27B636A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Most studies are low-evidence (levels 4–5), with few RCTs (level 1). Transition research is dominated by certain specialties and regions. Emphasis placed on the need for more experimental studies and inclusion of underrepresented conditions and stakeholders.</w:t>
            </w:r>
          </w:p>
        </w:tc>
      </w:tr>
      <w:tr w:rsidR="002178D3" w:rsidRPr="00A73FD8" w14:paraId="48EE4117"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1054D81B"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t>Bassareo</w:t>
            </w:r>
            <w:proofErr w:type="spellEnd"/>
            <w:r w:rsidRPr="006F66E9">
              <w:rPr>
                <w:rFonts w:ascii="Times New Roman" w:hAnsi="Times New Roman" w:cs="Times New Roman"/>
                <w:b w:val="0"/>
                <w:bCs w:val="0"/>
                <w:lang w:val="fr-FR"/>
              </w:rPr>
              <w:t xml:space="preserve"> et al. (2023)</w:t>
            </w:r>
          </w:p>
          <w:p w14:paraId="0BE9AD8D" w14:textId="21F3308B"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1EB3AEC0" w14:textId="1E446C92"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Ireland</w:t>
            </w:r>
          </w:p>
        </w:tc>
        <w:tc>
          <w:tcPr>
            <w:tcW w:w="2625" w:type="dxa"/>
            <w:noWrap/>
          </w:tcPr>
          <w:p w14:paraId="6E43BBE3" w14:textId="5EDC461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describe the Irish national model for transition of care in adolescents with congenital heart disease (CHD), within a centralized healthcare system, and propose it as a possible model for Europe.</w:t>
            </w:r>
          </w:p>
        </w:tc>
        <w:tc>
          <w:tcPr>
            <w:tcW w:w="1683" w:type="dxa"/>
            <w:noWrap/>
          </w:tcPr>
          <w:p w14:paraId="378BDFE3" w14:textId="35373E7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Descriptive review and implementation model (narrative review)</w:t>
            </w:r>
          </w:p>
        </w:tc>
        <w:tc>
          <w:tcPr>
            <w:tcW w:w="2099" w:type="dxa"/>
            <w:noWrap/>
          </w:tcPr>
          <w:p w14:paraId="0C18DB03" w14:textId="2EDD095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Not applicable (model-focused article</w:t>
            </w:r>
          </w:p>
        </w:tc>
        <w:tc>
          <w:tcPr>
            <w:tcW w:w="2039" w:type="dxa"/>
            <w:noWrap/>
          </w:tcPr>
          <w:p w14:paraId="3096C9DF" w14:textId="4A73505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w:t>
            </w:r>
            <w:r w:rsidRPr="00A73FD8">
              <w:rPr>
                <w:rFonts w:ascii="Times New Roman" w:hAnsi="Times New Roman" w:cs="Times New Roman"/>
                <w:lang w:val="en-US"/>
              </w:rPr>
              <w:t>ransition model includes early start (from age 12), formalized transfer at 16+, multidisciplinary team (PC/ACHD consultants, nurses, psychologists), and structured protocols within a hub-and-spoke system.</w:t>
            </w:r>
          </w:p>
        </w:tc>
        <w:tc>
          <w:tcPr>
            <w:tcW w:w="3842" w:type="dxa"/>
            <w:noWrap/>
          </w:tcPr>
          <w:p w14:paraId="015803F5" w14:textId="77777777" w:rsidR="002178D3" w:rsidRPr="00A73FD8" w:rsidRDefault="002178D3" w:rsidP="00C94E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73FD8">
              <w:rPr>
                <w:rFonts w:ascii="Times New Roman" w:hAnsi="Times New Roman" w:cs="Times New Roman"/>
                <w:lang w:val="en-US"/>
              </w:rPr>
              <w:t>The Irish model addresses six key transition areas (advocacy, psychological support, sexual health, autonomy, education, lifestyle). It’s one of the first national models in Europe and meets most ESC transition indicators. Emphasis on early preparation, continuity, and minimizing loss to follow-up.</w:t>
            </w:r>
          </w:p>
          <w:p w14:paraId="23CB4A4D" w14:textId="7777777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
        </w:tc>
      </w:tr>
      <w:tr w:rsidR="002178D3" w:rsidRPr="00A73FD8" w14:paraId="0966A3FE"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551A007"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t>Bratt</w:t>
            </w:r>
            <w:proofErr w:type="spellEnd"/>
            <w:r w:rsidRPr="006F66E9">
              <w:rPr>
                <w:rFonts w:ascii="Times New Roman" w:hAnsi="Times New Roman" w:cs="Times New Roman"/>
                <w:b w:val="0"/>
                <w:bCs w:val="0"/>
                <w:lang w:val="fr-FR"/>
              </w:rPr>
              <w:t xml:space="preserve"> et al. (2018)</w:t>
            </w:r>
          </w:p>
          <w:p w14:paraId="5E0C24C9" w14:textId="577525C7"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12EC1999" w14:textId="541A466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w:t>
            </w:r>
            <w:r w:rsidRPr="00A73FD8">
              <w:rPr>
                <w:rFonts w:ascii="Times New Roman" w:hAnsi="Times New Roman" w:cs="Times New Roman"/>
              </w:rPr>
              <w:t>n</w:t>
            </w:r>
            <w:proofErr w:type="spellEnd"/>
          </w:p>
        </w:tc>
        <w:tc>
          <w:tcPr>
            <w:tcW w:w="2625" w:type="dxa"/>
            <w:noWrap/>
          </w:tcPr>
          <w:p w14:paraId="069ECF9D" w14:textId="12C6C1FA"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explore parents' expectations and needs during their adolescent child's transition to adult care for congenital heart disease.</w:t>
            </w:r>
          </w:p>
        </w:tc>
        <w:tc>
          <w:tcPr>
            <w:tcW w:w="1683" w:type="dxa"/>
            <w:noWrap/>
          </w:tcPr>
          <w:p w14:paraId="158F6306" w14:textId="50E7B368"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Qualitative study using semi-structured interviews and content analysis</w:t>
            </w:r>
          </w:p>
        </w:tc>
        <w:tc>
          <w:tcPr>
            <w:tcW w:w="2099" w:type="dxa"/>
            <w:noWrap/>
          </w:tcPr>
          <w:p w14:paraId="38D69E5E" w14:textId="0C07A11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18 parents (from 16 families) of adolescents with moderate or complex CHD (ages 13–18), recruited from 4 pediatric cardiology centers</w:t>
            </w:r>
          </w:p>
        </w:tc>
        <w:tc>
          <w:tcPr>
            <w:tcW w:w="2039" w:type="dxa"/>
            <w:noWrap/>
          </w:tcPr>
          <w:p w14:paraId="1C86570A" w14:textId="0CCF880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Transition process examined from the parental perspective, focusing on being informed, involved, and supported during the shift from pediatric to adult care.</w:t>
            </w:r>
          </w:p>
        </w:tc>
        <w:tc>
          <w:tcPr>
            <w:tcW w:w="3842" w:type="dxa"/>
            <w:noWrap/>
          </w:tcPr>
          <w:p w14:paraId="68C5DAC5" w14:textId="2BCD204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Two themes: (1) Need for information and involvement to feel secure; (2) Navigating the timing and process of handing over responsibility. Parents emphasized the importance of structured guidance, early and tailored information, inclusion in planning, and assurance that adolescents receive critical CHD-related education.</w:t>
            </w:r>
          </w:p>
        </w:tc>
      </w:tr>
      <w:tr w:rsidR="002178D3" w:rsidRPr="00A73FD8" w14:paraId="03F91C96"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6C4FC4E0" w14:textId="77777777" w:rsidR="002178D3" w:rsidRPr="00A73FD8" w:rsidRDefault="002178D3" w:rsidP="00C61CD0">
            <w:pPr>
              <w:jc w:val="center"/>
              <w:rPr>
                <w:rFonts w:ascii="Times New Roman" w:hAnsi="Times New Roman" w:cs="Times New Roman"/>
                <w:b w:val="0"/>
                <w:bCs w:val="0"/>
              </w:rPr>
            </w:pPr>
            <w:r w:rsidRPr="00A73FD8">
              <w:rPr>
                <w:rFonts w:ascii="Times New Roman" w:hAnsi="Times New Roman" w:cs="Times New Roman"/>
                <w:b w:val="0"/>
                <w:bCs w:val="0"/>
              </w:rPr>
              <w:t>Bratt et al. (2022)</w:t>
            </w:r>
          </w:p>
          <w:p w14:paraId="216294B2" w14:textId="2C7E481E"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rPr>
              <w:t xml:space="preserve">Conference </w:t>
            </w:r>
            <w:proofErr w:type="spellStart"/>
            <w:r w:rsidRPr="00A73FD8">
              <w:rPr>
                <w:rFonts w:ascii="Times New Roman" w:hAnsi="Times New Roman" w:cs="Times New Roman"/>
                <w:b w:val="0"/>
                <w:bCs w:val="0"/>
              </w:rPr>
              <w:t>Proceeding</w:t>
            </w:r>
            <w:proofErr w:type="spellEnd"/>
          </w:p>
        </w:tc>
        <w:tc>
          <w:tcPr>
            <w:tcW w:w="1472" w:type="dxa"/>
            <w:noWrap/>
          </w:tcPr>
          <w:p w14:paraId="5DEF2A5B" w14:textId="4B9D72E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Sweden</w:t>
            </w:r>
            <w:proofErr w:type="spellEnd"/>
          </w:p>
        </w:tc>
        <w:tc>
          <w:tcPr>
            <w:tcW w:w="2625" w:type="dxa"/>
            <w:noWrap/>
          </w:tcPr>
          <w:p w14:paraId="3B38E004" w14:textId="095203B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investigate the empowering effect of a structured, person-</w:t>
            </w:r>
            <w:proofErr w:type="spellStart"/>
            <w:r w:rsidRPr="00A73FD8">
              <w:rPr>
                <w:rFonts w:ascii="Times New Roman" w:hAnsi="Times New Roman" w:cs="Times New Roman"/>
                <w:lang w:val="en-US"/>
              </w:rPr>
              <w:t>centred</w:t>
            </w:r>
            <w:proofErr w:type="spellEnd"/>
            <w:r w:rsidRPr="00A73FD8">
              <w:rPr>
                <w:rFonts w:ascii="Times New Roman" w:hAnsi="Times New Roman" w:cs="Times New Roman"/>
                <w:lang w:val="en-US"/>
              </w:rPr>
              <w:t xml:space="preserve"> transition </w:t>
            </w:r>
            <w:proofErr w:type="spellStart"/>
            <w:r w:rsidRPr="00A73FD8">
              <w:rPr>
                <w:rFonts w:ascii="Times New Roman" w:hAnsi="Times New Roman" w:cs="Times New Roman"/>
                <w:lang w:val="en-US"/>
              </w:rPr>
              <w:t>programme</w:t>
            </w:r>
            <w:proofErr w:type="spellEnd"/>
            <w:r w:rsidRPr="00A73FD8">
              <w:rPr>
                <w:rFonts w:ascii="Times New Roman" w:hAnsi="Times New Roman" w:cs="Times New Roman"/>
                <w:lang w:val="en-US"/>
              </w:rPr>
              <w:t xml:space="preserve"> (STEPSTONES) for adolescents with congenital heart disease (CHD), and evaluate its impact on transition readiness, health outcomes, and parental involvement.</w:t>
            </w:r>
          </w:p>
        </w:tc>
        <w:tc>
          <w:tcPr>
            <w:tcW w:w="1683" w:type="dxa"/>
            <w:noWrap/>
          </w:tcPr>
          <w:p w14:paraId="0FF6D611" w14:textId="10364AE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Hybrid design: RCT embedded in a longitudinal observational study across 7 Swedish CHD </w:t>
            </w:r>
            <w:proofErr w:type="spellStart"/>
            <w:r w:rsidRPr="00A73FD8">
              <w:rPr>
                <w:rFonts w:ascii="Times New Roman" w:hAnsi="Times New Roman" w:cs="Times New Roman"/>
                <w:lang w:val="en-US"/>
              </w:rPr>
              <w:t>centres</w:t>
            </w:r>
            <w:proofErr w:type="spellEnd"/>
          </w:p>
        </w:tc>
        <w:tc>
          <w:tcPr>
            <w:tcW w:w="2099" w:type="dxa"/>
            <w:noWrap/>
          </w:tcPr>
          <w:p w14:paraId="0B7F1123" w14:textId="5F9F9CC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Adolescents with CHD (age 16 at T0, up to 18.5 at T2), randomized in 2 </w:t>
            </w:r>
            <w:proofErr w:type="spellStart"/>
            <w:r w:rsidRPr="00A73FD8">
              <w:rPr>
                <w:rFonts w:ascii="Times New Roman" w:hAnsi="Times New Roman" w:cs="Times New Roman"/>
                <w:lang w:val="en-US"/>
              </w:rPr>
              <w:t>centres</w:t>
            </w:r>
            <w:proofErr w:type="spellEnd"/>
            <w:r w:rsidRPr="00A73FD8">
              <w:rPr>
                <w:rFonts w:ascii="Times New Roman" w:hAnsi="Times New Roman" w:cs="Times New Roman"/>
                <w:lang w:val="en-US"/>
              </w:rPr>
              <w:t xml:space="preserve"> (IG and CG), with 5 additional </w:t>
            </w:r>
            <w:proofErr w:type="spellStart"/>
            <w:r w:rsidRPr="00A73FD8">
              <w:rPr>
                <w:rFonts w:ascii="Times New Roman" w:hAnsi="Times New Roman" w:cs="Times New Roman"/>
                <w:lang w:val="en-US"/>
              </w:rPr>
              <w:t>centres</w:t>
            </w:r>
            <w:proofErr w:type="spellEnd"/>
            <w:r w:rsidRPr="00A73FD8">
              <w:rPr>
                <w:rFonts w:ascii="Times New Roman" w:hAnsi="Times New Roman" w:cs="Times New Roman"/>
                <w:lang w:val="en-US"/>
              </w:rPr>
              <w:t xml:space="preserve"> as contamination check (CCCG)</w:t>
            </w:r>
          </w:p>
        </w:tc>
        <w:tc>
          <w:tcPr>
            <w:tcW w:w="2039" w:type="dxa"/>
            <w:noWrap/>
          </w:tcPr>
          <w:p w14:paraId="24C11FB8" w14:textId="490E66D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Three-assessment points: T0 (16y), T1 (17y), T2 (18.5y); person-</w:t>
            </w:r>
            <w:proofErr w:type="spellStart"/>
            <w:r w:rsidRPr="00A73FD8">
              <w:rPr>
                <w:rFonts w:ascii="Times New Roman" w:hAnsi="Times New Roman" w:cs="Times New Roman"/>
                <w:lang w:val="en-US"/>
              </w:rPr>
              <w:t>centred</w:t>
            </w:r>
            <w:proofErr w:type="spellEnd"/>
            <w:r w:rsidRPr="00A73FD8">
              <w:rPr>
                <w:rFonts w:ascii="Times New Roman" w:hAnsi="Times New Roman" w:cs="Times New Roman"/>
                <w:lang w:val="en-US"/>
              </w:rPr>
              <w:t xml:space="preserve"> transition </w:t>
            </w:r>
            <w:proofErr w:type="spellStart"/>
            <w:r w:rsidRPr="00A73FD8">
              <w:rPr>
                <w:rFonts w:ascii="Times New Roman" w:hAnsi="Times New Roman" w:cs="Times New Roman"/>
                <w:lang w:val="en-US"/>
              </w:rPr>
              <w:t>programme</w:t>
            </w:r>
            <w:proofErr w:type="spellEnd"/>
            <w:r w:rsidRPr="00A73FD8">
              <w:rPr>
                <w:rFonts w:ascii="Times New Roman" w:hAnsi="Times New Roman" w:cs="Times New Roman"/>
                <w:lang w:val="en-US"/>
              </w:rPr>
              <w:t xml:space="preserve"> delivered in outpatient pediatric cardiology; includes education, empowerment, and support by trained professionals</w:t>
            </w:r>
          </w:p>
        </w:tc>
        <w:tc>
          <w:tcPr>
            <w:tcW w:w="3842" w:type="dxa"/>
            <w:noWrap/>
          </w:tcPr>
          <w:p w14:paraId="1FEA8B92" w14:textId="7E2951E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Empowerment significantly improved in IG vs CG (</w:t>
            </w:r>
            <w:r w:rsidRPr="00A73FD8">
              <w:rPr>
                <w:rFonts w:ascii="Times New Roman" w:hAnsi="Times New Roman" w:cs="Times New Roman"/>
              </w:rPr>
              <w:t>Δ</w:t>
            </w:r>
            <w:r w:rsidRPr="00A73FD8">
              <w:rPr>
                <w:rFonts w:ascii="Times New Roman" w:hAnsi="Times New Roman" w:cs="Times New Roman"/>
                <w:lang w:val="en-US"/>
              </w:rPr>
              <w:t xml:space="preserve"> = 3.44, p = 0.036). Secondary outcomes with significant improvement: parental involvement (p = 0.008), CHD-specific knowledge (p = 0.0002), and satisfaction with physical appearance (p = 0.039). </w:t>
            </w:r>
            <w:r w:rsidRPr="00A73FD8">
              <w:rPr>
                <w:rFonts w:ascii="Times New Roman" w:hAnsi="Times New Roman" w:cs="Times New Roman"/>
              </w:rPr>
              <w:t xml:space="preserve">No </w:t>
            </w:r>
            <w:proofErr w:type="spellStart"/>
            <w:r w:rsidRPr="00A73FD8">
              <w:rPr>
                <w:rFonts w:ascii="Times New Roman" w:hAnsi="Times New Roman" w:cs="Times New Roman"/>
              </w:rPr>
              <w:t>contamination</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effect</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found</w:t>
            </w:r>
            <w:proofErr w:type="spellEnd"/>
            <w:r w:rsidRPr="00A73FD8">
              <w:rPr>
                <w:rFonts w:ascii="Times New Roman" w:hAnsi="Times New Roman" w:cs="Times New Roman"/>
              </w:rPr>
              <w:t xml:space="preserve"> in CG vs CCCG.</w:t>
            </w:r>
          </w:p>
        </w:tc>
      </w:tr>
      <w:tr w:rsidR="002178D3" w:rsidRPr="00A73FD8" w14:paraId="171D39C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01E32F7B"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lastRenderedPageBreak/>
              <w:t>Bratt</w:t>
            </w:r>
            <w:proofErr w:type="spellEnd"/>
            <w:r w:rsidRPr="006F66E9">
              <w:rPr>
                <w:rFonts w:ascii="Times New Roman" w:hAnsi="Times New Roman" w:cs="Times New Roman"/>
                <w:b w:val="0"/>
                <w:bCs w:val="0"/>
                <w:lang w:val="fr-FR"/>
              </w:rPr>
              <w:t xml:space="preserve"> et al. (2023)</w:t>
            </w:r>
          </w:p>
          <w:p w14:paraId="03A18E92" w14:textId="03A12BB9"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67E72FAF" w14:textId="2076178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Sweden</w:t>
            </w:r>
            <w:proofErr w:type="spellEnd"/>
          </w:p>
        </w:tc>
        <w:tc>
          <w:tcPr>
            <w:tcW w:w="2625" w:type="dxa"/>
            <w:noWrap/>
          </w:tcPr>
          <w:p w14:paraId="2B1D32B4" w14:textId="72CDD25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evaluate the effectiveness of the STEPSTONES person-centered transition program on empowerment (primary outcome) and on transition readiness, health status, knowledge, and parental involvement (secondary outcomes) in adolescents with CHD</w:t>
            </w:r>
          </w:p>
        </w:tc>
        <w:tc>
          <w:tcPr>
            <w:tcW w:w="1683" w:type="dxa"/>
            <w:noWrap/>
          </w:tcPr>
          <w:p w14:paraId="1A2EECF9" w14:textId="1AF3BC2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Hybrid experimental design: RCT embedded in a longitudinal observational study (3-arm: IG, CG, CCCG)</w:t>
            </w:r>
          </w:p>
        </w:tc>
        <w:tc>
          <w:tcPr>
            <w:tcW w:w="2099" w:type="dxa"/>
            <w:noWrap/>
          </w:tcPr>
          <w:p w14:paraId="1545CE2C" w14:textId="6B8D367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208 adolescents with CHD aged 16 at baseline; randomized into IG (70) and CG (69), with 69 in CCCG. </w:t>
            </w:r>
            <w:r w:rsidRPr="00A73FD8">
              <w:rPr>
                <w:rFonts w:ascii="Times New Roman" w:hAnsi="Times New Roman" w:cs="Times New Roman"/>
              </w:rPr>
              <w:t xml:space="preserve">Follow-up </w:t>
            </w:r>
            <w:proofErr w:type="spellStart"/>
            <w:r w:rsidRPr="00A73FD8">
              <w:rPr>
                <w:rFonts w:ascii="Times New Roman" w:hAnsi="Times New Roman" w:cs="Times New Roman"/>
              </w:rPr>
              <w:t>at</w:t>
            </w:r>
            <w:proofErr w:type="spellEnd"/>
            <w:r w:rsidRPr="00A73FD8">
              <w:rPr>
                <w:rFonts w:ascii="Times New Roman" w:hAnsi="Times New Roman" w:cs="Times New Roman"/>
              </w:rPr>
              <w:t xml:space="preserve"> 17 and 18.5 </w:t>
            </w:r>
            <w:proofErr w:type="spellStart"/>
            <w:r w:rsidRPr="00A73FD8">
              <w:rPr>
                <w:rFonts w:ascii="Times New Roman" w:hAnsi="Times New Roman" w:cs="Times New Roman"/>
              </w:rPr>
              <w:t>years</w:t>
            </w:r>
            <w:proofErr w:type="spellEnd"/>
            <w:r w:rsidRPr="00A73FD8">
              <w:rPr>
                <w:rFonts w:ascii="Times New Roman" w:hAnsi="Times New Roman" w:cs="Times New Roman"/>
              </w:rPr>
              <w:t>.</w:t>
            </w:r>
          </w:p>
        </w:tc>
        <w:tc>
          <w:tcPr>
            <w:tcW w:w="2039" w:type="dxa"/>
            <w:noWrap/>
          </w:tcPr>
          <w:p w14:paraId="32032CED" w14:textId="4851BDB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Multicomponent, nurse-led intervention (8 elements), delivered over 2.5 years across 5 structured steps, using a person-centered care approach. Included transition planning, peer support, parent guidance, and actual transfer to adult care.</w:t>
            </w:r>
          </w:p>
        </w:tc>
        <w:tc>
          <w:tcPr>
            <w:tcW w:w="3842" w:type="dxa"/>
            <w:noWrap/>
          </w:tcPr>
          <w:p w14:paraId="3EDF49C1" w14:textId="6B3AA34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Empowerment improved significantly in IG vs CG (</w:t>
            </w:r>
            <w:r w:rsidRPr="00A73FD8">
              <w:rPr>
                <w:rFonts w:ascii="Times New Roman" w:hAnsi="Times New Roman" w:cs="Times New Roman"/>
              </w:rPr>
              <w:t>Δ</w:t>
            </w:r>
            <w:r w:rsidRPr="00A73FD8">
              <w:rPr>
                <w:rFonts w:ascii="Times New Roman" w:hAnsi="Times New Roman" w:cs="Times New Roman"/>
                <w:lang w:val="en-US"/>
              </w:rPr>
              <w:t xml:space="preserve"> = 3.44; p = .036). Secondary outcomes with significant improvements: CHD knowledge (p = .0002), satisfaction with physical appearance (p = .039), and reduced parental involvement (p = .008). No contamination observed. Supports implementation of structured transition programs in routine care.</w:t>
            </w:r>
          </w:p>
        </w:tc>
      </w:tr>
      <w:tr w:rsidR="002178D3" w:rsidRPr="00A73FD8" w14:paraId="08E1C6F1"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FE281AE" w14:textId="77777777" w:rsidR="002178D3" w:rsidRPr="006F66E9" w:rsidRDefault="002178D3" w:rsidP="00C61CD0">
            <w:pPr>
              <w:jc w:val="center"/>
              <w:rPr>
                <w:rFonts w:ascii="Times New Roman" w:hAnsi="Times New Roman" w:cs="Times New Roman"/>
                <w:b w:val="0"/>
                <w:bCs w:val="0"/>
                <w:lang w:val="fr-FR"/>
              </w:rPr>
            </w:pPr>
            <w:r w:rsidRPr="006F66E9">
              <w:rPr>
                <w:rFonts w:ascii="Times New Roman" w:hAnsi="Times New Roman" w:cs="Times New Roman"/>
                <w:b w:val="0"/>
                <w:bCs w:val="0"/>
                <w:lang w:val="fr-FR"/>
              </w:rPr>
              <w:t>Bredy et al. (2024)</w:t>
            </w:r>
          </w:p>
          <w:p w14:paraId="0507D896" w14:textId="3F95D9A3"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190CAAB1" w14:textId="5B03D4F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France</w:t>
            </w:r>
          </w:p>
        </w:tc>
        <w:tc>
          <w:tcPr>
            <w:tcW w:w="2625" w:type="dxa"/>
            <w:noWrap/>
          </w:tcPr>
          <w:p w14:paraId="15FD049F" w14:textId="2CB45A0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evaluate the impact of a structured transition program on health-related quality of life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in adolescents and young adults with congenital heart disease (CHD).</w:t>
            </w:r>
          </w:p>
        </w:tc>
        <w:tc>
          <w:tcPr>
            <w:tcW w:w="1683" w:type="dxa"/>
            <w:noWrap/>
          </w:tcPr>
          <w:p w14:paraId="26A703B5" w14:textId="078B61E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Multicenter RCT with intention-to-treat and per-protocol analyses</w:t>
            </w:r>
          </w:p>
        </w:tc>
        <w:tc>
          <w:tcPr>
            <w:tcW w:w="2099" w:type="dxa"/>
            <w:noWrap/>
          </w:tcPr>
          <w:p w14:paraId="7045F637" w14:textId="7DD6FB6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200 adolescents and young adults with CHD, ages 13–25; randomized to intervention (n=100) or control (n=100)</w:t>
            </w:r>
          </w:p>
        </w:tc>
        <w:tc>
          <w:tcPr>
            <w:tcW w:w="2039" w:type="dxa"/>
            <w:noWrap/>
          </w:tcPr>
          <w:p w14:paraId="4703966A" w14:textId="27E296D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Holistic transition program including 3 phases: (1) 1:1 educational visit with nurse educator, (2) 1-day group session with multidisciplinary team, (3) joint pediatric-adult cardiology transfer visit. </w:t>
            </w:r>
            <w:r w:rsidRPr="00A73FD8">
              <w:rPr>
                <w:rFonts w:ascii="Times New Roman" w:hAnsi="Times New Roman" w:cs="Times New Roman"/>
              </w:rPr>
              <w:t xml:space="preserve">Educational </w:t>
            </w:r>
            <w:proofErr w:type="spellStart"/>
            <w:r w:rsidRPr="00A73FD8">
              <w:rPr>
                <w:rFonts w:ascii="Times New Roman" w:hAnsi="Times New Roman" w:cs="Times New Roman"/>
              </w:rPr>
              <w:t>content</w:t>
            </w:r>
            <w:proofErr w:type="spellEnd"/>
            <w:r w:rsidRPr="00A73FD8">
              <w:rPr>
                <w:rFonts w:ascii="Times New Roman" w:hAnsi="Times New Roman" w:cs="Times New Roman"/>
              </w:rPr>
              <w:t xml:space="preserve"> co-</w:t>
            </w:r>
            <w:proofErr w:type="spellStart"/>
            <w:r w:rsidRPr="00A73FD8">
              <w:rPr>
                <w:rFonts w:ascii="Times New Roman" w:hAnsi="Times New Roman" w:cs="Times New Roman"/>
              </w:rPr>
              <w:t>designed</w:t>
            </w:r>
            <w:proofErr w:type="spellEnd"/>
            <w:r w:rsidRPr="00A73FD8">
              <w:rPr>
                <w:rFonts w:ascii="Times New Roman" w:hAnsi="Times New Roman" w:cs="Times New Roman"/>
              </w:rPr>
              <w:t xml:space="preserve"> with </w:t>
            </w:r>
            <w:proofErr w:type="spellStart"/>
            <w:r w:rsidRPr="00A73FD8">
              <w:rPr>
                <w:rFonts w:ascii="Times New Roman" w:hAnsi="Times New Roman" w:cs="Times New Roman"/>
              </w:rPr>
              <w:t>patient</w:t>
            </w:r>
            <w:proofErr w:type="spellEnd"/>
            <w:r w:rsidRPr="00A73FD8">
              <w:rPr>
                <w:rFonts w:ascii="Times New Roman" w:hAnsi="Times New Roman" w:cs="Times New Roman"/>
              </w:rPr>
              <w:t xml:space="preserve"> advocacy groups.</w:t>
            </w:r>
          </w:p>
        </w:tc>
        <w:tc>
          <w:tcPr>
            <w:tcW w:w="3842" w:type="dxa"/>
            <w:noWrap/>
          </w:tcPr>
          <w:p w14:paraId="6FAE32DA" w14:textId="00A4C878"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The program significantly improved self-reported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xml:space="preserve"> (</w:t>
            </w:r>
            <w:r w:rsidRPr="00A73FD8">
              <w:rPr>
                <w:rFonts w:ascii="Times New Roman" w:hAnsi="Times New Roman" w:cs="Times New Roman"/>
              </w:rPr>
              <w:t>Δ</w:t>
            </w:r>
            <w:r w:rsidRPr="00A73FD8">
              <w:rPr>
                <w:rFonts w:ascii="Times New Roman" w:hAnsi="Times New Roman" w:cs="Times New Roman"/>
                <w:lang w:val="en-US"/>
              </w:rPr>
              <w:t xml:space="preserve"> = +3.03; p = .044), psychological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xml:space="preserve"> (</w:t>
            </w:r>
            <w:r w:rsidRPr="00A73FD8">
              <w:rPr>
                <w:rFonts w:ascii="Times New Roman" w:hAnsi="Times New Roman" w:cs="Times New Roman"/>
              </w:rPr>
              <w:t>Δ</w:t>
            </w:r>
            <w:r w:rsidRPr="00A73FD8">
              <w:rPr>
                <w:rFonts w:ascii="Times New Roman" w:hAnsi="Times New Roman" w:cs="Times New Roman"/>
                <w:lang w:val="en-US"/>
              </w:rPr>
              <w:t xml:space="preserve"> = +3.33; p = .049), proxy-reported physical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xml:space="preserve"> (</w:t>
            </w:r>
            <w:r w:rsidRPr="00A73FD8">
              <w:rPr>
                <w:rFonts w:ascii="Times New Roman" w:hAnsi="Times New Roman" w:cs="Times New Roman"/>
              </w:rPr>
              <w:t>Δ</w:t>
            </w:r>
            <w:r w:rsidRPr="00A73FD8">
              <w:rPr>
                <w:rFonts w:ascii="Times New Roman" w:hAnsi="Times New Roman" w:cs="Times New Roman"/>
                <w:lang w:val="en-US"/>
              </w:rPr>
              <w:t xml:space="preserve"> = +9.18; p = .015), and disease knowledge (</w:t>
            </w:r>
            <w:r w:rsidRPr="00A73FD8">
              <w:rPr>
                <w:rFonts w:ascii="Times New Roman" w:hAnsi="Times New Roman" w:cs="Times New Roman"/>
              </w:rPr>
              <w:t>Δ</w:t>
            </w:r>
            <w:r w:rsidRPr="00A73FD8">
              <w:rPr>
                <w:rFonts w:ascii="Times New Roman" w:hAnsi="Times New Roman" w:cs="Times New Roman"/>
                <w:lang w:val="en-US"/>
              </w:rPr>
              <w:t xml:space="preserve"> = +3.13; p &lt; .001). No changes observed in physical/mental health metrics. Supports broader implementation of structured, patient-centered transition models.</w:t>
            </w:r>
          </w:p>
        </w:tc>
      </w:tr>
      <w:tr w:rsidR="002178D3" w:rsidRPr="00A73FD8" w14:paraId="6163423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328F9317"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t>Burström</w:t>
            </w:r>
            <w:proofErr w:type="spellEnd"/>
            <w:r w:rsidRPr="006F66E9">
              <w:rPr>
                <w:rFonts w:ascii="Times New Roman" w:hAnsi="Times New Roman" w:cs="Times New Roman"/>
                <w:b w:val="0"/>
                <w:bCs w:val="0"/>
                <w:lang w:val="fr-FR"/>
              </w:rPr>
              <w:t xml:space="preserve"> et al. (2016)</w:t>
            </w:r>
          </w:p>
          <w:p w14:paraId="52AC2483" w14:textId="490AACD3"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31019B32" w14:textId="568AAE0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Sweden</w:t>
            </w:r>
            <w:proofErr w:type="spellEnd"/>
          </w:p>
        </w:tc>
        <w:tc>
          <w:tcPr>
            <w:tcW w:w="2625" w:type="dxa"/>
            <w:noWrap/>
          </w:tcPr>
          <w:p w14:paraId="25AB8C55" w14:textId="3498B7E1"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identify and describe the needs of adolescents with CHD and their parents during the transition phase before transfer to adult cardiologic care.</w:t>
            </w:r>
          </w:p>
        </w:tc>
        <w:tc>
          <w:tcPr>
            <w:tcW w:w="1683" w:type="dxa"/>
            <w:noWrap/>
          </w:tcPr>
          <w:p w14:paraId="41335113" w14:textId="4EC21A7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Exploratory qualitative study using individual semi-structured interviews and content analysis</w:t>
            </w:r>
          </w:p>
        </w:tc>
        <w:tc>
          <w:tcPr>
            <w:tcW w:w="2099" w:type="dxa"/>
            <w:noWrap/>
          </w:tcPr>
          <w:p w14:paraId="68BA2895" w14:textId="1DA3C69B"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13 adolescents (ages 16–18) with moderate to complex CHD and 12 parents</w:t>
            </w:r>
          </w:p>
        </w:tc>
        <w:tc>
          <w:tcPr>
            <w:tcW w:w="2039" w:type="dxa"/>
            <w:noWrap/>
          </w:tcPr>
          <w:p w14:paraId="48B3BE6F" w14:textId="01299DD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Interviews explored perceptions about changing roles, information needs, and everyday challenges. Focus on </w:t>
            </w:r>
            <w:r w:rsidRPr="00A73FD8">
              <w:rPr>
                <w:rFonts w:ascii="Times New Roman" w:eastAsia="Times New Roman" w:hAnsi="Times New Roman" w:cs="Times New Roman"/>
                <w:color w:val="000000"/>
                <w:kern w:val="0"/>
                <w:lang w:val="en-US" w:eastAsia="it-IT"/>
                <w14:ligatures w14:val="none"/>
              </w:rPr>
              <w:t xml:space="preserve">the </w:t>
            </w:r>
            <w:r w:rsidRPr="00A73FD8">
              <w:rPr>
                <w:rFonts w:ascii="Times New Roman" w:eastAsia="Times New Roman" w:hAnsi="Times New Roman" w:cs="Times New Roman"/>
                <w:color w:val="000000"/>
                <w:kern w:val="0"/>
                <w:lang w:val="en-US" w:eastAsia="it-IT"/>
                <w14:ligatures w14:val="none"/>
              </w:rPr>
              <w:t xml:space="preserve">pre-transfer </w:t>
            </w:r>
            <w:r w:rsidRPr="00A73FD8">
              <w:rPr>
                <w:rFonts w:ascii="Times New Roman" w:eastAsia="Times New Roman" w:hAnsi="Times New Roman" w:cs="Times New Roman"/>
                <w:color w:val="000000"/>
                <w:kern w:val="0"/>
                <w:lang w:val="en-US" w:eastAsia="it-IT"/>
                <w14:ligatures w14:val="none"/>
              </w:rPr>
              <w:lastRenderedPageBreak/>
              <w:t>phase from pediatric to adult cardiology.</w:t>
            </w:r>
          </w:p>
        </w:tc>
        <w:tc>
          <w:tcPr>
            <w:tcW w:w="3842" w:type="dxa"/>
            <w:noWrap/>
          </w:tcPr>
          <w:p w14:paraId="329D8E27" w14:textId="4A001B71"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Adolescents expressed needs for continuity, responsibility, and adequate knowledge ("safety and control"); parents emphasized trust and a secure handover ("safety and trust"). Both groups valued relationship continuity, clear communication, and </w:t>
            </w:r>
            <w:r w:rsidRPr="00A73FD8">
              <w:rPr>
                <w:rFonts w:ascii="Times New Roman" w:eastAsia="Times New Roman" w:hAnsi="Times New Roman" w:cs="Times New Roman"/>
                <w:color w:val="000000"/>
                <w:kern w:val="0"/>
                <w:lang w:val="en-US" w:eastAsia="it-IT"/>
                <w14:ligatures w14:val="none"/>
              </w:rPr>
              <w:lastRenderedPageBreak/>
              <w:t xml:space="preserve">individualized, age-appropriate information. Highlights </w:t>
            </w:r>
            <w:r w:rsidRPr="00A73FD8">
              <w:rPr>
                <w:rFonts w:ascii="Times New Roman" w:eastAsia="Times New Roman" w:hAnsi="Times New Roman" w:cs="Times New Roman"/>
                <w:color w:val="000000"/>
                <w:kern w:val="0"/>
                <w:lang w:val="en-US" w:eastAsia="it-IT"/>
                <w14:ligatures w14:val="none"/>
              </w:rPr>
              <w:t xml:space="preserve">the </w:t>
            </w:r>
            <w:r w:rsidRPr="00A73FD8">
              <w:rPr>
                <w:rFonts w:ascii="Times New Roman" w:eastAsia="Times New Roman" w:hAnsi="Times New Roman" w:cs="Times New Roman"/>
                <w:color w:val="000000"/>
                <w:kern w:val="0"/>
                <w:lang w:val="en-US" w:eastAsia="it-IT"/>
                <w14:ligatures w14:val="none"/>
              </w:rPr>
              <w:t>need for structured, planned transition programs.</w:t>
            </w:r>
          </w:p>
        </w:tc>
      </w:tr>
      <w:tr w:rsidR="002178D3" w:rsidRPr="00A73FD8" w14:paraId="00669041"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95F87B1"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lastRenderedPageBreak/>
              <w:t>Burström</w:t>
            </w:r>
            <w:proofErr w:type="spellEnd"/>
            <w:r w:rsidRPr="006F66E9">
              <w:rPr>
                <w:rFonts w:ascii="Times New Roman" w:hAnsi="Times New Roman" w:cs="Times New Roman"/>
                <w:b w:val="0"/>
                <w:bCs w:val="0"/>
                <w:lang w:val="fr-FR"/>
              </w:rPr>
              <w:t xml:space="preserve"> et al. (2019)</w:t>
            </w:r>
          </w:p>
          <w:p w14:paraId="64FD9F3F" w14:textId="70E57554"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70D32D0B" w14:textId="0598CEA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Sweden</w:t>
            </w:r>
            <w:proofErr w:type="spellEnd"/>
          </w:p>
        </w:tc>
        <w:tc>
          <w:tcPr>
            <w:tcW w:w="2625" w:type="dxa"/>
            <w:noWrap/>
          </w:tcPr>
          <w:p w14:paraId="7073F42E" w14:textId="03E772DF"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assess the level of transition readiness in adolescents with CHD, compare their assessments with those of their parents, and explore correlates of readiness.</w:t>
            </w:r>
          </w:p>
        </w:tc>
        <w:tc>
          <w:tcPr>
            <w:tcW w:w="1683" w:type="dxa"/>
            <w:noWrap/>
          </w:tcPr>
          <w:p w14:paraId="2B6B8C36" w14:textId="02C7DEF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Cross-sectional, triadic survey design</w:t>
            </w:r>
          </w:p>
        </w:tc>
        <w:tc>
          <w:tcPr>
            <w:tcW w:w="2099" w:type="dxa"/>
            <w:noWrap/>
          </w:tcPr>
          <w:p w14:paraId="57EEC510" w14:textId="6867A6E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157 triads (adolescent, mother, father); adolescents aged 14–18 with CHD</w:t>
            </w:r>
          </w:p>
        </w:tc>
        <w:tc>
          <w:tcPr>
            <w:tcW w:w="2039" w:type="dxa"/>
            <w:noWrap/>
          </w:tcPr>
          <w:p w14:paraId="7E0AE1A8" w14:textId="3F8D0F3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Used the Readiness for Transition Questionnaire (RTQ) to measure adolescent responsibility, parental involvement, and overall readiness. </w:t>
            </w:r>
            <w:proofErr w:type="spellStart"/>
            <w:r w:rsidRPr="00A73FD8">
              <w:rPr>
                <w:rFonts w:ascii="Times New Roman" w:hAnsi="Times New Roman" w:cs="Times New Roman"/>
              </w:rPr>
              <w:t>Multicenter</w:t>
            </w:r>
            <w:proofErr w:type="spellEnd"/>
            <w:r w:rsidRPr="00A73FD8">
              <w:rPr>
                <w:rFonts w:ascii="Times New Roman" w:hAnsi="Times New Roman" w:cs="Times New Roman"/>
              </w:rPr>
              <w:t xml:space="preserve"> study </w:t>
            </w:r>
            <w:proofErr w:type="spellStart"/>
            <w:r w:rsidRPr="00A73FD8">
              <w:rPr>
                <w:rFonts w:ascii="Times New Roman" w:hAnsi="Times New Roman" w:cs="Times New Roman"/>
              </w:rPr>
              <w:t>across</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four</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Swedish</w:t>
            </w:r>
            <w:proofErr w:type="spellEnd"/>
            <w:r w:rsidRPr="00A73FD8">
              <w:rPr>
                <w:rFonts w:ascii="Times New Roman" w:hAnsi="Times New Roman" w:cs="Times New Roman"/>
              </w:rPr>
              <w:t xml:space="preserve"> hospitals.</w:t>
            </w:r>
          </w:p>
        </w:tc>
        <w:tc>
          <w:tcPr>
            <w:tcW w:w="3842" w:type="dxa"/>
            <w:noWrap/>
          </w:tcPr>
          <w:p w14:paraId="027FEAFD" w14:textId="0CBD5C9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Adolescents rated themselves as more ready than their parents rated them. Readiness was associated with older age, higher empowerment, and less threatening illness perception. Parental involvement decreased with age. Results underscore the value of triadic perspectives and the role of empowerment in supporting transition readiness.</w:t>
            </w:r>
          </w:p>
        </w:tc>
      </w:tr>
      <w:tr w:rsidR="002178D3" w:rsidRPr="00A73FD8" w14:paraId="58CFB16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4947D89" w14:textId="77777777" w:rsidR="002178D3" w:rsidRPr="006F66E9" w:rsidRDefault="002178D3" w:rsidP="00C61CD0">
            <w:pPr>
              <w:jc w:val="center"/>
              <w:rPr>
                <w:rFonts w:ascii="Times New Roman" w:hAnsi="Times New Roman" w:cs="Times New Roman"/>
                <w:b w:val="0"/>
                <w:bCs w:val="0"/>
                <w:lang w:val="fr-FR"/>
              </w:rPr>
            </w:pPr>
            <w:proofErr w:type="spellStart"/>
            <w:r w:rsidRPr="006F66E9">
              <w:rPr>
                <w:rFonts w:ascii="Times New Roman" w:hAnsi="Times New Roman" w:cs="Times New Roman"/>
                <w:b w:val="0"/>
                <w:bCs w:val="0"/>
                <w:lang w:val="fr-FR"/>
              </w:rPr>
              <w:t>Bushee</w:t>
            </w:r>
            <w:proofErr w:type="spellEnd"/>
            <w:r w:rsidRPr="006F66E9">
              <w:rPr>
                <w:rFonts w:ascii="Times New Roman" w:hAnsi="Times New Roman" w:cs="Times New Roman"/>
                <w:b w:val="0"/>
                <w:bCs w:val="0"/>
                <w:lang w:val="fr-FR"/>
              </w:rPr>
              <w:t xml:space="preserve"> et al. (2021)</w:t>
            </w:r>
          </w:p>
          <w:p w14:paraId="2942620E" w14:textId="7FA0F96F" w:rsidR="002178D3" w:rsidRPr="006F66E9"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lang w:val="fr-FR"/>
              </w:rPr>
              <w:t>Journal Article</w:t>
            </w:r>
          </w:p>
        </w:tc>
        <w:tc>
          <w:tcPr>
            <w:tcW w:w="1472" w:type="dxa"/>
            <w:noWrap/>
          </w:tcPr>
          <w:p w14:paraId="72B886EE" w14:textId="4E81BF3F"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2C1D3C1E" w14:textId="3026046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evaluate changes in unplanned cardiac hospitalizations and rates of transfer to adult care after implementing a structured transition program for adolescents with CHD.</w:t>
            </w:r>
          </w:p>
        </w:tc>
        <w:tc>
          <w:tcPr>
            <w:tcW w:w="1683" w:type="dxa"/>
            <w:noWrap/>
          </w:tcPr>
          <w:p w14:paraId="789814D9" w14:textId="3B8045C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Retrospective, single-center comparative cohort study (pre-post design)</w:t>
            </w:r>
          </w:p>
        </w:tc>
        <w:tc>
          <w:tcPr>
            <w:tcW w:w="2099" w:type="dxa"/>
            <w:noWrap/>
          </w:tcPr>
          <w:p w14:paraId="7D64D3BF" w14:textId="7A5F5C4A"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653 patients ≥16 years: 303 in control group (pre-2016) and 350 in transition group (2016–2018)</w:t>
            </w:r>
          </w:p>
        </w:tc>
        <w:tc>
          <w:tcPr>
            <w:tcW w:w="2039" w:type="dxa"/>
            <w:noWrap/>
          </w:tcPr>
          <w:p w14:paraId="201C3D9A" w14:textId="207604A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Transition program included nurse-led education on transition readiness during pediatric visits, yearly follow-ups, and use of a structured readiness assessment.</w:t>
            </w:r>
          </w:p>
        </w:tc>
        <w:tc>
          <w:tcPr>
            <w:tcW w:w="3842" w:type="dxa"/>
            <w:noWrap/>
          </w:tcPr>
          <w:p w14:paraId="7C2E631C" w14:textId="77777777" w:rsidR="002178D3" w:rsidRPr="00A73FD8" w:rsidRDefault="002178D3" w:rsidP="004144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73FD8">
              <w:rPr>
                <w:rFonts w:ascii="Times New Roman" w:hAnsi="Times New Roman" w:cs="Times New Roman"/>
                <w:lang w:val="en-US"/>
              </w:rPr>
              <w:t xml:space="preserve">The transition group had significantly fewer unplanned cardiac hospitalizations (0.004 vs. 0.019 </w:t>
            </w:r>
            <w:proofErr w:type="spellStart"/>
            <w:r w:rsidRPr="00A73FD8">
              <w:rPr>
                <w:rFonts w:ascii="Times New Roman" w:hAnsi="Times New Roman" w:cs="Times New Roman"/>
                <w:lang w:val="en-US"/>
              </w:rPr>
              <w:t>hosp</w:t>
            </w:r>
            <w:proofErr w:type="spellEnd"/>
            <w:r w:rsidRPr="00A73FD8">
              <w:rPr>
                <w:rFonts w:ascii="Times New Roman" w:hAnsi="Times New Roman" w:cs="Times New Roman"/>
                <w:lang w:val="en-US"/>
              </w:rPr>
              <w:t>/patient/year; p = 0.008) and higher rates of transfer to adult care (47% vs. 38%; p = 0.034). Being in the transition group was independently associated with reduced hospitalization risk.</w:t>
            </w:r>
          </w:p>
          <w:p w14:paraId="7673F01E" w14:textId="7777777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
        </w:tc>
      </w:tr>
      <w:tr w:rsidR="002178D3" w:rsidRPr="00A73FD8" w14:paraId="323FD40B"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0577BA64" w14:textId="77777777" w:rsidR="002178D3" w:rsidRPr="006F66E9" w:rsidRDefault="002178D3" w:rsidP="00C61CD0">
            <w:pPr>
              <w:jc w:val="center"/>
              <w:rPr>
                <w:rFonts w:ascii="Times New Roman" w:hAnsi="Times New Roman" w:cs="Times New Roman"/>
                <w:b w:val="0"/>
                <w:bCs w:val="0"/>
                <w:lang w:val="fr-FR"/>
              </w:rPr>
            </w:pPr>
            <w:r w:rsidRPr="006F66E9">
              <w:rPr>
                <w:rFonts w:ascii="Times New Roman" w:hAnsi="Times New Roman" w:cs="Times New Roman"/>
                <w:b w:val="0"/>
                <w:bCs w:val="0"/>
                <w:lang w:val="fr-FR"/>
              </w:rPr>
              <w:t>Cabrera Fernandez et al. (2024)</w:t>
            </w:r>
          </w:p>
          <w:p w14:paraId="690B63A5" w14:textId="74FAA155" w:rsidR="002178D3" w:rsidRPr="006F66E9" w:rsidRDefault="002178D3" w:rsidP="00C61CD0">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13CF015C" w14:textId="3E29792C" w:rsidR="002178D3" w:rsidRPr="006F66E9" w:rsidRDefault="002178D3" w:rsidP="00C61CD0">
            <w:pPr>
              <w:jc w:val="center"/>
              <w:rPr>
                <w:rFonts w:ascii="Times New Roman" w:hAnsi="Times New Roman" w:cs="Times New Roman"/>
                <w:b w:val="0"/>
                <w:bCs w:val="0"/>
                <w:color w:val="000000"/>
                <w:lang w:val="fr-FR"/>
              </w:rPr>
            </w:pPr>
          </w:p>
        </w:tc>
        <w:tc>
          <w:tcPr>
            <w:tcW w:w="1472" w:type="dxa"/>
            <w:noWrap/>
          </w:tcPr>
          <w:p w14:paraId="0773D2B5" w14:textId="6E303BA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USA and Canada</w:t>
            </w:r>
          </w:p>
        </w:tc>
        <w:tc>
          <w:tcPr>
            <w:tcW w:w="2625" w:type="dxa"/>
            <w:noWrap/>
          </w:tcPr>
          <w:p w14:paraId="01672AA5" w14:textId="6565CAD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examine how social determinants of health (</w:t>
            </w:r>
            <w:proofErr w:type="spellStart"/>
            <w:r w:rsidRPr="00A73FD8">
              <w:rPr>
                <w:rFonts w:ascii="Times New Roman" w:hAnsi="Times New Roman" w:cs="Times New Roman"/>
                <w:lang w:val="en-US"/>
              </w:rPr>
              <w:t>SDoH</w:t>
            </w:r>
            <w:proofErr w:type="spellEnd"/>
            <w:r w:rsidRPr="00A73FD8">
              <w:rPr>
                <w:rFonts w:ascii="Times New Roman" w:hAnsi="Times New Roman" w:cs="Times New Roman"/>
                <w:lang w:val="en-US"/>
              </w:rPr>
              <w:t>) impact the transition from pediatric to adult cardiology care in adolescents and young adults with CHD, and to propose strategies to reduce inequities.</w:t>
            </w:r>
          </w:p>
        </w:tc>
        <w:tc>
          <w:tcPr>
            <w:tcW w:w="1683" w:type="dxa"/>
            <w:noWrap/>
          </w:tcPr>
          <w:p w14:paraId="6DDBBAF4" w14:textId="7B0C1C8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21A019A1" w14:textId="1C44AF9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Not </w:t>
            </w:r>
            <w:proofErr w:type="spellStart"/>
            <w:r w:rsidRPr="00A73FD8">
              <w:rPr>
                <w:rFonts w:ascii="Times New Roman" w:hAnsi="Times New Roman" w:cs="Times New Roman"/>
              </w:rPr>
              <w:t>applicable</w:t>
            </w:r>
            <w:proofErr w:type="spellEnd"/>
            <w:r w:rsidRPr="00A73FD8">
              <w:rPr>
                <w:rFonts w:ascii="Times New Roman" w:hAnsi="Times New Roman" w:cs="Times New Roman"/>
              </w:rPr>
              <w:t xml:space="preserve"> (review-</w:t>
            </w:r>
            <w:proofErr w:type="spellStart"/>
            <w:r w:rsidRPr="00A73FD8">
              <w:rPr>
                <w:rFonts w:ascii="Times New Roman" w:hAnsi="Times New Roman" w:cs="Times New Roman"/>
              </w:rPr>
              <w:t>based</w:t>
            </w:r>
            <w:proofErr w:type="spellEnd"/>
            <w:r w:rsidRPr="00A73FD8">
              <w:rPr>
                <w:rFonts w:ascii="Times New Roman" w:hAnsi="Times New Roman" w:cs="Times New Roman"/>
              </w:rPr>
              <w:t>)</w:t>
            </w:r>
          </w:p>
        </w:tc>
        <w:tc>
          <w:tcPr>
            <w:tcW w:w="2039" w:type="dxa"/>
            <w:noWrap/>
          </w:tcPr>
          <w:p w14:paraId="16040597" w14:textId="29D7305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Focus on </w:t>
            </w:r>
            <w:proofErr w:type="spellStart"/>
            <w:r w:rsidRPr="00A73FD8">
              <w:rPr>
                <w:rFonts w:ascii="Times New Roman" w:eastAsia="Times New Roman" w:hAnsi="Times New Roman" w:cs="Times New Roman"/>
                <w:color w:val="000000"/>
                <w:kern w:val="0"/>
                <w:lang w:val="en-US" w:eastAsia="it-IT"/>
                <w14:ligatures w14:val="none"/>
              </w:rPr>
              <w:t>SDoH</w:t>
            </w:r>
            <w:proofErr w:type="spellEnd"/>
            <w:r w:rsidRPr="00A73FD8">
              <w:rPr>
                <w:rFonts w:ascii="Times New Roman" w:eastAsia="Times New Roman" w:hAnsi="Times New Roman" w:cs="Times New Roman"/>
                <w:color w:val="000000"/>
                <w:kern w:val="0"/>
                <w:lang w:val="en-US" w:eastAsia="it-IT"/>
                <w14:ligatures w14:val="none"/>
              </w:rPr>
              <w:t xml:space="preserve"> (e.g., race, SES, insurance access, geographic location) affecting CHD care. Recommends multilevel strategies: individual (bias training, education), institutional (formal programs, </w:t>
            </w:r>
            <w:r w:rsidRPr="00A73FD8">
              <w:rPr>
                <w:rFonts w:ascii="Times New Roman" w:eastAsia="Times New Roman" w:hAnsi="Times New Roman" w:cs="Times New Roman"/>
                <w:color w:val="000000"/>
                <w:kern w:val="0"/>
                <w:lang w:val="en-US" w:eastAsia="it-IT"/>
                <w14:ligatures w14:val="none"/>
              </w:rPr>
              <w:lastRenderedPageBreak/>
              <w:t>diversity), and system-level (policy, insurance, telehealth).</w:t>
            </w:r>
          </w:p>
        </w:tc>
        <w:tc>
          <w:tcPr>
            <w:tcW w:w="3842" w:type="dxa"/>
            <w:noWrap/>
          </w:tcPr>
          <w:p w14:paraId="33572C00" w14:textId="6FD36CD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Transition is influenced by </w:t>
            </w:r>
            <w:proofErr w:type="spellStart"/>
            <w:r w:rsidRPr="00A73FD8">
              <w:rPr>
                <w:rFonts w:ascii="Times New Roman" w:eastAsia="Times New Roman" w:hAnsi="Times New Roman" w:cs="Times New Roman"/>
                <w:color w:val="000000"/>
                <w:kern w:val="0"/>
                <w:lang w:val="en-US" w:eastAsia="it-IT"/>
                <w14:ligatures w14:val="none"/>
              </w:rPr>
              <w:t>SDoH</w:t>
            </w:r>
            <w:proofErr w:type="spellEnd"/>
            <w:r w:rsidRPr="00A73FD8">
              <w:rPr>
                <w:rFonts w:ascii="Times New Roman" w:eastAsia="Times New Roman" w:hAnsi="Times New Roman" w:cs="Times New Roman"/>
                <w:color w:val="000000"/>
                <w:kern w:val="0"/>
                <w:lang w:val="en-US" w:eastAsia="it-IT"/>
                <w14:ligatures w14:val="none"/>
              </w:rPr>
              <w:t xml:space="preserve"> like race, SES, and geography. Black, Indigenous, and low-income youth face higher loss to follow-up and poorer outcomes. Strategies to address inequities include early education, standardized transition programs, enhanced insurance coverage, culturally competent care, and workforce diversification.</w:t>
            </w:r>
          </w:p>
        </w:tc>
      </w:tr>
      <w:tr w:rsidR="002178D3" w:rsidRPr="00A73FD8" w14:paraId="24EE7B55"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26E08B6" w14:textId="77777777" w:rsidR="002178D3" w:rsidRPr="00A73FD8" w:rsidRDefault="002178D3" w:rsidP="00C61CD0">
            <w:pPr>
              <w:jc w:val="center"/>
              <w:rPr>
                <w:rFonts w:ascii="Times New Roman" w:hAnsi="Times New Roman" w:cs="Times New Roman"/>
                <w:b w:val="0"/>
                <w:bCs w:val="0"/>
              </w:rPr>
            </w:pPr>
            <w:proofErr w:type="spellStart"/>
            <w:r w:rsidRPr="00A73FD8">
              <w:rPr>
                <w:rFonts w:ascii="Times New Roman" w:hAnsi="Times New Roman" w:cs="Times New Roman"/>
                <w:b w:val="0"/>
                <w:bCs w:val="0"/>
              </w:rPr>
              <w:t>Everitt</w:t>
            </w:r>
            <w:proofErr w:type="spellEnd"/>
            <w:r w:rsidRPr="00A73FD8">
              <w:rPr>
                <w:rFonts w:ascii="Times New Roman" w:hAnsi="Times New Roman" w:cs="Times New Roman"/>
                <w:b w:val="0"/>
                <w:bCs w:val="0"/>
              </w:rPr>
              <w:t xml:space="preserve"> et al. (2017)</w:t>
            </w:r>
          </w:p>
          <w:p w14:paraId="62511ECF" w14:textId="77777777" w:rsidR="002178D3" w:rsidRPr="00A73FD8" w:rsidRDefault="002178D3" w:rsidP="00B82F66">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7CA71D7D" w14:textId="3DACA774"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32233B53" w14:textId="23A0D00E"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color w:val="000000"/>
                <w:lang w:val="en-US"/>
              </w:rPr>
              <w:t>USA</w:t>
            </w:r>
          </w:p>
        </w:tc>
        <w:tc>
          <w:tcPr>
            <w:tcW w:w="2625" w:type="dxa"/>
            <w:noWrap/>
          </w:tcPr>
          <w:p w14:paraId="0CA79CD2" w14:textId="4E06EF0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review the current practices, guidelines, barriers, and predictors related to the transition and transfer of care in adolescents and young adults with CHD, and to identify knowledge gaps and quality improvement opportunities.</w:t>
            </w:r>
          </w:p>
        </w:tc>
        <w:tc>
          <w:tcPr>
            <w:tcW w:w="1683" w:type="dxa"/>
            <w:noWrap/>
          </w:tcPr>
          <w:p w14:paraId="1537EA93" w14:textId="49BE97D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Narrative review</w:t>
            </w:r>
          </w:p>
        </w:tc>
        <w:tc>
          <w:tcPr>
            <w:tcW w:w="2099" w:type="dxa"/>
            <w:noWrap/>
          </w:tcPr>
          <w:p w14:paraId="1D2ECB6B" w14:textId="2167E00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Not </w:t>
            </w:r>
            <w:proofErr w:type="spellStart"/>
            <w:r w:rsidRPr="00A73FD8">
              <w:rPr>
                <w:rFonts w:ascii="Times New Roman" w:hAnsi="Times New Roman" w:cs="Times New Roman"/>
              </w:rPr>
              <w:t>applicable</w:t>
            </w:r>
            <w:proofErr w:type="spellEnd"/>
            <w:r w:rsidRPr="00A73FD8">
              <w:rPr>
                <w:rFonts w:ascii="Times New Roman" w:hAnsi="Times New Roman" w:cs="Times New Roman"/>
              </w:rPr>
              <w:t xml:space="preserve"> (review-</w:t>
            </w:r>
            <w:proofErr w:type="spellStart"/>
            <w:r w:rsidRPr="00A73FD8">
              <w:rPr>
                <w:rFonts w:ascii="Times New Roman" w:hAnsi="Times New Roman" w:cs="Times New Roman"/>
              </w:rPr>
              <w:t>based</w:t>
            </w:r>
            <w:proofErr w:type="spellEnd"/>
            <w:r w:rsidRPr="00A73FD8">
              <w:rPr>
                <w:rFonts w:ascii="Times New Roman" w:hAnsi="Times New Roman" w:cs="Times New Roman"/>
              </w:rPr>
              <w:t>)</w:t>
            </w:r>
          </w:p>
        </w:tc>
        <w:tc>
          <w:tcPr>
            <w:tcW w:w="2039" w:type="dxa"/>
            <w:noWrap/>
          </w:tcPr>
          <w:p w14:paraId="273E7C53" w14:textId="3F8F8221"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Compares US, Canadian, and European guidelines; highlights structural, institutional, social, and neurocognitive barriers; discusses predictors of successful transition (e.g., self-advocacy, parental involvement, documentation of follow-up need).</w:t>
            </w:r>
          </w:p>
        </w:tc>
        <w:tc>
          <w:tcPr>
            <w:tcW w:w="3842" w:type="dxa"/>
            <w:noWrap/>
          </w:tcPr>
          <w:p w14:paraId="23343553" w14:textId="054A871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Transition programs starting early (age 12–14) and ending by 21 are recommended. Barriers include insurance, institutional aging-out policies, and provider-patient attachment. Predictors of successful transfer include patient beliefs, medical documentation, and prior care continuity. Emphasizes the need for standardized quality indicators, more ACHD-trained providers, and structured programs.</w:t>
            </w:r>
          </w:p>
        </w:tc>
      </w:tr>
      <w:tr w:rsidR="002178D3" w:rsidRPr="00A73FD8" w14:paraId="786E44A9"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8BBDB42"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 xml:space="preserve">Fernandes &amp; </w:t>
            </w:r>
            <w:proofErr w:type="spellStart"/>
            <w:r w:rsidRPr="00A73FD8">
              <w:rPr>
                <w:rFonts w:ascii="Times New Roman" w:hAnsi="Times New Roman" w:cs="Times New Roman"/>
                <w:b w:val="0"/>
                <w:bCs w:val="0"/>
                <w:color w:val="000000"/>
                <w:lang w:val="en-US"/>
              </w:rPr>
              <w:t>Landzberg</w:t>
            </w:r>
            <w:proofErr w:type="spellEnd"/>
            <w:r w:rsidRPr="00A73FD8">
              <w:rPr>
                <w:rFonts w:ascii="Times New Roman" w:hAnsi="Times New Roman" w:cs="Times New Roman"/>
                <w:b w:val="0"/>
                <w:bCs w:val="0"/>
                <w:color w:val="000000"/>
                <w:lang w:val="en-US"/>
              </w:rPr>
              <w:t xml:space="preserve"> (2004)</w:t>
            </w:r>
          </w:p>
          <w:p w14:paraId="69D74146" w14:textId="77777777" w:rsidR="002178D3" w:rsidRPr="00A73FD8" w:rsidRDefault="002178D3" w:rsidP="00CC3724">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1DCCE26C" w14:textId="6E90E6AA"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58171356" w14:textId="2D656CB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084DBCBD" w14:textId="767038F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outline the rationale, principles, barriers, and proposed models for effective transition of adolescents and young adults with congenital heart disease (CHD) to life-long adult care.</w:t>
            </w:r>
          </w:p>
        </w:tc>
        <w:tc>
          <w:tcPr>
            <w:tcW w:w="1683" w:type="dxa"/>
            <w:noWrap/>
          </w:tcPr>
          <w:p w14:paraId="294E40C1" w14:textId="6E258AAF"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Narrative review</w:t>
            </w:r>
          </w:p>
        </w:tc>
        <w:tc>
          <w:tcPr>
            <w:tcW w:w="2099" w:type="dxa"/>
            <w:noWrap/>
          </w:tcPr>
          <w:p w14:paraId="3A16F864" w14:textId="290B08E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Not </w:t>
            </w:r>
            <w:proofErr w:type="spellStart"/>
            <w:r w:rsidRPr="00A73FD8">
              <w:rPr>
                <w:rFonts w:ascii="Times New Roman" w:hAnsi="Times New Roman" w:cs="Times New Roman"/>
              </w:rPr>
              <w:t>applicable</w:t>
            </w:r>
            <w:proofErr w:type="spellEnd"/>
            <w:r w:rsidRPr="00A73FD8">
              <w:rPr>
                <w:rFonts w:ascii="Times New Roman" w:hAnsi="Times New Roman" w:cs="Times New Roman"/>
              </w:rPr>
              <w:t xml:space="preserve"> (review-</w:t>
            </w:r>
            <w:proofErr w:type="spellStart"/>
            <w:r w:rsidRPr="00A73FD8">
              <w:rPr>
                <w:rFonts w:ascii="Times New Roman" w:hAnsi="Times New Roman" w:cs="Times New Roman"/>
              </w:rPr>
              <w:t>based</w:t>
            </w:r>
            <w:proofErr w:type="spellEnd"/>
            <w:r w:rsidRPr="00A73FD8">
              <w:rPr>
                <w:rFonts w:ascii="Times New Roman" w:hAnsi="Times New Roman" w:cs="Times New Roman"/>
              </w:rPr>
              <w:t>)</w:t>
            </w:r>
          </w:p>
        </w:tc>
        <w:tc>
          <w:tcPr>
            <w:tcW w:w="2039" w:type="dxa"/>
            <w:noWrap/>
          </w:tcPr>
          <w:p w14:paraId="1E43EAB9" w14:textId="28A0A9F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Describes the transition as a planned process requiring education, timing flexibility, and a dedicated transition team; emphasizes need for individualized health passports and coordination between pediatric and adult services.</w:t>
            </w:r>
          </w:p>
        </w:tc>
        <w:tc>
          <w:tcPr>
            <w:tcW w:w="3842" w:type="dxa"/>
            <w:noWrap/>
          </w:tcPr>
          <w:p w14:paraId="2E907F3E" w14:textId="318CEEA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Highlights barriers (e.g., emotional attachment, lack of adult-trained providers, insurance gaps), recommends transition starting ~17–19 years, and calls for the establishment of regional ACHD centers. Emphasizes the critical role of structured education, insurance counseling, and liaison roles in improving transition success and long-term outcomes.</w:t>
            </w:r>
          </w:p>
        </w:tc>
      </w:tr>
      <w:tr w:rsidR="002178D3" w:rsidRPr="00A73FD8" w14:paraId="7CD8EC53"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166DC7A" w14:textId="77777777" w:rsidR="002178D3" w:rsidRPr="00A73FD8" w:rsidRDefault="002178D3" w:rsidP="00C61CD0">
            <w:pPr>
              <w:jc w:val="center"/>
              <w:rPr>
                <w:rFonts w:ascii="Times New Roman" w:hAnsi="Times New Roman" w:cs="Times New Roman"/>
                <w:b w:val="0"/>
                <w:bCs w:val="0"/>
                <w:color w:val="000000"/>
                <w:lang w:val="fr-FR"/>
              </w:rPr>
            </w:pPr>
            <w:r w:rsidRPr="00A73FD8">
              <w:rPr>
                <w:rFonts w:ascii="Times New Roman" w:hAnsi="Times New Roman" w:cs="Times New Roman"/>
                <w:b w:val="0"/>
                <w:bCs w:val="0"/>
                <w:color w:val="000000"/>
                <w:lang w:val="fr-FR"/>
              </w:rPr>
              <w:t>Goossens et al. (2014)</w:t>
            </w:r>
          </w:p>
          <w:p w14:paraId="372C1823" w14:textId="77777777" w:rsidR="002178D3" w:rsidRPr="00A73FD8" w:rsidRDefault="002178D3" w:rsidP="00DD384E">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530A4DA6" w14:textId="275697E5" w:rsidR="002178D3" w:rsidRPr="00A73FD8" w:rsidRDefault="002178D3" w:rsidP="00C61CD0">
            <w:pPr>
              <w:jc w:val="center"/>
              <w:rPr>
                <w:rFonts w:ascii="Times New Roman" w:hAnsi="Times New Roman" w:cs="Times New Roman"/>
                <w:b w:val="0"/>
                <w:bCs w:val="0"/>
                <w:color w:val="000000"/>
                <w:lang w:val="fr-FR"/>
              </w:rPr>
            </w:pPr>
          </w:p>
        </w:tc>
        <w:tc>
          <w:tcPr>
            <w:tcW w:w="1472" w:type="dxa"/>
            <w:noWrap/>
          </w:tcPr>
          <w:p w14:paraId="4D51BD8F" w14:textId="280FB92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Belgium</w:t>
            </w:r>
          </w:p>
        </w:tc>
        <w:tc>
          <w:tcPr>
            <w:tcW w:w="2625" w:type="dxa"/>
            <w:noWrap/>
          </w:tcPr>
          <w:p w14:paraId="53E1F223" w14:textId="4A92425D"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evaluate the effectiveness of a structured patient education program on the knowledge level of </w:t>
            </w:r>
            <w:r w:rsidRPr="00A73FD8">
              <w:rPr>
                <w:rFonts w:ascii="Times New Roman" w:eastAsia="Times New Roman" w:hAnsi="Times New Roman" w:cs="Times New Roman"/>
                <w:color w:val="000000"/>
                <w:kern w:val="0"/>
                <w:lang w:val="en-US" w:eastAsia="it-IT"/>
                <w14:ligatures w14:val="none"/>
              </w:rPr>
              <w:lastRenderedPageBreak/>
              <w:t>adolescents and adults with CHD.</w:t>
            </w:r>
          </w:p>
        </w:tc>
        <w:tc>
          <w:tcPr>
            <w:tcW w:w="1683" w:type="dxa"/>
            <w:noWrap/>
          </w:tcPr>
          <w:p w14:paraId="1E1304BB" w14:textId="089900C8"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Descriptive, cross-sectional comparative study</w:t>
            </w:r>
          </w:p>
        </w:tc>
        <w:tc>
          <w:tcPr>
            <w:tcW w:w="2099" w:type="dxa"/>
            <w:noWrap/>
          </w:tcPr>
          <w:p w14:paraId="5AA92F82" w14:textId="1D3BFEB5"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317 patients with CHD (226 received structured education, 91 comparison </w:t>
            </w:r>
            <w:r w:rsidRPr="00A73FD8">
              <w:rPr>
                <w:rFonts w:ascii="Times New Roman" w:eastAsia="Times New Roman" w:hAnsi="Times New Roman" w:cs="Times New Roman"/>
                <w:color w:val="000000"/>
                <w:kern w:val="0"/>
                <w:lang w:val="en-US" w:eastAsia="it-IT"/>
                <w14:ligatures w14:val="none"/>
              </w:rPr>
              <w:lastRenderedPageBreak/>
              <w:t>group); age range 15–60 years</w:t>
            </w:r>
          </w:p>
        </w:tc>
        <w:tc>
          <w:tcPr>
            <w:tcW w:w="2039" w:type="dxa"/>
            <w:noWrap/>
          </w:tcPr>
          <w:p w14:paraId="27906332" w14:textId="759242D0"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Education delivered during ACHD outpatient visits by advanced practice nurses using a </w:t>
            </w:r>
            <w:r w:rsidRPr="00A73FD8">
              <w:rPr>
                <w:rFonts w:ascii="Times New Roman" w:eastAsia="Times New Roman" w:hAnsi="Times New Roman" w:cs="Times New Roman"/>
                <w:color w:val="000000"/>
                <w:kern w:val="0"/>
                <w:lang w:val="en-US" w:eastAsia="it-IT"/>
                <w14:ligatures w14:val="none"/>
              </w:rPr>
              <w:lastRenderedPageBreak/>
              <w:t>standardized checklist; content covered CHD condition, treatment, prevention, lifestyle, heredity, pregnancy, and contraception.</w:t>
            </w:r>
          </w:p>
        </w:tc>
        <w:tc>
          <w:tcPr>
            <w:tcW w:w="3842" w:type="dxa"/>
            <w:noWrap/>
          </w:tcPr>
          <w:p w14:paraId="693A4E40" w14:textId="2A1FE43A"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Structured education significantly improved knowledge scores (57% vs. 43%, p &lt; 0.001), but only 11% reached the 80% knowledge target. Education remained an independent predictor of </w:t>
            </w:r>
            <w:r w:rsidRPr="00A73FD8">
              <w:rPr>
                <w:rFonts w:ascii="Times New Roman" w:eastAsia="Times New Roman" w:hAnsi="Times New Roman" w:cs="Times New Roman"/>
                <w:color w:val="000000"/>
                <w:kern w:val="0"/>
                <w:lang w:val="en-US" w:eastAsia="it-IT"/>
                <w14:ligatures w14:val="none"/>
              </w:rPr>
              <w:lastRenderedPageBreak/>
              <w:t>higher knowledge. Calls for alternative or complementary education strategies due to persistent knowledge gaps.</w:t>
            </w:r>
          </w:p>
        </w:tc>
      </w:tr>
      <w:tr w:rsidR="002178D3" w:rsidRPr="00A73FD8" w14:paraId="585F02C4"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F10AE91" w14:textId="77777777" w:rsidR="002178D3" w:rsidRPr="00A73FD8" w:rsidRDefault="002178D3" w:rsidP="00C61CD0">
            <w:pPr>
              <w:jc w:val="center"/>
              <w:rPr>
                <w:rFonts w:ascii="Times New Roman" w:hAnsi="Times New Roman" w:cs="Times New Roman"/>
                <w:b w:val="0"/>
                <w:bCs w:val="0"/>
              </w:rPr>
            </w:pPr>
            <w:proofErr w:type="spellStart"/>
            <w:r w:rsidRPr="00A73FD8">
              <w:rPr>
                <w:rFonts w:ascii="Times New Roman" w:hAnsi="Times New Roman" w:cs="Times New Roman"/>
                <w:b w:val="0"/>
                <w:bCs w:val="0"/>
              </w:rPr>
              <w:lastRenderedPageBreak/>
              <w:t>Habibi</w:t>
            </w:r>
            <w:proofErr w:type="spellEnd"/>
            <w:r w:rsidRPr="00A73FD8">
              <w:rPr>
                <w:rFonts w:ascii="Times New Roman" w:hAnsi="Times New Roman" w:cs="Times New Roman"/>
                <w:b w:val="0"/>
                <w:bCs w:val="0"/>
              </w:rPr>
              <w:t xml:space="preserve"> (2017)</w:t>
            </w:r>
          </w:p>
          <w:p w14:paraId="4E05E1F8" w14:textId="77777777" w:rsidR="002178D3" w:rsidRPr="00A73FD8" w:rsidRDefault="002178D3" w:rsidP="00E64108">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2F0AF24E" w14:textId="1BF9D177"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51FE5DEC" w14:textId="059B5FA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2665FA6E" w14:textId="6EDE528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describe the transition process for congenital heart patients and propose strategies to prevent loss to follow-up during transfer to adult care.</w:t>
            </w:r>
          </w:p>
        </w:tc>
        <w:tc>
          <w:tcPr>
            <w:tcW w:w="1683" w:type="dxa"/>
            <w:noWrap/>
          </w:tcPr>
          <w:p w14:paraId="314523AE" w14:textId="16B7674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Descriptive review and expert commentary</w:t>
            </w:r>
          </w:p>
        </w:tc>
        <w:tc>
          <w:tcPr>
            <w:tcW w:w="2099" w:type="dxa"/>
            <w:noWrap/>
          </w:tcPr>
          <w:p w14:paraId="44769C42" w14:textId="6E888AC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155565D9" w14:textId="5AD1BBE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Emphasizes a structured, nurse-led transition program that begins in early adolescence and continues through young adulthood. Includes education, patient engagement, individualized planning, and interdisciplinary coordination.</w:t>
            </w:r>
          </w:p>
        </w:tc>
        <w:tc>
          <w:tcPr>
            <w:tcW w:w="3842" w:type="dxa"/>
            <w:noWrap/>
          </w:tcPr>
          <w:p w14:paraId="0830EF75" w14:textId="59C2634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Key strategies to prevent loss to follow-up include early transition preparation, dedicated transition coordinators (often CNSs), fostering self-management skills, and ensuring warm hand-offs to adult providers. Highlights the CNS role in assessment, planning, education, and follow-up to support successful transition.</w:t>
            </w:r>
          </w:p>
        </w:tc>
      </w:tr>
      <w:tr w:rsidR="002178D3" w:rsidRPr="00A73FD8" w14:paraId="7918D8E0"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1E645914" w14:textId="77777777" w:rsidR="002178D3" w:rsidRPr="00A73FD8" w:rsidRDefault="002178D3" w:rsidP="00C61CD0">
            <w:pPr>
              <w:jc w:val="center"/>
              <w:rPr>
                <w:rFonts w:ascii="Times New Roman" w:hAnsi="Times New Roman" w:cs="Times New Roman"/>
                <w:b w:val="0"/>
                <w:bCs w:val="0"/>
              </w:rPr>
            </w:pPr>
            <w:r w:rsidRPr="00A73FD8">
              <w:rPr>
                <w:rFonts w:ascii="Times New Roman" w:hAnsi="Times New Roman" w:cs="Times New Roman"/>
                <w:b w:val="0"/>
                <w:bCs w:val="0"/>
              </w:rPr>
              <w:t>Harada et al. (2025)</w:t>
            </w:r>
          </w:p>
          <w:p w14:paraId="0ABA1455" w14:textId="77777777" w:rsidR="002178D3" w:rsidRPr="00A73FD8" w:rsidRDefault="002178D3" w:rsidP="00AC1313">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4D93A74F" w14:textId="50AD25DA"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34865B9D" w14:textId="3F17349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Japan</w:t>
            </w:r>
          </w:p>
        </w:tc>
        <w:tc>
          <w:tcPr>
            <w:tcW w:w="2625" w:type="dxa"/>
            <w:noWrap/>
          </w:tcPr>
          <w:p w14:paraId="21756EAD" w14:textId="1AF4372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review the epidemiology, challenges, and current models of transitional care for adults with congenital heart disease (ACHD), and propose strategies to reduce lapses in care.</w:t>
            </w:r>
          </w:p>
        </w:tc>
        <w:tc>
          <w:tcPr>
            <w:tcW w:w="1683" w:type="dxa"/>
            <w:noWrap/>
          </w:tcPr>
          <w:p w14:paraId="3123B81E" w14:textId="5A96F18F"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425B2580" w14:textId="452CB89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3DBA67BB" w14:textId="6C9D6A2A"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Advocates for structured, multidisciplinary transition programs starting from age 12, using tools like the Got Transition Six Core Elements and validated questionnaires. Recommends early education, individualized planning, joint clinics, and follow-up post-transfer</w:t>
            </w:r>
          </w:p>
        </w:tc>
        <w:tc>
          <w:tcPr>
            <w:tcW w:w="3842" w:type="dxa"/>
            <w:noWrap/>
          </w:tcPr>
          <w:p w14:paraId="332A4EAC" w14:textId="44DA61E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Loss to follow-up remains a global issue, with rates up to 34% in the US. Education programs improve knowledge, self-efficacy, and follow-up rates but often fall short of targets. Barriers include low CHD awareness, mild disease, distance, and socioeconomic factors. Highlights the need for tailored interventions, transition coordinators, and digital health tools to improve continuity of care.</w:t>
            </w:r>
          </w:p>
        </w:tc>
      </w:tr>
      <w:tr w:rsidR="002178D3" w:rsidRPr="00A73FD8" w14:paraId="7CBBFBAA"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AC05B66"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lastRenderedPageBreak/>
              <w:t>Hayman &amp; Martyn-Nemeth (2022)</w:t>
            </w:r>
          </w:p>
          <w:p w14:paraId="207F47DA" w14:textId="77777777" w:rsidR="002178D3" w:rsidRPr="00A73FD8" w:rsidRDefault="002178D3" w:rsidP="00302522">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6AE6B03B" w14:textId="4D606FBE"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2F03A95E" w14:textId="2A0490A9"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3A853E36" w14:textId="066D50A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discuss challenges and opportunities in transitioning adolescents and young adults with congenital heart disease to adult-centered care.</w:t>
            </w:r>
          </w:p>
        </w:tc>
        <w:tc>
          <w:tcPr>
            <w:tcW w:w="1683" w:type="dxa"/>
            <w:noWrap/>
          </w:tcPr>
          <w:p w14:paraId="24B066E6" w14:textId="6DA558B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Commentary based on literature and American Heart Association statement</w:t>
            </w:r>
          </w:p>
        </w:tc>
        <w:tc>
          <w:tcPr>
            <w:tcW w:w="2099" w:type="dxa"/>
            <w:noWrap/>
          </w:tcPr>
          <w:p w14:paraId="1E6851C2" w14:textId="65E8FFFB"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23154EE7" w14:textId="18E7831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Advocates for structured transition programs emphasizing self-management, self-advocacy, care coordination, and health literacy. Recommends early initiation in adolescence with continued support through emerging adulthood (18–25 years).</w:t>
            </w:r>
          </w:p>
        </w:tc>
        <w:tc>
          <w:tcPr>
            <w:tcW w:w="3842" w:type="dxa"/>
            <w:noWrap/>
          </w:tcPr>
          <w:p w14:paraId="0380BC14" w14:textId="7B35E351"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Identifies key barriers (e.g., social determinants, racial/ethnic disparities, neurocognitive deficits). Emphasizes roles of pediatric and adult cardiovascular nurses. Recommends individualized education, lifelong care planning, and system-level changes to support health equity and reduce gaps in care.</w:t>
            </w:r>
          </w:p>
        </w:tc>
      </w:tr>
      <w:tr w:rsidR="002178D3" w:rsidRPr="00A73FD8" w14:paraId="3366C6DB"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169BE057"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Hays (2015)</w:t>
            </w:r>
          </w:p>
          <w:p w14:paraId="2FF72F26" w14:textId="77777777" w:rsidR="002178D3" w:rsidRPr="00A73FD8" w:rsidRDefault="002178D3" w:rsidP="00E119BA">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00900407" w14:textId="77777777" w:rsidR="002178D3" w:rsidRPr="00A73FD8" w:rsidRDefault="002178D3" w:rsidP="00C61CD0">
            <w:pPr>
              <w:jc w:val="center"/>
              <w:rPr>
                <w:rFonts w:ascii="Times New Roman" w:hAnsi="Times New Roman" w:cs="Times New Roman"/>
                <w:b w:val="0"/>
                <w:bCs w:val="0"/>
                <w:color w:val="000000"/>
                <w:lang w:val="en-US"/>
              </w:rPr>
            </w:pPr>
          </w:p>
          <w:p w14:paraId="170AF675" w14:textId="47690660"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1A9D9C74" w14:textId="2A94291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2B87DF97" w14:textId="059ED091"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review current recommendations, practices, and gaps in the transition of care for adults with congenital heart disease, particularly in the U.S. context.</w:t>
            </w:r>
          </w:p>
        </w:tc>
        <w:tc>
          <w:tcPr>
            <w:tcW w:w="1683" w:type="dxa"/>
            <w:noWrap/>
          </w:tcPr>
          <w:p w14:paraId="16996858" w14:textId="65D2BAD8"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1644AC32" w14:textId="2D502B1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638EC4CA" w14:textId="550DE89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Emphasizes early, structured transition starting in adolescence and guided by Bethesda and ACC/AHA recommendations. Highlights </w:t>
            </w:r>
            <w:r w:rsidRPr="00A73FD8">
              <w:rPr>
                <w:rFonts w:ascii="Times New Roman" w:eastAsia="Times New Roman" w:hAnsi="Times New Roman" w:cs="Times New Roman"/>
                <w:color w:val="000000"/>
                <w:kern w:val="0"/>
                <w:lang w:val="en-US" w:eastAsia="it-IT"/>
                <w14:ligatures w14:val="none"/>
              </w:rPr>
              <w:t xml:space="preserve">the role of ACHD regional centers and multidisciplinary teams, and outlines a </w:t>
            </w:r>
            <w:r w:rsidRPr="00A73FD8">
              <w:rPr>
                <w:rFonts w:ascii="Times New Roman" w:eastAsia="Times New Roman" w:hAnsi="Times New Roman" w:cs="Times New Roman"/>
                <w:color w:val="000000"/>
                <w:kern w:val="0"/>
                <w:lang w:val="en-US" w:eastAsia="it-IT"/>
                <w14:ligatures w14:val="none"/>
              </w:rPr>
              <w:t>three-tiered provider education model.</w:t>
            </w:r>
          </w:p>
        </w:tc>
        <w:tc>
          <w:tcPr>
            <w:tcW w:w="3842" w:type="dxa"/>
            <w:noWrap/>
          </w:tcPr>
          <w:p w14:paraId="77207649" w14:textId="4CCDF36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Despite improved survival, U.S. lacks a national transition system. Transition improves outcomes but is inconsistently implemented. ACHD patients have complex psychosocial/medical needs. Nurse practitioners and transition coordinators are key. Calls for more education, research, and advocacy to support comprehensive ACHD transition programs.</w:t>
            </w:r>
          </w:p>
        </w:tc>
      </w:tr>
      <w:tr w:rsidR="002178D3" w:rsidRPr="00A73FD8" w14:paraId="1765D9E4"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1D27220A"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Heery et al. (2015)</w:t>
            </w:r>
          </w:p>
          <w:p w14:paraId="01519DF9" w14:textId="77777777" w:rsidR="002178D3" w:rsidRPr="00A73FD8" w:rsidRDefault="002178D3" w:rsidP="000A0C70">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5D74F7D8" w14:textId="7E5711BC"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6B550AAF" w14:textId="34A7BD95"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Ireland, UK</w:t>
            </w:r>
          </w:p>
        </w:tc>
        <w:tc>
          <w:tcPr>
            <w:tcW w:w="2625" w:type="dxa"/>
            <w:noWrap/>
          </w:tcPr>
          <w:p w14:paraId="3887C706" w14:textId="4F70BD4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synthesize empirical evidence on outcomes and experiences of transition from pediatric to adult healthcare services in young people with congenital heart disease.</w:t>
            </w:r>
          </w:p>
        </w:tc>
        <w:tc>
          <w:tcPr>
            <w:tcW w:w="1683" w:type="dxa"/>
            <w:noWrap/>
          </w:tcPr>
          <w:p w14:paraId="4BEAF6F0" w14:textId="08084549"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Systematic review (13 studies: 7 on outcomes, 7 on experiences)</w:t>
            </w:r>
          </w:p>
        </w:tc>
        <w:tc>
          <w:tcPr>
            <w:tcW w:w="2099" w:type="dxa"/>
            <w:noWrap/>
          </w:tcPr>
          <w:p w14:paraId="10103327" w14:textId="6C7DECD4"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Studies included various populations from Canada, US, UK, Belgium; sample sizes ranged from 23 to 794 participants.</w:t>
            </w:r>
          </w:p>
        </w:tc>
        <w:tc>
          <w:tcPr>
            <w:tcW w:w="2039" w:type="dxa"/>
            <w:noWrap/>
          </w:tcPr>
          <w:p w14:paraId="58870A1A" w14:textId="76399BCA"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Reviewed both transfer outcomes (loss to follow-up, lapse in care) and transition experiences (readiness, </w:t>
            </w:r>
            <w:r w:rsidRPr="00A73FD8">
              <w:rPr>
                <w:rFonts w:ascii="Times New Roman" w:eastAsia="Times New Roman" w:hAnsi="Times New Roman" w:cs="Times New Roman"/>
                <w:color w:val="000000"/>
                <w:kern w:val="0"/>
                <w:lang w:val="en-US" w:eastAsia="it-IT"/>
                <w14:ligatures w14:val="none"/>
              </w:rPr>
              <w:lastRenderedPageBreak/>
              <w:t>knowledge, expectations). Included quantitative, qualitative, and mixed methods studies.</w:t>
            </w:r>
          </w:p>
        </w:tc>
        <w:tc>
          <w:tcPr>
            <w:tcW w:w="3842" w:type="dxa"/>
            <w:noWrap/>
          </w:tcPr>
          <w:p w14:paraId="4F9B645B" w14:textId="02828313"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High loss to follow-up and care gaps post-transfer are common. Protective factors: belief in need for care, prior surgeries, parent disengagement, and formal referrals. Youth often lacked knowledge and preparation. Structured, personalized transition programs with </w:t>
            </w:r>
            <w:r w:rsidRPr="00A73FD8">
              <w:rPr>
                <w:rFonts w:ascii="Times New Roman" w:eastAsia="Times New Roman" w:hAnsi="Times New Roman" w:cs="Times New Roman"/>
                <w:color w:val="000000"/>
                <w:kern w:val="0"/>
                <w:lang w:val="en-US" w:eastAsia="it-IT"/>
                <w14:ligatures w14:val="none"/>
              </w:rPr>
              <w:lastRenderedPageBreak/>
              <w:t>early education, family support, and trained ACHD professionals are strongly recommended.</w:t>
            </w:r>
          </w:p>
        </w:tc>
      </w:tr>
      <w:tr w:rsidR="002178D3" w:rsidRPr="00A73FD8" w14:paraId="4E9B10C7"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33C1CDF"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lastRenderedPageBreak/>
              <w:t>Hummel et al. (2023)</w:t>
            </w:r>
          </w:p>
          <w:p w14:paraId="642C7D96" w14:textId="77777777" w:rsidR="002178D3" w:rsidRPr="00A73FD8" w:rsidRDefault="002178D3" w:rsidP="00315A31">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5EF9C7CB" w14:textId="7C9652FD"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2F729562" w14:textId="72CB038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59D993E3" w14:textId="2599DC9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highlight the importance of integrated care across the lifespan for CHD patients, focusing on effective transition from pediatric to adult care and discussing the example of the Ricci et al. program.</w:t>
            </w:r>
          </w:p>
        </w:tc>
        <w:tc>
          <w:tcPr>
            <w:tcW w:w="1683" w:type="dxa"/>
            <w:noWrap/>
          </w:tcPr>
          <w:p w14:paraId="0B0B49A7" w14:textId="7B138824"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Editorial</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commentary</w:t>
            </w:r>
            <w:proofErr w:type="spellEnd"/>
            <w:r w:rsidRPr="00A73FD8">
              <w:rPr>
                <w:rFonts w:ascii="Times New Roman" w:hAnsi="Times New Roman" w:cs="Times New Roman"/>
              </w:rPr>
              <w:t xml:space="preserve"> (with </w:t>
            </w:r>
            <w:proofErr w:type="spellStart"/>
            <w:r w:rsidRPr="00A73FD8">
              <w:rPr>
                <w:rFonts w:ascii="Times New Roman" w:hAnsi="Times New Roman" w:cs="Times New Roman"/>
              </w:rPr>
              <w:t>discussion</w:t>
            </w:r>
            <w:proofErr w:type="spellEnd"/>
            <w:r w:rsidRPr="00A73FD8">
              <w:rPr>
                <w:rFonts w:ascii="Times New Roman" w:hAnsi="Times New Roman" w:cs="Times New Roman"/>
              </w:rPr>
              <w:t xml:space="preserve"> of Ricci et al. 2023 </w:t>
            </w:r>
            <w:proofErr w:type="spellStart"/>
            <w:r w:rsidRPr="00A73FD8">
              <w:rPr>
                <w:rFonts w:ascii="Times New Roman" w:hAnsi="Times New Roman" w:cs="Times New Roman"/>
              </w:rPr>
              <w:t>program</w:t>
            </w:r>
            <w:proofErr w:type="spellEnd"/>
            <w:r w:rsidRPr="00A73FD8">
              <w:rPr>
                <w:rFonts w:ascii="Times New Roman" w:hAnsi="Times New Roman" w:cs="Times New Roman"/>
              </w:rPr>
              <w:t>)</w:t>
            </w:r>
          </w:p>
        </w:tc>
        <w:tc>
          <w:tcPr>
            <w:tcW w:w="2099" w:type="dxa"/>
            <w:noWrap/>
          </w:tcPr>
          <w:p w14:paraId="4B154B82" w14:textId="65CD4D73"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Not applicable (commentary, refers to Ricci et al.'s patient sample)</w:t>
            </w:r>
          </w:p>
        </w:tc>
        <w:tc>
          <w:tcPr>
            <w:tcW w:w="2039" w:type="dxa"/>
            <w:noWrap/>
          </w:tcPr>
          <w:p w14:paraId="0AFE8AC7" w14:textId="230A57F7"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Describes a nurse-led transition program with patient education, checklists, and longitudinal follow-up, adaptable to virtual delivery during COVID-19. Uses the Transition Service Assessment Questionnaire to identify risks.</w:t>
            </w:r>
          </w:p>
        </w:tc>
        <w:tc>
          <w:tcPr>
            <w:tcW w:w="3842" w:type="dxa"/>
            <w:noWrap/>
          </w:tcPr>
          <w:p w14:paraId="621EB1E2" w14:textId="1405630C"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The editorial supports Ricci et al.’s model as a reproducible, low-resource intervention that improves CHD knowledge and transition outcomes for most adolescents. However, those with learning disabilities or complex CHD benefit less, requiring more integrated care. Emphasizes the need to measure patient-centered outcomes and integrate services across the care continuum.</w:t>
            </w:r>
          </w:p>
        </w:tc>
      </w:tr>
      <w:tr w:rsidR="002178D3" w:rsidRPr="00A73FD8" w14:paraId="64F86874"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197FE4CD" w14:textId="77777777" w:rsidR="002178D3" w:rsidRPr="00A73FD8" w:rsidRDefault="002178D3" w:rsidP="00C61CD0">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Hwang et al. (2024)</w:t>
            </w:r>
          </w:p>
          <w:p w14:paraId="5A7939CE" w14:textId="77777777" w:rsidR="002178D3" w:rsidRPr="00A73FD8" w:rsidRDefault="002178D3" w:rsidP="00A72B99">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04F8315F" w14:textId="12544CF6"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408AC0BC" w14:textId="0C02298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South Korea</w:t>
            </w:r>
          </w:p>
        </w:tc>
        <w:tc>
          <w:tcPr>
            <w:tcW w:w="2625" w:type="dxa"/>
            <w:noWrap/>
          </w:tcPr>
          <w:p w14:paraId="2610C11E" w14:textId="52B247E7"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effects of an online health management program on self-efficacy, health behavior, and psychosocial outcomes in adolescents with complex CHD during transition to adulthood.</w:t>
            </w:r>
          </w:p>
        </w:tc>
        <w:tc>
          <w:tcPr>
            <w:tcW w:w="1683" w:type="dxa"/>
            <w:noWrap/>
          </w:tcPr>
          <w:p w14:paraId="6BCD670D" w14:textId="5EA3737E"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RCT</w:t>
            </w:r>
          </w:p>
        </w:tc>
        <w:tc>
          <w:tcPr>
            <w:tcW w:w="2099" w:type="dxa"/>
            <w:noWrap/>
          </w:tcPr>
          <w:p w14:paraId="41F73EAE" w14:textId="59B1E6B0"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28 adolescents aged 12–19 with complex CHD; 14 in intervention group, 14 in control group</w:t>
            </w:r>
          </w:p>
        </w:tc>
        <w:tc>
          <w:tcPr>
            <w:tcW w:w="2039" w:type="dxa"/>
            <w:noWrap/>
          </w:tcPr>
          <w:p w14:paraId="452C74D9" w14:textId="4926A3E6"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4-week online program based on self-efficacy theory: weekly group sessions (Zoom), 1:1 phone coaching, dietary diary feedback, Facebook-based health info. Covered CHD education, physical activity, diet, stress, and career planning.</w:t>
            </w:r>
          </w:p>
        </w:tc>
        <w:tc>
          <w:tcPr>
            <w:tcW w:w="3842" w:type="dxa"/>
            <w:noWrap/>
          </w:tcPr>
          <w:p w14:paraId="558B884A" w14:textId="656F099D" w:rsidR="002178D3" w:rsidRPr="00A73FD8" w:rsidRDefault="002178D3" w:rsidP="003943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Significant improvements in self-efficacy, daily step count, moderate-to-vigorous physical activity, and psychosocial </w:t>
            </w:r>
            <w:proofErr w:type="spellStart"/>
            <w:r w:rsidRPr="00A73FD8">
              <w:rPr>
                <w:rFonts w:ascii="Times New Roman" w:eastAsia="Times New Roman" w:hAnsi="Times New Roman" w:cs="Times New Roman"/>
                <w:color w:val="000000"/>
                <w:kern w:val="0"/>
                <w:lang w:val="en-US" w:eastAsia="it-IT"/>
                <w14:ligatures w14:val="none"/>
              </w:rPr>
              <w:t>HRQoL</w:t>
            </w:r>
            <w:proofErr w:type="spellEnd"/>
            <w:r w:rsidRPr="00A73FD8">
              <w:rPr>
                <w:rFonts w:ascii="Times New Roman" w:eastAsia="Times New Roman" w:hAnsi="Times New Roman" w:cs="Times New Roman"/>
                <w:color w:val="000000"/>
                <w:kern w:val="0"/>
                <w:lang w:val="en-US" w:eastAsia="it-IT"/>
                <w14:ligatures w14:val="none"/>
              </w:rPr>
              <w:t xml:space="preserve"> in the intervention group. No effect on sleep. High satisfaction and adherence. Suggests online interventions are effective for transition support in complex CHD.</w:t>
            </w:r>
          </w:p>
        </w:tc>
      </w:tr>
      <w:tr w:rsidR="002178D3" w:rsidRPr="00A73FD8" w14:paraId="66103AD8"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80345D0" w14:textId="77777777" w:rsidR="002178D3" w:rsidRPr="00A73FD8" w:rsidRDefault="002178D3" w:rsidP="00C61CD0">
            <w:pPr>
              <w:jc w:val="center"/>
              <w:rPr>
                <w:rFonts w:ascii="Times New Roman" w:hAnsi="Times New Roman" w:cs="Times New Roman"/>
                <w:b w:val="0"/>
                <w:bCs w:val="0"/>
              </w:rPr>
            </w:pPr>
            <w:proofErr w:type="spellStart"/>
            <w:r w:rsidRPr="00A73FD8">
              <w:rPr>
                <w:rFonts w:ascii="Times New Roman" w:hAnsi="Times New Roman" w:cs="Times New Roman"/>
                <w:b w:val="0"/>
                <w:bCs w:val="0"/>
              </w:rPr>
              <w:t>Jalkut</w:t>
            </w:r>
            <w:proofErr w:type="spellEnd"/>
            <w:r w:rsidRPr="00A73FD8">
              <w:rPr>
                <w:rFonts w:ascii="Times New Roman" w:hAnsi="Times New Roman" w:cs="Times New Roman"/>
                <w:b w:val="0"/>
                <w:bCs w:val="0"/>
              </w:rPr>
              <w:t xml:space="preserve"> &amp; Allen (2009)</w:t>
            </w:r>
          </w:p>
          <w:p w14:paraId="309A3C51" w14:textId="77777777" w:rsidR="002178D3" w:rsidRPr="00A73FD8" w:rsidRDefault="002178D3" w:rsidP="00E5422F">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B1CA82B" w14:textId="05E273A1" w:rsidR="002178D3" w:rsidRPr="00A73FD8" w:rsidRDefault="002178D3" w:rsidP="00C61CD0">
            <w:pPr>
              <w:jc w:val="center"/>
              <w:rPr>
                <w:rFonts w:ascii="Times New Roman" w:hAnsi="Times New Roman" w:cs="Times New Roman"/>
                <w:b w:val="0"/>
                <w:bCs w:val="0"/>
                <w:color w:val="000000"/>
                <w:lang w:val="en-US"/>
              </w:rPr>
            </w:pPr>
          </w:p>
        </w:tc>
        <w:tc>
          <w:tcPr>
            <w:tcW w:w="1472" w:type="dxa"/>
            <w:noWrap/>
          </w:tcPr>
          <w:p w14:paraId="556C49CB" w14:textId="48DE83A5"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USA</w:t>
            </w:r>
          </w:p>
        </w:tc>
        <w:tc>
          <w:tcPr>
            <w:tcW w:w="2625" w:type="dxa"/>
            <w:noWrap/>
          </w:tcPr>
          <w:p w14:paraId="3657D839" w14:textId="4318650C"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review the literature on transition from pediatric to adult care in adolescents </w:t>
            </w:r>
            <w:r w:rsidRPr="00A73FD8">
              <w:rPr>
                <w:rFonts w:ascii="Times New Roman" w:eastAsia="Times New Roman" w:hAnsi="Times New Roman" w:cs="Times New Roman"/>
                <w:color w:val="000000"/>
                <w:kern w:val="0"/>
                <w:lang w:val="en-US" w:eastAsia="it-IT"/>
                <w14:ligatures w14:val="none"/>
              </w:rPr>
              <w:lastRenderedPageBreak/>
              <w:t>with CHD and to highlight the role of the pediatric nurse practitioner (PNP) as a transition coordinator.</w:t>
            </w:r>
          </w:p>
        </w:tc>
        <w:tc>
          <w:tcPr>
            <w:tcW w:w="1683" w:type="dxa"/>
            <w:noWrap/>
          </w:tcPr>
          <w:p w14:paraId="630ED6A0" w14:textId="2AC38152"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lastRenderedPageBreak/>
              <w:t>Narrative review</w:t>
            </w:r>
          </w:p>
        </w:tc>
        <w:tc>
          <w:tcPr>
            <w:tcW w:w="2099" w:type="dxa"/>
            <w:noWrap/>
          </w:tcPr>
          <w:p w14:paraId="4B4CA2BF" w14:textId="4C7ED4EB"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560C656F" w14:textId="6088E609"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Focus on barriers to transition (e.g., insurance, provider </w:t>
            </w:r>
            <w:r w:rsidRPr="00A73FD8">
              <w:rPr>
                <w:rFonts w:ascii="Times New Roman" w:eastAsia="Times New Roman" w:hAnsi="Times New Roman" w:cs="Times New Roman"/>
                <w:color w:val="000000"/>
                <w:kern w:val="0"/>
                <w:lang w:val="en-US" w:eastAsia="it-IT"/>
                <w14:ligatures w14:val="none"/>
              </w:rPr>
              <w:lastRenderedPageBreak/>
              <w:t>training, family/patient resistance) and role of PNP in facilitating structured education, care planning, and transfer. Emphasizes early initiation (age 11–12), creation of a health passport, and coordinated transition visits.</w:t>
            </w:r>
          </w:p>
        </w:tc>
        <w:tc>
          <w:tcPr>
            <w:tcW w:w="3842" w:type="dxa"/>
            <w:noWrap/>
          </w:tcPr>
          <w:p w14:paraId="349C2A51" w14:textId="6605E866" w:rsidR="002178D3" w:rsidRPr="00A73FD8" w:rsidRDefault="002178D3" w:rsidP="0039436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Transition often fails due to poor education, lack of preparation, and systemic barriers. PNPs can ensure </w:t>
            </w:r>
            <w:r w:rsidRPr="00A73FD8">
              <w:rPr>
                <w:rFonts w:ascii="Times New Roman" w:eastAsia="Times New Roman" w:hAnsi="Times New Roman" w:cs="Times New Roman"/>
                <w:color w:val="000000"/>
                <w:kern w:val="0"/>
                <w:lang w:val="en-US" w:eastAsia="it-IT"/>
                <w14:ligatures w14:val="none"/>
              </w:rPr>
              <w:lastRenderedPageBreak/>
              <w:t>continuity and improve readiness via structured, individualized support. Education, planning, and communication are key to successful transfer to adult CHD care.</w:t>
            </w:r>
          </w:p>
        </w:tc>
      </w:tr>
      <w:tr w:rsidR="002178D3" w:rsidRPr="00A73FD8" w14:paraId="34E178D5"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1B44F39"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lastRenderedPageBreak/>
              <w:t>John et al. (2022)</w:t>
            </w:r>
          </w:p>
          <w:p w14:paraId="0D500F15"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14CD05B8" w14:textId="298BF9BB"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18611BF8" w14:textId="745FF9EB"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U</w:t>
            </w:r>
            <w:r w:rsidRPr="00A73FD8">
              <w:rPr>
                <w:rFonts w:ascii="Times New Roman" w:hAnsi="Times New Roman" w:cs="Times New Roman"/>
              </w:rPr>
              <w:t>SA</w:t>
            </w:r>
            <w:r w:rsidRPr="00A73FD8">
              <w:rPr>
                <w:rFonts w:ascii="Times New Roman" w:hAnsi="Times New Roman" w:cs="Times New Roman"/>
              </w:rPr>
              <w:t xml:space="preserve"> (</w:t>
            </w:r>
            <w:proofErr w:type="spellStart"/>
            <w:r w:rsidRPr="00A73FD8">
              <w:rPr>
                <w:rFonts w:ascii="Times New Roman" w:hAnsi="Times New Roman" w:cs="Times New Roman"/>
              </w:rPr>
              <w:t>multinational</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contributors</w:t>
            </w:r>
            <w:proofErr w:type="spellEnd"/>
            <w:r w:rsidRPr="00A73FD8">
              <w:rPr>
                <w:rFonts w:ascii="Times New Roman" w:hAnsi="Times New Roman" w:cs="Times New Roman"/>
              </w:rPr>
              <w:t>)</w:t>
            </w:r>
          </w:p>
        </w:tc>
        <w:tc>
          <w:tcPr>
            <w:tcW w:w="2625" w:type="dxa"/>
            <w:noWrap/>
          </w:tcPr>
          <w:p w14:paraId="607AAE71" w14:textId="7CEEA1D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present updated guidance from the American Heart Association on designing and implementing effective transition programs for adolescents with congenital heart disease.</w:t>
            </w:r>
          </w:p>
        </w:tc>
        <w:tc>
          <w:tcPr>
            <w:tcW w:w="1683" w:type="dxa"/>
            <w:noWrap/>
          </w:tcPr>
          <w:p w14:paraId="5D830B7A" w14:textId="6270568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Expert consensus and narrative review</w:t>
            </w:r>
          </w:p>
        </w:tc>
        <w:tc>
          <w:tcPr>
            <w:tcW w:w="2099" w:type="dxa"/>
            <w:noWrap/>
          </w:tcPr>
          <w:p w14:paraId="075C2CC7" w14:textId="1A77F685"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762E7F85" w14:textId="5F5FFF27"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Emphasizes individualized, structured programs addressing self-management, self-advocacy, communication, neurocognitive and psychosocial needs. Includes education, family engagement, use of technology, and multidisciplinary support.</w:t>
            </w:r>
          </w:p>
        </w:tc>
        <w:tc>
          <w:tcPr>
            <w:tcW w:w="3842" w:type="dxa"/>
            <w:noWrap/>
          </w:tcPr>
          <w:p w14:paraId="70DEF81E" w14:textId="63D34AA5"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SDOH, mental health, neurocognitive deficits, and parental overprotection significantly impact transition. Recommends early initiation, tailored education, and measurement of readiness and outcomes. Nurse-led and tech-based interventions are promising. Advocates for reimbursement strategies and national benchmarks.</w:t>
            </w:r>
          </w:p>
        </w:tc>
      </w:tr>
      <w:tr w:rsidR="002178D3" w:rsidRPr="00A73FD8" w14:paraId="1265124F"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6FFF83E"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Lee et al. (2024)</w:t>
            </w:r>
          </w:p>
          <w:p w14:paraId="54E356A9" w14:textId="77777777" w:rsidR="002178D3" w:rsidRPr="00A73FD8" w:rsidRDefault="002178D3" w:rsidP="00934055">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1ECC2655" w14:textId="7906F6AA"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18E75715" w14:textId="0D60B79A"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South Korea</w:t>
            </w:r>
          </w:p>
        </w:tc>
        <w:tc>
          <w:tcPr>
            <w:tcW w:w="2625" w:type="dxa"/>
            <w:noWrap/>
          </w:tcPr>
          <w:p w14:paraId="7E04900D" w14:textId="0355AD3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To evaluate the effectiveness of structured transition </w:t>
            </w:r>
            <w:proofErr w:type="spellStart"/>
            <w:r w:rsidRPr="00A73FD8">
              <w:rPr>
                <w:rFonts w:ascii="Times New Roman" w:hAnsi="Times New Roman" w:cs="Times New Roman"/>
                <w:lang w:val="en-US"/>
              </w:rPr>
              <w:t>programmes</w:t>
            </w:r>
            <w:proofErr w:type="spellEnd"/>
            <w:r w:rsidRPr="00A73FD8">
              <w:rPr>
                <w:rFonts w:ascii="Times New Roman" w:hAnsi="Times New Roman" w:cs="Times New Roman"/>
                <w:lang w:val="en-US"/>
              </w:rPr>
              <w:t xml:space="preserve"> for adolescents and young adults with CHD in improving disease knowledge, self-</w:t>
            </w:r>
            <w:r w:rsidRPr="00A73FD8">
              <w:rPr>
                <w:rFonts w:ascii="Times New Roman" w:hAnsi="Times New Roman" w:cs="Times New Roman"/>
                <w:lang w:val="en-US"/>
              </w:rPr>
              <w:lastRenderedPageBreak/>
              <w:t>management, and reducing loss to follow-up.</w:t>
            </w:r>
          </w:p>
        </w:tc>
        <w:tc>
          <w:tcPr>
            <w:tcW w:w="1683" w:type="dxa"/>
            <w:noWrap/>
          </w:tcPr>
          <w:p w14:paraId="1017313F" w14:textId="33BF17FA"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Systematic review and meta-analysis of 10 studies (RCTs, cohort and case-control studies)</w:t>
            </w:r>
          </w:p>
        </w:tc>
        <w:tc>
          <w:tcPr>
            <w:tcW w:w="2099" w:type="dxa"/>
            <w:noWrap/>
          </w:tcPr>
          <w:p w14:paraId="64C8EE5D" w14:textId="26FC127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1,297 adolescents and young adults with CHD (ages 10–29), varying CHD severity</w:t>
            </w:r>
          </w:p>
        </w:tc>
        <w:tc>
          <w:tcPr>
            <w:tcW w:w="2039" w:type="dxa"/>
            <w:noWrap/>
          </w:tcPr>
          <w:p w14:paraId="0B6D53A2" w14:textId="553504A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Programs included 5 components: transition intro, medical knowledge, living with CHD, self-management, and self-advocacy. </w:t>
            </w:r>
            <w:r w:rsidRPr="00A73FD8">
              <w:rPr>
                <w:rFonts w:ascii="Times New Roman" w:hAnsi="Times New Roman" w:cs="Times New Roman"/>
                <w:lang w:val="en-US"/>
              </w:rPr>
              <w:lastRenderedPageBreak/>
              <w:t>Delivered by nurses/teams in individual or group formats. Parental involvement in some studies.</w:t>
            </w:r>
          </w:p>
        </w:tc>
        <w:tc>
          <w:tcPr>
            <w:tcW w:w="3842" w:type="dxa"/>
            <w:noWrap/>
          </w:tcPr>
          <w:p w14:paraId="7C2E2C43" w14:textId="65BE18A6"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Transition </w:t>
            </w:r>
            <w:proofErr w:type="spellStart"/>
            <w:r w:rsidRPr="00A73FD8">
              <w:rPr>
                <w:rFonts w:ascii="Times New Roman" w:eastAsia="Times New Roman" w:hAnsi="Times New Roman" w:cs="Times New Roman"/>
                <w:color w:val="000000"/>
                <w:kern w:val="0"/>
                <w:lang w:val="en-US" w:eastAsia="it-IT"/>
                <w14:ligatures w14:val="none"/>
              </w:rPr>
              <w:t>programmes</w:t>
            </w:r>
            <w:proofErr w:type="spellEnd"/>
            <w:r w:rsidRPr="00A73FD8">
              <w:rPr>
                <w:rFonts w:ascii="Times New Roman" w:eastAsia="Times New Roman" w:hAnsi="Times New Roman" w:cs="Times New Roman"/>
                <w:color w:val="000000"/>
                <w:kern w:val="0"/>
                <w:lang w:val="en-US" w:eastAsia="it-IT"/>
                <w14:ligatures w14:val="none"/>
              </w:rPr>
              <w:t xml:space="preserve"> significantly improved disease knowledge (Hedges’ g = 0.89), self-management (g = 0.67), and reduced loss to follow-up (OR = 0.41). No significant effect on quality of life. Evidence quality was low to very low; further research needed.</w:t>
            </w:r>
          </w:p>
        </w:tc>
      </w:tr>
      <w:tr w:rsidR="002178D3" w:rsidRPr="00A73FD8" w14:paraId="49A6C564"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8801D0C"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Lopez et al. (2024)</w:t>
            </w:r>
          </w:p>
          <w:p w14:paraId="75E73B7C" w14:textId="77777777" w:rsidR="002178D3" w:rsidRPr="00A73FD8" w:rsidRDefault="002178D3" w:rsidP="00F527FB">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16DF3FD9" w14:textId="3BE86AE1"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0DA12427" w14:textId="6C32863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79F4A81B" w14:textId="5FD13759"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describe social, demographic, and clinical factors associated with successful transition of care in adolescents with CHD at a tertiary urban center.</w:t>
            </w:r>
          </w:p>
        </w:tc>
        <w:tc>
          <w:tcPr>
            <w:tcW w:w="1683" w:type="dxa"/>
            <w:noWrap/>
          </w:tcPr>
          <w:p w14:paraId="39E22000" w14:textId="60CF83E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w:t>
            </w:r>
            <w:r w:rsidRPr="00A73FD8">
              <w:rPr>
                <w:rFonts w:ascii="Times New Roman" w:eastAsia="Times New Roman" w:hAnsi="Times New Roman" w:cs="Times New Roman"/>
                <w:color w:val="000000"/>
                <w:kern w:val="0"/>
                <w:lang w:val="en-US" w:eastAsia="it-IT"/>
                <w14:ligatures w14:val="none"/>
              </w:rPr>
              <w:t>etrospective, single-center cohort study (chart review 2015–2021)</w:t>
            </w:r>
          </w:p>
        </w:tc>
        <w:tc>
          <w:tcPr>
            <w:tcW w:w="2099" w:type="dxa"/>
            <w:noWrap/>
          </w:tcPr>
          <w:p w14:paraId="32F27425" w14:textId="394FB25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322 patients aged ≥15 seen in pediatric cardiology (2013–2014); 49% transitioned, 22% continued in pediatric care, 29% lost to follow-up</w:t>
            </w:r>
          </w:p>
        </w:tc>
        <w:tc>
          <w:tcPr>
            <w:tcW w:w="2039" w:type="dxa"/>
            <w:noWrap/>
          </w:tcPr>
          <w:p w14:paraId="1A5E889C" w14:textId="022C4035"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Transition success defined as at least one adult CHD/cardiology visit. Predictors analyzed: CHD severity, insurance, defibrillator presence, visit frequency, meds. No structured transition program was in place.</w:t>
            </w:r>
          </w:p>
        </w:tc>
        <w:tc>
          <w:tcPr>
            <w:tcW w:w="3842" w:type="dxa"/>
            <w:noWrap/>
          </w:tcPr>
          <w:p w14:paraId="37AB81FE" w14:textId="6245BA77"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Successful transition associated with more complex CHD (p=0.0002), insurance coverage (p&lt;.0001), presence of defibrillator (p=0.0028), frequent pediatric visits (p=0.0005), and more medications. Patients with simple CHD and no insurance were more likely to be lost to follow-up. Calls for formal, structured transition programs.</w:t>
            </w:r>
          </w:p>
        </w:tc>
      </w:tr>
      <w:tr w:rsidR="002178D3" w:rsidRPr="00A73FD8" w14:paraId="44814D97"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661C4A18"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Mackie et al. (2014)</w:t>
            </w:r>
          </w:p>
          <w:p w14:paraId="665355C1" w14:textId="77777777" w:rsidR="002178D3" w:rsidRPr="00A73FD8" w:rsidRDefault="002178D3" w:rsidP="00B6780B">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0216C82A" w14:textId="7B363B68"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3F099281" w14:textId="55590CE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Canada</w:t>
            </w:r>
          </w:p>
        </w:tc>
        <w:tc>
          <w:tcPr>
            <w:tcW w:w="2625" w:type="dxa"/>
            <w:noWrap/>
          </w:tcPr>
          <w:p w14:paraId="6D462EE3" w14:textId="73DAD89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impact of a 1-hour nurse-led transition intervention on self-management, self-advocacy, and cardiac knowledge in adolescents with moderate or complex CHD or cardiomyopathy.</w:t>
            </w:r>
          </w:p>
        </w:tc>
        <w:tc>
          <w:tcPr>
            <w:tcW w:w="1683" w:type="dxa"/>
            <w:noWrap/>
          </w:tcPr>
          <w:p w14:paraId="3881AB02" w14:textId="194EF8E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Clinical trial with systematic allocation (by clinic week)</w:t>
            </w:r>
          </w:p>
        </w:tc>
        <w:tc>
          <w:tcPr>
            <w:tcW w:w="2099" w:type="dxa"/>
            <w:noWrap/>
          </w:tcPr>
          <w:p w14:paraId="618A3EF8" w14:textId="296CD9AF"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58 adolescents aged 15–17 years (27 intervention, 31 control); most had moderate/complex CHD</w:t>
            </w:r>
          </w:p>
        </w:tc>
        <w:tc>
          <w:tcPr>
            <w:tcW w:w="2039" w:type="dxa"/>
            <w:noWrap/>
          </w:tcPr>
          <w:p w14:paraId="0F9EA8BB" w14:textId="3CB2980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One-time, 1-hour individualized nurse-led session including CHD education, </w:t>
            </w:r>
            <w:proofErr w:type="spellStart"/>
            <w:r w:rsidRPr="00A73FD8">
              <w:rPr>
                <w:rFonts w:ascii="Times New Roman" w:eastAsia="Times New Roman" w:hAnsi="Times New Roman" w:cs="Times New Roman"/>
                <w:color w:val="000000"/>
                <w:kern w:val="0"/>
                <w:lang w:val="en-US" w:eastAsia="it-IT"/>
                <w14:ligatures w14:val="none"/>
              </w:rPr>
              <w:t>MyHealth</w:t>
            </w:r>
            <w:proofErr w:type="spellEnd"/>
            <w:r w:rsidRPr="00A73FD8">
              <w:rPr>
                <w:rFonts w:ascii="Times New Roman" w:eastAsia="Times New Roman" w:hAnsi="Times New Roman" w:cs="Times New Roman"/>
                <w:color w:val="000000"/>
                <w:kern w:val="0"/>
                <w:lang w:val="en-US" w:eastAsia="it-IT"/>
                <w14:ligatures w14:val="none"/>
              </w:rPr>
              <w:t xml:space="preserve"> Passport creation, discussion of complications, and lifestyle topics. TRAQ and </w:t>
            </w:r>
            <w:proofErr w:type="spellStart"/>
            <w:r w:rsidRPr="00A73FD8">
              <w:rPr>
                <w:rFonts w:ascii="Times New Roman" w:eastAsia="Times New Roman" w:hAnsi="Times New Roman" w:cs="Times New Roman"/>
                <w:color w:val="000000"/>
                <w:kern w:val="0"/>
                <w:lang w:val="en-US" w:eastAsia="it-IT"/>
                <w14:ligatures w14:val="none"/>
              </w:rPr>
              <w:t>MyHeart</w:t>
            </w:r>
            <w:proofErr w:type="spellEnd"/>
            <w:r w:rsidRPr="00A73FD8">
              <w:rPr>
                <w:rFonts w:ascii="Times New Roman" w:eastAsia="Times New Roman" w:hAnsi="Times New Roman" w:cs="Times New Roman"/>
                <w:color w:val="000000"/>
                <w:kern w:val="0"/>
                <w:lang w:val="en-US" w:eastAsia="it-IT"/>
                <w14:ligatures w14:val="none"/>
              </w:rPr>
              <w:t xml:space="preserve"> scores assessed at baseline, 1 and 6 months.</w:t>
            </w:r>
          </w:p>
        </w:tc>
        <w:tc>
          <w:tcPr>
            <w:tcW w:w="3842" w:type="dxa"/>
            <w:noWrap/>
          </w:tcPr>
          <w:p w14:paraId="54BBD258" w14:textId="4F1A8A76"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At 6 months, the intervention group had significantly higher self-management (TRAQ: 3.59 vs. 3.16, p = .048) and CHD knowledge scores (</w:t>
            </w:r>
            <w:proofErr w:type="spellStart"/>
            <w:r w:rsidRPr="00A73FD8">
              <w:rPr>
                <w:rFonts w:ascii="Times New Roman" w:eastAsia="Times New Roman" w:hAnsi="Times New Roman" w:cs="Times New Roman"/>
                <w:color w:val="000000"/>
                <w:kern w:val="0"/>
                <w:lang w:val="en-US" w:eastAsia="it-IT"/>
                <w14:ligatures w14:val="none"/>
              </w:rPr>
              <w:t>MyHeart</w:t>
            </w:r>
            <w:proofErr w:type="spellEnd"/>
            <w:r w:rsidRPr="00A73FD8">
              <w:rPr>
                <w:rFonts w:ascii="Times New Roman" w:eastAsia="Times New Roman" w:hAnsi="Times New Roman" w:cs="Times New Roman"/>
                <w:color w:val="000000"/>
                <w:kern w:val="0"/>
                <w:lang w:val="en-US" w:eastAsia="it-IT"/>
                <w14:ligatures w14:val="none"/>
              </w:rPr>
              <w:t>: 75% vs. 61%, p = .019) than controls. Suggests brief, structured education improves transition readiness and disease understanding.</w:t>
            </w:r>
          </w:p>
        </w:tc>
      </w:tr>
      <w:tr w:rsidR="002178D3" w:rsidRPr="00A73FD8" w14:paraId="25F2D770"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EA60DAD"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Moons et al. (2008)</w:t>
            </w:r>
          </w:p>
          <w:p w14:paraId="43679A36" w14:textId="77777777" w:rsidR="002178D3" w:rsidRPr="00A73FD8" w:rsidRDefault="002178D3" w:rsidP="00076A3B">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6BDBD879" w14:textId="3293648C"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6C0C95D0" w14:textId="155F2A26"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Belgium</w:t>
            </w:r>
          </w:p>
        </w:tc>
        <w:tc>
          <w:tcPr>
            <w:tcW w:w="2625" w:type="dxa"/>
            <w:noWrap/>
          </w:tcPr>
          <w:p w14:paraId="39DC3025" w14:textId="0648936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discuss the scope and consequences of loss to follow-up in CHD patients and to argue for </w:t>
            </w:r>
            <w:r w:rsidRPr="00A73FD8">
              <w:rPr>
                <w:rFonts w:ascii="Times New Roman" w:eastAsia="Times New Roman" w:hAnsi="Times New Roman" w:cs="Times New Roman"/>
                <w:color w:val="000000"/>
                <w:kern w:val="0"/>
                <w:lang w:val="en-US" w:eastAsia="it-IT"/>
                <w14:ligatures w14:val="none"/>
              </w:rPr>
              <w:t xml:space="preserve">the </w:t>
            </w:r>
            <w:r w:rsidRPr="00A73FD8">
              <w:rPr>
                <w:rFonts w:ascii="Times New Roman" w:eastAsia="Times New Roman" w:hAnsi="Times New Roman" w:cs="Times New Roman"/>
                <w:color w:val="000000"/>
                <w:kern w:val="0"/>
                <w:lang w:val="en-US" w:eastAsia="it-IT"/>
                <w14:ligatures w14:val="none"/>
              </w:rPr>
              <w:t xml:space="preserve">implementation of </w:t>
            </w:r>
            <w:r w:rsidRPr="00A73FD8">
              <w:rPr>
                <w:rFonts w:ascii="Times New Roman" w:eastAsia="Times New Roman" w:hAnsi="Times New Roman" w:cs="Times New Roman"/>
                <w:color w:val="000000"/>
                <w:kern w:val="0"/>
                <w:lang w:val="en-US" w:eastAsia="it-IT"/>
                <w14:ligatures w14:val="none"/>
              </w:rPr>
              <w:lastRenderedPageBreak/>
              <w:t>transition programs to prevent it.</w:t>
            </w:r>
          </w:p>
        </w:tc>
        <w:tc>
          <w:tcPr>
            <w:tcW w:w="1683" w:type="dxa"/>
            <w:noWrap/>
          </w:tcPr>
          <w:p w14:paraId="4F2FBE5A" w14:textId="7D20176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Narrative review and expert commentary with supporting </w:t>
            </w:r>
            <w:r w:rsidRPr="00A73FD8">
              <w:rPr>
                <w:rFonts w:ascii="Times New Roman" w:eastAsia="Times New Roman" w:hAnsi="Times New Roman" w:cs="Times New Roman"/>
                <w:color w:val="000000"/>
                <w:kern w:val="0"/>
                <w:lang w:val="en-US" w:eastAsia="it-IT"/>
                <w14:ligatures w14:val="none"/>
              </w:rPr>
              <w:lastRenderedPageBreak/>
              <w:t>data from multiple studies</w:t>
            </w:r>
          </w:p>
        </w:tc>
        <w:tc>
          <w:tcPr>
            <w:tcW w:w="2099" w:type="dxa"/>
            <w:noWrap/>
          </w:tcPr>
          <w:p w14:paraId="75A66466" w14:textId="0D39DFCB"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Not applicable (references to studies from Germany, USA, Canada, Belgium)</w:t>
            </w:r>
          </w:p>
        </w:tc>
        <w:tc>
          <w:tcPr>
            <w:tcW w:w="2039" w:type="dxa"/>
            <w:noWrap/>
          </w:tcPr>
          <w:p w14:paraId="0B6697DE" w14:textId="0F3D705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Emphasizes the need for structured transition programs including education, navigation skills, </w:t>
            </w:r>
            <w:r w:rsidRPr="00A73FD8">
              <w:rPr>
                <w:rFonts w:ascii="Times New Roman" w:eastAsia="Times New Roman" w:hAnsi="Times New Roman" w:cs="Times New Roman"/>
                <w:color w:val="000000"/>
                <w:kern w:val="0"/>
                <w:lang w:val="en-US" w:eastAsia="it-IT"/>
                <w14:ligatures w14:val="none"/>
              </w:rPr>
              <w:lastRenderedPageBreak/>
              <w:t>early preparation, and timely transfer from pediatric to adult CHD care.</w:t>
            </w:r>
          </w:p>
        </w:tc>
        <w:tc>
          <w:tcPr>
            <w:tcW w:w="3842" w:type="dxa"/>
            <w:noWrap/>
          </w:tcPr>
          <w:p w14:paraId="79DCC808" w14:textId="55FA82F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50–75% of CHD patients are lost to follow-up, including those with complex lesions. Loss to care is linked to significant morbidity and increased risk for urgent interventions. Transition </w:t>
            </w:r>
            <w:r w:rsidRPr="00A73FD8">
              <w:rPr>
                <w:rFonts w:ascii="Times New Roman" w:eastAsia="Times New Roman" w:hAnsi="Times New Roman" w:cs="Times New Roman"/>
                <w:color w:val="000000"/>
                <w:kern w:val="0"/>
                <w:lang w:val="en-US" w:eastAsia="it-IT"/>
                <w14:ligatures w14:val="none"/>
              </w:rPr>
              <w:lastRenderedPageBreak/>
              <w:t>programs can prevent a new "lost generation" by ensuring continuity of care, especially through education and system navigation.</w:t>
            </w:r>
          </w:p>
        </w:tc>
      </w:tr>
      <w:tr w:rsidR="002178D3" w:rsidRPr="00A73FD8" w14:paraId="41586785"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562FC80"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lastRenderedPageBreak/>
              <w:t>Moons et al. (2009)</w:t>
            </w:r>
          </w:p>
          <w:p w14:paraId="517D9443" w14:textId="77777777" w:rsidR="002178D3" w:rsidRPr="00A73FD8" w:rsidRDefault="002178D3" w:rsidP="001E1FD8">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04488CC8" w14:textId="7C67617B"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6E4D8249" w14:textId="5DEDC91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Belgium</w:t>
            </w:r>
          </w:p>
        </w:tc>
        <w:tc>
          <w:tcPr>
            <w:tcW w:w="2625" w:type="dxa"/>
            <w:noWrap/>
          </w:tcPr>
          <w:p w14:paraId="2E8C1C1D" w14:textId="0B492CB1"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explore the expectations and experiences of adolescents with CHD regarding their transfer from pediatric cardiology to an adult congenital heart disease (ACHD) program.</w:t>
            </w:r>
          </w:p>
        </w:tc>
        <w:tc>
          <w:tcPr>
            <w:tcW w:w="1683" w:type="dxa"/>
            <w:noWrap/>
          </w:tcPr>
          <w:p w14:paraId="501F4619" w14:textId="0F72986A"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Qualitative, </w:t>
            </w:r>
            <w:proofErr w:type="spellStart"/>
            <w:r w:rsidRPr="00A73FD8">
              <w:rPr>
                <w:rFonts w:ascii="Times New Roman" w:eastAsia="Times New Roman" w:hAnsi="Times New Roman" w:cs="Times New Roman"/>
                <w:color w:val="000000"/>
                <w:kern w:val="0"/>
                <w:lang w:val="en-US" w:eastAsia="it-IT"/>
                <w14:ligatures w14:val="none"/>
              </w:rPr>
              <w:t>phenomenologic</w:t>
            </w:r>
            <w:proofErr w:type="spellEnd"/>
            <w:r w:rsidRPr="00A73FD8">
              <w:rPr>
                <w:rFonts w:ascii="Times New Roman" w:eastAsia="Times New Roman" w:hAnsi="Times New Roman" w:cs="Times New Roman"/>
                <w:color w:val="000000"/>
                <w:kern w:val="0"/>
                <w:lang w:val="en-US" w:eastAsia="it-IT"/>
                <w14:ligatures w14:val="none"/>
              </w:rPr>
              <w:t xml:space="preserve"> study using semi-structured interviews</w:t>
            </w:r>
          </w:p>
        </w:tc>
        <w:tc>
          <w:tcPr>
            <w:tcW w:w="2099" w:type="dxa"/>
            <w:noWrap/>
          </w:tcPr>
          <w:p w14:paraId="5AD10472" w14:textId="2FE8B62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14 adolescents aged 15–17 years with CHD (various severity), recently transferred or scheduled for transfer</w:t>
            </w:r>
          </w:p>
        </w:tc>
        <w:tc>
          <w:tcPr>
            <w:tcW w:w="2039" w:type="dxa"/>
            <w:noWrap/>
          </w:tcPr>
          <w:p w14:paraId="1FA481AD" w14:textId="1ED6E53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Transfer to ACHD program at age 16; no formal transition program; interviews explored attitudes toward transition, information needs, and shifting roles between adolescents and parents.</w:t>
            </w:r>
          </w:p>
        </w:tc>
        <w:tc>
          <w:tcPr>
            <w:tcW w:w="3842" w:type="dxa"/>
            <w:noWrap/>
          </w:tcPr>
          <w:p w14:paraId="050F91C8" w14:textId="3EC7C68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Six themes emerged: transition viewed as normal; loss of familiar environment; curiosity/positive attitude toward ACHD care; adjustment challenges; lack of information; evolving independence vs continued parental support. Highlights need for structured transition planning and adolescent-focused communication.</w:t>
            </w:r>
          </w:p>
        </w:tc>
      </w:tr>
      <w:tr w:rsidR="002178D3" w:rsidRPr="00A73FD8" w14:paraId="2B1225B6"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2EB8D234"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Moons et al. (2021)</w:t>
            </w:r>
          </w:p>
          <w:p w14:paraId="0364E13F" w14:textId="77777777" w:rsidR="002178D3" w:rsidRPr="00A73FD8" w:rsidRDefault="002178D3" w:rsidP="00F5486F">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D2E0D94" w14:textId="38DE84FC"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2ACBB046" w14:textId="35FDA17E"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International (multi-</w:t>
            </w:r>
            <w:proofErr w:type="spellStart"/>
            <w:r w:rsidRPr="00A73FD8">
              <w:rPr>
                <w:rFonts w:ascii="Times New Roman" w:hAnsi="Times New Roman" w:cs="Times New Roman"/>
              </w:rPr>
              <w:t>organization</w:t>
            </w:r>
            <w:proofErr w:type="spellEnd"/>
            <w:r w:rsidRPr="00A73FD8">
              <w:rPr>
                <w:rFonts w:ascii="Times New Roman" w:hAnsi="Times New Roman" w:cs="Times New Roman"/>
              </w:rPr>
              <w:t>)</w:t>
            </w:r>
          </w:p>
        </w:tc>
        <w:tc>
          <w:tcPr>
            <w:tcW w:w="2625" w:type="dxa"/>
            <w:noWrap/>
          </w:tcPr>
          <w:p w14:paraId="6336282C" w14:textId="0747BD5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provide global consensus recommendations on the transition and transfer of adolescents with CHD to adult care, tailored to different resource settings.</w:t>
            </w:r>
          </w:p>
        </w:tc>
        <w:tc>
          <w:tcPr>
            <w:tcW w:w="1683" w:type="dxa"/>
            <w:noWrap/>
          </w:tcPr>
          <w:p w14:paraId="2FB00969" w14:textId="17BC8BB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Expert consensus (position paper by international societies)</w:t>
            </w:r>
          </w:p>
        </w:tc>
        <w:tc>
          <w:tcPr>
            <w:tcW w:w="2099" w:type="dxa"/>
            <w:noWrap/>
          </w:tcPr>
          <w:p w14:paraId="0F65CA6D" w14:textId="3B0457B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 (review-based)</w:t>
            </w:r>
          </w:p>
        </w:tc>
        <w:tc>
          <w:tcPr>
            <w:tcW w:w="2039" w:type="dxa"/>
            <w:noWrap/>
          </w:tcPr>
          <w:p w14:paraId="4F1383CD" w14:textId="256E507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Recommends a structured, individualized transition process beginning at age 12, including assessment, education, peer support, empowerment, and eventual transfer to ACHD care. Advocates the transition coordinator model as preferred.</w:t>
            </w:r>
          </w:p>
        </w:tc>
        <w:tc>
          <w:tcPr>
            <w:tcW w:w="3842" w:type="dxa"/>
            <w:noWrap/>
          </w:tcPr>
          <w:p w14:paraId="3AB41EE6" w14:textId="630B1A7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Emphasizes lifelong follow-up, prevention of care gaps, and patient empowerment. Highlights different models for transition (e.g., coordinator, joint clinic) and outlines key steps from pre-transition to post-transfer. Recognizes variability in global resources but advocates for transition planning in all settings.</w:t>
            </w:r>
          </w:p>
        </w:tc>
      </w:tr>
      <w:tr w:rsidR="002178D3" w:rsidRPr="00A73FD8" w14:paraId="5D7578D2"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2C712CCD"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t>Moons et al. (2023)</w:t>
            </w:r>
          </w:p>
          <w:p w14:paraId="0CD07CA2" w14:textId="77777777" w:rsidR="002178D3" w:rsidRPr="00A73FD8" w:rsidRDefault="002178D3" w:rsidP="00302E6E">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E78FDFB" w14:textId="0E600764"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42B448CC" w14:textId="14572B54"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Belgium</w:t>
            </w:r>
          </w:p>
        </w:tc>
        <w:tc>
          <w:tcPr>
            <w:tcW w:w="2625" w:type="dxa"/>
            <w:noWrap/>
          </w:tcPr>
          <w:p w14:paraId="19597FF2" w14:textId="209299DF"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advocate for empowerment as a key outcome of transition programs in adolescents with CHD and to discuss methodologies for </w:t>
            </w:r>
            <w:r w:rsidRPr="00A73FD8">
              <w:rPr>
                <w:rFonts w:ascii="Times New Roman" w:eastAsia="Times New Roman" w:hAnsi="Times New Roman" w:cs="Times New Roman"/>
                <w:color w:val="000000"/>
                <w:kern w:val="0"/>
                <w:lang w:val="en-US" w:eastAsia="it-IT"/>
                <w14:ligatures w14:val="none"/>
              </w:rPr>
              <w:lastRenderedPageBreak/>
              <w:t>designing effective interventions.</w:t>
            </w:r>
          </w:p>
        </w:tc>
        <w:tc>
          <w:tcPr>
            <w:tcW w:w="1683" w:type="dxa"/>
            <w:noWrap/>
          </w:tcPr>
          <w:p w14:paraId="198E257B" w14:textId="686BA8D7"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Expert editorial commentary based on evidence synthesis</w:t>
            </w:r>
          </w:p>
        </w:tc>
        <w:tc>
          <w:tcPr>
            <w:tcW w:w="2099" w:type="dxa"/>
            <w:noWrap/>
          </w:tcPr>
          <w:p w14:paraId="7D40ACDB" w14:textId="4E10460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35345135" w14:textId="43DEB81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Emphasizes structured, individualized transition programs incorporating education, support, empowerment, and </w:t>
            </w:r>
            <w:r w:rsidRPr="00A73FD8">
              <w:rPr>
                <w:rFonts w:ascii="Times New Roman" w:eastAsia="Times New Roman" w:hAnsi="Times New Roman" w:cs="Times New Roman"/>
                <w:color w:val="000000"/>
                <w:kern w:val="0"/>
                <w:lang w:val="en-US" w:eastAsia="it-IT"/>
                <w14:ligatures w14:val="none"/>
              </w:rPr>
              <w:lastRenderedPageBreak/>
              <w:t>co-design with patients and families. Highlights the STEPSTONES program and intervention mapping as model approaches.</w:t>
            </w:r>
          </w:p>
        </w:tc>
        <w:tc>
          <w:tcPr>
            <w:tcW w:w="3842" w:type="dxa"/>
            <w:noWrap/>
          </w:tcPr>
          <w:p w14:paraId="331C3DA4" w14:textId="58E1FFB4"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Empowerment is a practical and impactful outcome of transition care, influencing QoL and health behaviors. Co-designed programs</w:t>
            </w:r>
            <w:r w:rsidRPr="00A73FD8">
              <w:rPr>
                <w:rFonts w:ascii="Times New Roman" w:eastAsia="Times New Roman" w:hAnsi="Times New Roman" w:cs="Times New Roman"/>
                <w:color w:val="000000"/>
                <w:kern w:val="0"/>
                <w:lang w:val="en-US" w:eastAsia="it-IT"/>
                <w14:ligatures w14:val="none"/>
              </w:rPr>
              <w:t xml:space="preserve">, including peer support, tailored education, and involvement of nurses and social </w:t>
            </w:r>
            <w:r w:rsidRPr="00A73FD8">
              <w:rPr>
                <w:rFonts w:ascii="Times New Roman" w:eastAsia="Times New Roman" w:hAnsi="Times New Roman" w:cs="Times New Roman"/>
                <w:color w:val="000000"/>
                <w:kern w:val="0"/>
                <w:lang w:val="en-US" w:eastAsia="it-IT"/>
                <w14:ligatures w14:val="none"/>
              </w:rPr>
              <w:lastRenderedPageBreak/>
              <w:t>workers,</w:t>
            </w:r>
            <w:r w:rsidRPr="00A73FD8">
              <w:rPr>
                <w:rFonts w:ascii="Times New Roman" w:eastAsia="Times New Roman" w:hAnsi="Times New Roman" w:cs="Times New Roman"/>
                <w:color w:val="000000"/>
                <w:kern w:val="0"/>
                <w:lang w:val="en-US" w:eastAsia="it-IT"/>
                <w14:ligatures w14:val="none"/>
              </w:rPr>
              <w:t xml:space="preserve"> can enhance self-management and patient engagement in CHD care.</w:t>
            </w:r>
          </w:p>
        </w:tc>
      </w:tr>
      <w:tr w:rsidR="002178D3" w:rsidRPr="00A73FD8" w14:paraId="6AF7FE2E"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7085C22"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lastRenderedPageBreak/>
              <w:t>Moons et al. (2025)</w:t>
            </w:r>
          </w:p>
          <w:p w14:paraId="26C34C49" w14:textId="77777777" w:rsidR="002178D3" w:rsidRPr="00A73FD8" w:rsidRDefault="002178D3" w:rsidP="0037179E">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1644313" w14:textId="30789FCE"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6E6E03BF" w14:textId="42990D1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Belgium</w:t>
            </w:r>
            <w:proofErr w:type="spellEnd"/>
            <w:r w:rsidRPr="00A73FD8">
              <w:rPr>
                <w:rFonts w:ascii="Times New Roman" w:hAnsi="Times New Roman" w:cs="Times New Roman"/>
              </w:rPr>
              <w:t xml:space="preserve"> </w:t>
            </w:r>
          </w:p>
        </w:tc>
        <w:tc>
          <w:tcPr>
            <w:tcW w:w="2625" w:type="dxa"/>
            <w:noWrap/>
          </w:tcPr>
          <w:p w14:paraId="0D929A0B" w14:textId="58E8093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synthesize current evidence on transitional care for adolescents with CHD and argue for its formal recommendation as Class I, Level A.</w:t>
            </w:r>
          </w:p>
        </w:tc>
        <w:tc>
          <w:tcPr>
            <w:tcW w:w="1683" w:type="dxa"/>
            <w:noWrap/>
          </w:tcPr>
          <w:p w14:paraId="4C2C61F3" w14:textId="5A7B0B5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Expert commentary based on multiple RCTs and consensus guidelines</w:t>
            </w:r>
          </w:p>
        </w:tc>
        <w:tc>
          <w:tcPr>
            <w:tcW w:w="2099" w:type="dxa"/>
            <w:noWrap/>
          </w:tcPr>
          <w:p w14:paraId="5DB68BD4" w14:textId="20DD55E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3F1F3B14" w14:textId="56A7A6E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Reviews structured transition programs (e.g., CHAPTER and STEPSTONES) with nurse-led education, empowerment focus, and support components across adolescence.</w:t>
            </w:r>
          </w:p>
        </w:tc>
        <w:tc>
          <w:tcPr>
            <w:tcW w:w="3842" w:type="dxa"/>
            <w:noWrap/>
          </w:tcPr>
          <w:p w14:paraId="2C2A39CB" w14:textId="646ED62E"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Two recent RCTs (STEPSTONES in Sweden, TRANSITION-CHD in France) demonstrate improvements in empowerment, CHD knowledge, </w:t>
            </w:r>
            <w:proofErr w:type="spellStart"/>
            <w:r w:rsidRPr="00A73FD8">
              <w:rPr>
                <w:rFonts w:ascii="Times New Roman" w:eastAsia="Times New Roman" w:hAnsi="Times New Roman" w:cs="Times New Roman"/>
                <w:color w:val="000000"/>
                <w:kern w:val="0"/>
                <w:lang w:val="en-US" w:eastAsia="it-IT"/>
                <w14:ligatures w14:val="none"/>
              </w:rPr>
              <w:t>HRQoL</w:t>
            </w:r>
            <w:proofErr w:type="spellEnd"/>
            <w:r w:rsidRPr="00A73FD8">
              <w:rPr>
                <w:rFonts w:ascii="Times New Roman" w:eastAsia="Times New Roman" w:hAnsi="Times New Roman" w:cs="Times New Roman"/>
                <w:color w:val="000000"/>
                <w:kern w:val="0"/>
                <w:lang w:val="en-US" w:eastAsia="it-IT"/>
                <w14:ligatures w14:val="none"/>
              </w:rPr>
              <w:t>, and reduced care gaps. Based on this, transition programs now qualify as Class I, Level A recommendation in CHD care.</w:t>
            </w:r>
          </w:p>
        </w:tc>
      </w:tr>
      <w:tr w:rsidR="002178D3" w:rsidRPr="00A73FD8" w14:paraId="589D023C"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30BEB6C2"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Murphy &amp; Foster (2005)</w:t>
            </w:r>
          </w:p>
          <w:p w14:paraId="1F760932" w14:textId="77777777" w:rsidR="002178D3" w:rsidRPr="00A73FD8" w:rsidRDefault="002178D3" w:rsidP="007A14F3">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77A6E58C" w14:textId="600A42F5"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58C11A01" w14:textId="0D7C157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030F72CE" w14:textId="711B8B8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provide training guidelines for pediatric cardiologists on </w:t>
            </w:r>
            <w:r w:rsidRPr="00A73FD8">
              <w:rPr>
                <w:rFonts w:ascii="Times New Roman" w:eastAsia="Times New Roman" w:hAnsi="Times New Roman" w:cs="Times New Roman"/>
                <w:color w:val="000000"/>
                <w:kern w:val="0"/>
                <w:lang w:val="en-US" w:eastAsia="it-IT"/>
                <w14:ligatures w14:val="none"/>
              </w:rPr>
              <w:t xml:space="preserve">the </w:t>
            </w:r>
            <w:r w:rsidRPr="00A73FD8">
              <w:rPr>
                <w:rFonts w:ascii="Times New Roman" w:eastAsia="Times New Roman" w:hAnsi="Times New Roman" w:cs="Times New Roman"/>
                <w:color w:val="000000"/>
                <w:kern w:val="0"/>
                <w:lang w:val="en-US" w:eastAsia="it-IT"/>
                <w14:ligatures w14:val="none"/>
              </w:rPr>
              <w:t>transition of care and management of adults with CHD.</w:t>
            </w:r>
          </w:p>
        </w:tc>
        <w:tc>
          <w:tcPr>
            <w:tcW w:w="1683" w:type="dxa"/>
            <w:noWrap/>
          </w:tcPr>
          <w:p w14:paraId="02B40588" w14:textId="3EDD969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Expert consensus (Bethesda Conference Task Force 6)</w:t>
            </w:r>
          </w:p>
        </w:tc>
        <w:tc>
          <w:tcPr>
            <w:tcW w:w="2099" w:type="dxa"/>
            <w:noWrap/>
          </w:tcPr>
          <w:p w14:paraId="4F44EAD4" w14:textId="0712BE80"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21F1AF3D" w14:textId="3B219651"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Emphasizes structured training at three levels (core to advanced) for pediatric cardiologists. Recommends preparing adolescents for transition, understanding adult CHD outcomes, and promoting liaison between pediatric and ACHD services.</w:t>
            </w:r>
          </w:p>
        </w:tc>
        <w:tc>
          <w:tcPr>
            <w:tcW w:w="3842" w:type="dxa"/>
            <w:noWrap/>
          </w:tcPr>
          <w:p w14:paraId="4FDC7C65" w14:textId="62C87F1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Highlights the need for transition preparation, inclusion of adolescent and adult health issues in pediatric training, and collaboration between pediatric and adult cardiologists. Supports specialized training to improve continuity and quality of CHD care during transition to adulthood.</w:t>
            </w:r>
          </w:p>
        </w:tc>
      </w:tr>
      <w:tr w:rsidR="002178D3" w:rsidRPr="00A73FD8" w14:paraId="77952738"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D67C0CF" w14:textId="77777777" w:rsidR="002178D3" w:rsidRPr="00A73FD8" w:rsidRDefault="002178D3" w:rsidP="002A5309">
            <w:pPr>
              <w:jc w:val="center"/>
              <w:rPr>
                <w:rFonts w:ascii="Times New Roman" w:hAnsi="Times New Roman" w:cs="Times New Roman"/>
                <w:b w:val="0"/>
                <w:bCs w:val="0"/>
                <w:color w:val="000000"/>
                <w:lang w:val="en-US"/>
              </w:rPr>
            </w:pPr>
            <w:proofErr w:type="spellStart"/>
            <w:r w:rsidRPr="00A73FD8">
              <w:rPr>
                <w:rFonts w:ascii="Times New Roman" w:hAnsi="Times New Roman" w:cs="Times New Roman"/>
                <w:b w:val="0"/>
                <w:bCs w:val="0"/>
                <w:color w:val="000000"/>
                <w:lang w:val="en-US"/>
              </w:rPr>
              <w:t>Nicolarsen</w:t>
            </w:r>
            <w:proofErr w:type="spellEnd"/>
            <w:r w:rsidRPr="00A73FD8">
              <w:rPr>
                <w:rFonts w:ascii="Times New Roman" w:hAnsi="Times New Roman" w:cs="Times New Roman"/>
                <w:b w:val="0"/>
                <w:bCs w:val="0"/>
                <w:color w:val="000000"/>
                <w:lang w:val="en-US"/>
              </w:rPr>
              <w:t xml:space="preserve"> (2017)</w:t>
            </w:r>
          </w:p>
          <w:p w14:paraId="205C9EAA" w14:textId="77777777" w:rsidR="002178D3" w:rsidRPr="00A73FD8" w:rsidRDefault="002178D3" w:rsidP="00957652">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2EC9E8D7" w14:textId="132433D3"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12F6553A" w14:textId="41F76E80"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0F3052BD" w14:textId="79B820A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review challenges, progress, and future directions in the transition of adolescents and young </w:t>
            </w:r>
            <w:r w:rsidRPr="00A73FD8">
              <w:rPr>
                <w:rFonts w:ascii="Times New Roman" w:eastAsia="Times New Roman" w:hAnsi="Times New Roman" w:cs="Times New Roman"/>
                <w:color w:val="000000"/>
                <w:kern w:val="0"/>
                <w:lang w:val="en-US" w:eastAsia="it-IT"/>
                <w14:ligatures w14:val="none"/>
              </w:rPr>
              <w:lastRenderedPageBreak/>
              <w:t>adults with congenital heart disease.</w:t>
            </w:r>
          </w:p>
        </w:tc>
        <w:tc>
          <w:tcPr>
            <w:tcW w:w="1683" w:type="dxa"/>
            <w:noWrap/>
          </w:tcPr>
          <w:p w14:paraId="4BE2C6C5" w14:textId="3C5BDB17"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Narrative review and expert opinion</w:t>
            </w:r>
          </w:p>
        </w:tc>
        <w:tc>
          <w:tcPr>
            <w:tcW w:w="2099" w:type="dxa"/>
            <w:noWrap/>
          </w:tcPr>
          <w:p w14:paraId="55F0508D" w14:textId="759CF8C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7F4F1B05" w14:textId="4F274D58"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Discusses differences between pediatric and adult care models; </w:t>
            </w:r>
            <w:r w:rsidRPr="00A73FD8">
              <w:rPr>
                <w:rFonts w:ascii="Times New Roman" w:eastAsia="Times New Roman" w:hAnsi="Times New Roman" w:cs="Times New Roman"/>
                <w:color w:val="000000"/>
                <w:kern w:val="0"/>
                <w:lang w:val="en-US" w:eastAsia="it-IT"/>
                <w14:ligatures w14:val="none"/>
              </w:rPr>
              <w:lastRenderedPageBreak/>
              <w:t>emphasizes the need for structured transition programs with assessment tools, education, psychosocial support, and communication between providers.</w:t>
            </w:r>
          </w:p>
        </w:tc>
        <w:tc>
          <w:tcPr>
            <w:tcW w:w="3842" w:type="dxa"/>
            <w:noWrap/>
          </w:tcPr>
          <w:p w14:paraId="18CC7AF1" w14:textId="6AA73A30"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Gaps in care are common (e.g., 42% had &gt;3 years without follow-up). Transition programs improve continuity, but lack outcome data. Barriers include </w:t>
            </w:r>
            <w:r w:rsidRPr="00A73FD8">
              <w:rPr>
                <w:rFonts w:ascii="Times New Roman" w:eastAsia="Times New Roman" w:hAnsi="Times New Roman" w:cs="Times New Roman"/>
                <w:color w:val="000000"/>
                <w:kern w:val="0"/>
                <w:lang w:val="en-US" w:eastAsia="it-IT"/>
                <w14:ligatures w14:val="none"/>
              </w:rPr>
              <w:lastRenderedPageBreak/>
              <w:t>cognitive/social issues, lack of provider awareness, and access to ACHD centers. Calls for early transition preparation, structured programs, and more trained specialists.</w:t>
            </w:r>
          </w:p>
        </w:tc>
      </w:tr>
      <w:tr w:rsidR="002178D3" w:rsidRPr="00A73FD8" w14:paraId="627DAB90"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8BD1D61" w14:textId="77777777" w:rsidR="002178D3" w:rsidRPr="00A73FD8" w:rsidRDefault="002178D3" w:rsidP="002A5309">
            <w:pPr>
              <w:jc w:val="center"/>
              <w:rPr>
                <w:rFonts w:ascii="Times New Roman" w:hAnsi="Times New Roman" w:cs="Times New Roman"/>
                <w:b w:val="0"/>
                <w:bCs w:val="0"/>
                <w:color w:val="000000"/>
                <w:lang w:val="en-US"/>
              </w:rPr>
            </w:pPr>
            <w:r w:rsidRPr="00A73FD8">
              <w:rPr>
                <w:rFonts w:ascii="Times New Roman" w:hAnsi="Times New Roman" w:cs="Times New Roman"/>
                <w:b w:val="0"/>
                <w:bCs w:val="0"/>
                <w:color w:val="000000"/>
                <w:lang w:val="en-US"/>
              </w:rPr>
              <w:lastRenderedPageBreak/>
              <w:t>Niwa (2015)</w:t>
            </w:r>
          </w:p>
          <w:p w14:paraId="1A1CF692" w14:textId="77777777" w:rsidR="002178D3" w:rsidRPr="00A73FD8" w:rsidRDefault="002178D3" w:rsidP="006A51EE">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9696266" w14:textId="1AD908AA"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1AF0ADD6" w14:textId="1E336BD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Japan</w:t>
            </w:r>
          </w:p>
        </w:tc>
        <w:tc>
          <w:tcPr>
            <w:tcW w:w="2625" w:type="dxa"/>
            <w:noWrap/>
          </w:tcPr>
          <w:p w14:paraId="1E49A8DC" w14:textId="1686208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provide an overview of issues and recommendations related to the transition of adolescents with congenital heart disease to adult care.</w:t>
            </w:r>
          </w:p>
        </w:tc>
        <w:tc>
          <w:tcPr>
            <w:tcW w:w="1683" w:type="dxa"/>
            <w:noWrap/>
          </w:tcPr>
          <w:p w14:paraId="0ADFC9A8" w14:textId="0D61D2A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4647DB51" w14:textId="473D4D9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4DB58F7C" w14:textId="55CF70AD"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Emphasizes structured, multidisciplinary transition programs that begin in early adolescence and continue into adulthood. Advocates for </w:t>
            </w:r>
            <w:r w:rsidRPr="00A73FD8">
              <w:rPr>
                <w:rFonts w:ascii="Times New Roman" w:eastAsia="Times New Roman" w:hAnsi="Times New Roman" w:cs="Times New Roman"/>
                <w:color w:val="000000"/>
                <w:kern w:val="0"/>
                <w:lang w:val="en-US" w:eastAsia="it-IT"/>
                <w14:ligatures w14:val="none"/>
              </w:rPr>
              <w:t xml:space="preserve">the </w:t>
            </w:r>
            <w:r w:rsidRPr="00A73FD8">
              <w:rPr>
                <w:rFonts w:ascii="Times New Roman" w:eastAsia="Times New Roman" w:hAnsi="Times New Roman" w:cs="Times New Roman"/>
                <w:color w:val="000000"/>
                <w:kern w:val="0"/>
                <w:lang w:val="en-US" w:eastAsia="it-IT"/>
                <w14:ligatures w14:val="none"/>
              </w:rPr>
              <w:t>involvement of ACHD specialists, nurses, and mental health professionals.</w:t>
            </w:r>
          </w:p>
        </w:tc>
        <w:tc>
          <w:tcPr>
            <w:tcW w:w="3842" w:type="dxa"/>
            <w:noWrap/>
          </w:tcPr>
          <w:p w14:paraId="494E78D0" w14:textId="15D63582"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Highlights challenges</w:t>
            </w:r>
            <w:r w:rsidRPr="00A73FD8">
              <w:rPr>
                <w:rFonts w:ascii="Times New Roman" w:hAnsi="Times New Roman" w:cs="Times New Roman"/>
                <w:lang w:val="en-US"/>
              </w:rPr>
              <w:t>,</w:t>
            </w:r>
            <w:r w:rsidRPr="00A73FD8">
              <w:rPr>
                <w:rFonts w:ascii="Times New Roman" w:hAnsi="Times New Roman" w:cs="Times New Roman"/>
                <w:lang w:val="en-US"/>
              </w:rPr>
              <w:t xml:space="preserve"> including patient non-compliance, cognitive deficits, and health system barriers. Recommends transition coordinators, educational strategies, and international collaboration to improve outcomes. Stresses that early, continuous, and patient-centered transition is essential to reduce morbidity and mortality.</w:t>
            </w:r>
          </w:p>
        </w:tc>
      </w:tr>
      <w:tr w:rsidR="002178D3" w:rsidRPr="00A73FD8" w14:paraId="71D54F99"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A67D00F" w14:textId="77777777" w:rsidR="002178D3" w:rsidRPr="00A73FD8" w:rsidRDefault="002178D3" w:rsidP="006277A1">
            <w:pPr>
              <w:jc w:val="center"/>
              <w:rPr>
                <w:rFonts w:ascii="Times New Roman" w:hAnsi="Times New Roman" w:cs="Times New Roman"/>
                <w:b w:val="0"/>
                <w:bCs w:val="0"/>
                <w:color w:val="000000"/>
                <w:lang w:val="fr-FR"/>
              </w:rPr>
            </w:pPr>
            <w:proofErr w:type="spellStart"/>
            <w:r w:rsidRPr="00A73FD8">
              <w:rPr>
                <w:rFonts w:ascii="Times New Roman" w:hAnsi="Times New Roman" w:cs="Times New Roman"/>
                <w:b w:val="0"/>
                <w:bCs w:val="0"/>
                <w:color w:val="000000"/>
                <w:lang w:val="fr-FR"/>
              </w:rPr>
              <w:t>Saarijärvi</w:t>
            </w:r>
            <w:proofErr w:type="spellEnd"/>
            <w:r w:rsidRPr="00A73FD8">
              <w:rPr>
                <w:rFonts w:ascii="Times New Roman" w:hAnsi="Times New Roman" w:cs="Times New Roman"/>
                <w:b w:val="0"/>
                <w:bCs w:val="0"/>
                <w:color w:val="000000"/>
                <w:lang w:val="fr-FR"/>
              </w:rPr>
              <w:t xml:space="preserve"> et al. (2021)</w:t>
            </w:r>
          </w:p>
          <w:p w14:paraId="5BA5A850" w14:textId="77777777" w:rsidR="002178D3" w:rsidRPr="00A73FD8" w:rsidRDefault="002178D3" w:rsidP="006277A1">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3D6923BE" w14:textId="190E56C4"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058D0A3E" w14:textId="4A6D5535"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Sweden</w:t>
            </w:r>
          </w:p>
        </w:tc>
        <w:tc>
          <w:tcPr>
            <w:tcW w:w="2625" w:type="dxa"/>
            <w:noWrap/>
          </w:tcPr>
          <w:p w14:paraId="0ECE9450" w14:textId="53B3957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explore adolescents' and parents' experiences of participating in the STEPSTONES person-</w:t>
            </w:r>
            <w:proofErr w:type="spellStart"/>
            <w:r w:rsidRPr="00A73FD8">
              <w:rPr>
                <w:rFonts w:ascii="Times New Roman" w:eastAsia="Times New Roman" w:hAnsi="Times New Roman" w:cs="Times New Roman"/>
                <w:color w:val="000000"/>
                <w:kern w:val="0"/>
                <w:lang w:val="en-US" w:eastAsia="it-IT"/>
                <w14:ligatures w14:val="none"/>
              </w:rPr>
              <w:t>centred</w:t>
            </w:r>
            <w:proofErr w:type="spellEnd"/>
            <w:r w:rsidRPr="00A73FD8">
              <w:rPr>
                <w:rFonts w:ascii="Times New Roman" w:eastAsia="Times New Roman" w:hAnsi="Times New Roman" w:cs="Times New Roman"/>
                <w:color w:val="000000"/>
                <w:kern w:val="0"/>
                <w:lang w:val="en-US" w:eastAsia="it-IT"/>
                <w14:ligatures w14:val="none"/>
              </w:rPr>
              <w:t xml:space="preserve"> transition </w:t>
            </w:r>
            <w:proofErr w:type="spellStart"/>
            <w:r w:rsidRPr="00A73FD8">
              <w:rPr>
                <w:rFonts w:ascii="Times New Roman" w:eastAsia="Times New Roman" w:hAnsi="Times New Roman" w:cs="Times New Roman"/>
                <w:color w:val="000000"/>
                <w:kern w:val="0"/>
                <w:lang w:val="en-US" w:eastAsia="it-IT"/>
                <w14:ligatures w14:val="none"/>
              </w:rPr>
              <w:t>programme</w:t>
            </w:r>
            <w:proofErr w:type="spellEnd"/>
            <w:r w:rsidRPr="00A73FD8">
              <w:rPr>
                <w:rFonts w:ascii="Times New Roman" w:eastAsia="Times New Roman" w:hAnsi="Times New Roman" w:cs="Times New Roman"/>
                <w:color w:val="000000"/>
                <w:kern w:val="0"/>
                <w:lang w:val="en-US" w:eastAsia="it-IT"/>
                <w14:ligatures w14:val="none"/>
              </w:rPr>
              <w:t xml:space="preserve"> and identify mechanisms of impact leading to empowerment.</w:t>
            </w:r>
          </w:p>
        </w:tc>
        <w:tc>
          <w:tcPr>
            <w:tcW w:w="1683" w:type="dxa"/>
            <w:noWrap/>
          </w:tcPr>
          <w:p w14:paraId="261C85D9" w14:textId="4DB9D9F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Qualitative study embedded in an RCT (process evaluation)</w:t>
            </w:r>
          </w:p>
        </w:tc>
        <w:tc>
          <w:tcPr>
            <w:tcW w:w="2099" w:type="dxa"/>
            <w:noWrap/>
          </w:tcPr>
          <w:p w14:paraId="2F47A5EF" w14:textId="2624AE00"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14 adolescents and 12 parents from the intervention group of the STEPSTONES trial</w:t>
            </w:r>
          </w:p>
        </w:tc>
        <w:tc>
          <w:tcPr>
            <w:tcW w:w="2039" w:type="dxa"/>
            <w:noWrap/>
          </w:tcPr>
          <w:p w14:paraId="6AB57BF7" w14:textId="5F5FCB92"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eastAsia="Times New Roman" w:hAnsi="Times New Roman" w:cs="Times New Roman"/>
                <w:color w:val="000000"/>
                <w:kern w:val="0"/>
                <w:lang w:val="en-US" w:eastAsia="it-IT"/>
                <w14:ligatures w14:val="none"/>
              </w:rPr>
              <w:t>Programme</w:t>
            </w:r>
            <w:proofErr w:type="spellEnd"/>
            <w:r w:rsidRPr="00A73FD8">
              <w:rPr>
                <w:rFonts w:ascii="Times New Roman" w:eastAsia="Times New Roman" w:hAnsi="Times New Roman" w:cs="Times New Roman"/>
                <w:color w:val="000000"/>
                <w:kern w:val="0"/>
                <w:lang w:val="en-US" w:eastAsia="it-IT"/>
                <w14:ligatures w14:val="none"/>
              </w:rPr>
              <w:t xml:space="preserve"> included a transition coordinator, goal setting, CHD education, written plan, peer support, and contact with adult care over 2.5 years. Person-</w:t>
            </w:r>
            <w:proofErr w:type="spellStart"/>
            <w:r w:rsidRPr="00A73FD8">
              <w:rPr>
                <w:rFonts w:ascii="Times New Roman" w:eastAsia="Times New Roman" w:hAnsi="Times New Roman" w:cs="Times New Roman"/>
                <w:color w:val="000000"/>
                <w:kern w:val="0"/>
                <w:lang w:val="en-US" w:eastAsia="it-IT"/>
                <w14:ligatures w14:val="none"/>
              </w:rPr>
              <w:t>centred</w:t>
            </w:r>
            <w:proofErr w:type="spellEnd"/>
            <w:r w:rsidRPr="00A73FD8">
              <w:rPr>
                <w:rFonts w:ascii="Times New Roman" w:eastAsia="Times New Roman" w:hAnsi="Times New Roman" w:cs="Times New Roman"/>
                <w:color w:val="000000"/>
                <w:kern w:val="0"/>
                <w:lang w:val="en-US" w:eastAsia="it-IT"/>
                <w14:ligatures w14:val="none"/>
              </w:rPr>
              <w:t xml:space="preserve"> approach with emphasis on empowerment.</w:t>
            </w:r>
          </w:p>
        </w:tc>
        <w:tc>
          <w:tcPr>
            <w:tcW w:w="3842" w:type="dxa"/>
            <w:noWrap/>
          </w:tcPr>
          <w:p w14:paraId="4F61B122" w14:textId="0D536A0B"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Participants reported increased empowerment through safe and personalized support, improved CHD knowledge, communication skills, and readiness for transfer. Key mechanisms: continuity, confidentiality, peer support, and tailored education. Some parents felt insufficiently involved. Findings support implementation of structured, multi-component transition </w:t>
            </w:r>
            <w:proofErr w:type="spellStart"/>
            <w:r w:rsidRPr="00A73FD8">
              <w:rPr>
                <w:rFonts w:ascii="Times New Roman" w:eastAsia="Times New Roman" w:hAnsi="Times New Roman" w:cs="Times New Roman"/>
                <w:color w:val="000000"/>
                <w:kern w:val="0"/>
                <w:lang w:val="en-US" w:eastAsia="it-IT"/>
                <w14:ligatures w14:val="none"/>
              </w:rPr>
              <w:t>programmes</w:t>
            </w:r>
            <w:proofErr w:type="spellEnd"/>
            <w:r w:rsidRPr="00A73FD8">
              <w:rPr>
                <w:rFonts w:ascii="Times New Roman" w:eastAsia="Times New Roman" w:hAnsi="Times New Roman" w:cs="Times New Roman"/>
                <w:color w:val="000000"/>
                <w:kern w:val="0"/>
                <w:lang w:val="en-US" w:eastAsia="it-IT"/>
                <w14:ligatures w14:val="none"/>
              </w:rPr>
              <w:t>.</w:t>
            </w:r>
          </w:p>
        </w:tc>
      </w:tr>
      <w:tr w:rsidR="002178D3" w:rsidRPr="00A73FD8" w14:paraId="5DB5E0B7"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01C55A52" w14:textId="255D94B1" w:rsidR="002178D3" w:rsidRPr="00A73FD8" w:rsidRDefault="002178D3" w:rsidP="006277A1">
            <w:pPr>
              <w:jc w:val="center"/>
              <w:rPr>
                <w:rFonts w:ascii="Times New Roman" w:hAnsi="Times New Roman" w:cs="Times New Roman"/>
                <w:b w:val="0"/>
                <w:bCs w:val="0"/>
                <w:color w:val="000000"/>
                <w:lang w:val="fr-FR"/>
              </w:rPr>
            </w:pPr>
            <w:proofErr w:type="spellStart"/>
            <w:r w:rsidRPr="00A73FD8">
              <w:rPr>
                <w:rFonts w:ascii="Times New Roman" w:hAnsi="Times New Roman" w:cs="Times New Roman"/>
                <w:b w:val="0"/>
                <w:bCs w:val="0"/>
                <w:color w:val="000000"/>
                <w:lang w:val="fr-FR"/>
              </w:rPr>
              <w:t>Saarijärvi</w:t>
            </w:r>
            <w:proofErr w:type="spellEnd"/>
            <w:r w:rsidRPr="00A73FD8">
              <w:rPr>
                <w:rFonts w:ascii="Times New Roman" w:hAnsi="Times New Roman" w:cs="Times New Roman"/>
                <w:b w:val="0"/>
                <w:bCs w:val="0"/>
                <w:color w:val="000000"/>
                <w:lang w:val="fr-FR"/>
              </w:rPr>
              <w:t xml:space="preserve"> et al. (202</w:t>
            </w:r>
            <w:r w:rsidRPr="00A73FD8">
              <w:rPr>
                <w:rFonts w:ascii="Times New Roman" w:hAnsi="Times New Roman" w:cs="Times New Roman"/>
                <w:b w:val="0"/>
                <w:bCs w:val="0"/>
                <w:color w:val="000000"/>
                <w:lang w:val="fr-FR"/>
              </w:rPr>
              <w:t>2</w:t>
            </w:r>
            <w:r w:rsidRPr="00A73FD8">
              <w:rPr>
                <w:rFonts w:ascii="Times New Roman" w:hAnsi="Times New Roman" w:cs="Times New Roman"/>
                <w:b w:val="0"/>
                <w:bCs w:val="0"/>
                <w:color w:val="000000"/>
                <w:lang w:val="fr-FR"/>
              </w:rPr>
              <w:t>)</w:t>
            </w:r>
          </w:p>
          <w:p w14:paraId="0B26A0BB" w14:textId="77777777" w:rsidR="002178D3" w:rsidRPr="00A73FD8" w:rsidRDefault="002178D3" w:rsidP="006277A1">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16B5ED7B" w14:textId="77777777"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5C643BD5" w14:textId="26AFF65F"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Sweden</w:t>
            </w:r>
          </w:p>
        </w:tc>
        <w:tc>
          <w:tcPr>
            <w:tcW w:w="2625" w:type="dxa"/>
            <w:noWrap/>
          </w:tcPr>
          <w:p w14:paraId="0C584468" w14:textId="599EE02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evaluate the implementation fidelity of the STEPSTONES </w:t>
            </w:r>
            <w:r w:rsidRPr="00A73FD8">
              <w:rPr>
                <w:rFonts w:ascii="Times New Roman" w:eastAsia="Times New Roman" w:hAnsi="Times New Roman" w:cs="Times New Roman"/>
                <w:color w:val="000000"/>
                <w:kern w:val="0"/>
                <w:lang w:val="en-US" w:eastAsia="it-IT"/>
                <w14:ligatures w14:val="none"/>
              </w:rPr>
              <w:lastRenderedPageBreak/>
              <w:t>transition program for adolescents with CHD, and to identify moderating factors affecting program delivery.</w:t>
            </w:r>
          </w:p>
        </w:tc>
        <w:tc>
          <w:tcPr>
            <w:tcW w:w="1683" w:type="dxa"/>
            <w:noWrap/>
          </w:tcPr>
          <w:p w14:paraId="3144FE15" w14:textId="572EEFC6"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Mixed methods process evaluation </w:t>
            </w:r>
            <w:r w:rsidRPr="00A73FD8">
              <w:rPr>
                <w:rFonts w:ascii="Times New Roman" w:eastAsia="Times New Roman" w:hAnsi="Times New Roman" w:cs="Times New Roman"/>
                <w:color w:val="000000"/>
                <w:kern w:val="0"/>
                <w:lang w:val="en-US" w:eastAsia="it-IT"/>
                <w14:ligatures w14:val="none"/>
              </w:rPr>
              <w:lastRenderedPageBreak/>
              <w:t>embedded in an RCT</w:t>
            </w:r>
          </w:p>
        </w:tc>
        <w:tc>
          <w:tcPr>
            <w:tcW w:w="2099" w:type="dxa"/>
            <w:noWrap/>
          </w:tcPr>
          <w:p w14:paraId="3ED43D3A" w14:textId="3E8A57E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59 adolescents with CHD (from 67 randomized), 2 </w:t>
            </w:r>
            <w:r w:rsidRPr="00A73FD8">
              <w:rPr>
                <w:rFonts w:ascii="Times New Roman" w:eastAsia="Times New Roman" w:hAnsi="Times New Roman" w:cs="Times New Roman"/>
                <w:color w:val="000000"/>
                <w:kern w:val="0"/>
                <w:lang w:val="en-US" w:eastAsia="it-IT"/>
                <w14:ligatures w14:val="none"/>
              </w:rPr>
              <w:lastRenderedPageBreak/>
              <w:t>transition coordinators, 4 ACHD nurses</w:t>
            </w:r>
          </w:p>
        </w:tc>
        <w:tc>
          <w:tcPr>
            <w:tcW w:w="2039" w:type="dxa"/>
            <w:noWrap/>
          </w:tcPr>
          <w:p w14:paraId="6F3DAC7D" w14:textId="21793C6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STEPSTONES: 8 components over 2.5 years, delivered </w:t>
            </w:r>
            <w:r w:rsidRPr="00A73FD8">
              <w:rPr>
                <w:rFonts w:ascii="Times New Roman" w:eastAsia="Times New Roman" w:hAnsi="Times New Roman" w:cs="Times New Roman"/>
                <w:color w:val="000000"/>
                <w:kern w:val="0"/>
                <w:lang w:val="en-US" w:eastAsia="it-IT"/>
                <w14:ligatures w14:val="none"/>
              </w:rPr>
              <w:lastRenderedPageBreak/>
              <w:t>in pediatric outpatient settings by trained transition coordinators using person-</w:t>
            </w:r>
            <w:proofErr w:type="spellStart"/>
            <w:r w:rsidRPr="00A73FD8">
              <w:rPr>
                <w:rFonts w:ascii="Times New Roman" w:eastAsia="Times New Roman" w:hAnsi="Times New Roman" w:cs="Times New Roman"/>
                <w:color w:val="000000"/>
                <w:kern w:val="0"/>
                <w:lang w:val="en-US" w:eastAsia="it-IT"/>
                <w14:ligatures w14:val="none"/>
              </w:rPr>
              <w:t>centred</w:t>
            </w:r>
            <w:proofErr w:type="spellEnd"/>
            <w:r w:rsidRPr="00A73FD8">
              <w:rPr>
                <w:rFonts w:ascii="Times New Roman" w:eastAsia="Times New Roman" w:hAnsi="Times New Roman" w:cs="Times New Roman"/>
                <w:color w:val="000000"/>
                <w:kern w:val="0"/>
                <w:lang w:val="en-US" w:eastAsia="it-IT"/>
                <w14:ligatures w14:val="none"/>
              </w:rPr>
              <w:t xml:space="preserve"> care and behavior-change techniques. Included individual visits, goal setting, education, parent guidance, peer support, and joint transfer visit.</w:t>
            </w:r>
          </w:p>
        </w:tc>
        <w:tc>
          <w:tcPr>
            <w:tcW w:w="3842" w:type="dxa"/>
            <w:noWrap/>
          </w:tcPr>
          <w:p w14:paraId="2C0F301F" w14:textId="514D3C8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lastRenderedPageBreak/>
              <w:t xml:space="preserve">High fidelity in 6/8 components; peer support had low attendance (32.2%) and transfer meeting had implementation </w:t>
            </w:r>
            <w:r w:rsidRPr="00A73FD8">
              <w:rPr>
                <w:rFonts w:ascii="Times New Roman" w:eastAsia="Times New Roman" w:hAnsi="Times New Roman" w:cs="Times New Roman"/>
                <w:color w:val="000000"/>
                <w:kern w:val="0"/>
                <w:lang w:val="en-US" w:eastAsia="it-IT"/>
                <w14:ligatures w14:val="none"/>
              </w:rPr>
              <w:lastRenderedPageBreak/>
              <w:t>challenges. Moderating factors included adolescent maturity, engagement, contextual constraints (e.g., lack of SOPs), and coordination issues between pediatric and adult care. Emphasizes balance between fidelity and local tailoring for implementation success.</w:t>
            </w:r>
          </w:p>
        </w:tc>
      </w:tr>
      <w:tr w:rsidR="002178D3" w:rsidRPr="00A73FD8" w14:paraId="74B02917"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29C2F23B" w14:textId="77777777" w:rsidR="002178D3" w:rsidRPr="00A73FD8" w:rsidRDefault="002178D3" w:rsidP="002A5309">
            <w:pPr>
              <w:jc w:val="center"/>
              <w:rPr>
                <w:rFonts w:ascii="Times New Roman" w:hAnsi="Times New Roman" w:cs="Times New Roman"/>
                <w:b w:val="0"/>
                <w:bCs w:val="0"/>
              </w:rPr>
            </w:pPr>
            <w:proofErr w:type="spellStart"/>
            <w:r w:rsidRPr="00A73FD8">
              <w:rPr>
                <w:rFonts w:ascii="Times New Roman" w:hAnsi="Times New Roman" w:cs="Times New Roman"/>
                <w:b w:val="0"/>
                <w:bCs w:val="0"/>
              </w:rPr>
              <w:lastRenderedPageBreak/>
              <w:t>Sable</w:t>
            </w:r>
            <w:proofErr w:type="spellEnd"/>
            <w:r w:rsidRPr="00A73FD8">
              <w:rPr>
                <w:rFonts w:ascii="Times New Roman" w:hAnsi="Times New Roman" w:cs="Times New Roman"/>
                <w:b w:val="0"/>
                <w:bCs w:val="0"/>
              </w:rPr>
              <w:t xml:space="preserve"> et al. (2011)</w:t>
            </w:r>
          </w:p>
          <w:p w14:paraId="36D37FDA" w14:textId="77777777" w:rsidR="002178D3" w:rsidRPr="00A73FD8" w:rsidRDefault="002178D3" w:rsidP="005430CF">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6CCA0F47" w14:textId="5AE08DE7"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1EB9102E" w14:textId="2BBADAAD"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3CAE7214" w14:textId="6D7534B3"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provide best practice recommendations for managing transition to adulthood for adolescents with CHD, covering medical, psychosocial, and systemic aspects.</w:t>
            </w:r>
          </w:p>
        </w:tc>
        <w:tc>
          <w:tcPr>
            <w:tcW w:w="1683" w:type="dxa"/>
            <w:noWrap/>
          </w:tcPr>
          <w:p w14:paraId="0B5B3A0B" w14:textId="6568C69E"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Expert consensus (Scientific Statement by AHA)</w:t>
            </w:r>
          </w:p>
        </w:tc>
        <w:tc>
          <w:tcPr>
            <w:tcW w:w="2099" w:type="dxa"/>
            <w:noWrap/>
          </w:tcPr>
          <w:p w14:paraId="45CE6421" w14:textId="4E6550C0"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19E41F4E" w14:textId="6C76B24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Recommends a structured, individualized transition process starting by age 12, including education, self-management, family support, and coordinated transfer to ACHD care. Highlights the role of transition coordinators, health passports, and assessment tools.</w:t>
            </w:r>
          </w:p>
        </w:tc>
        <w:tc>
          <w:tcPr>
            <w:tcW w:w="3842" w:type="dxa"/>
            <w:noWrap/>
          </w:tcPr>
          <w:p w14:paraId="5F91BA97" w14:textId="3B2A734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Poorly planned transitions result in care gaps and adverse outcomes. Early, flexible, and developmentally appropriate interventions improve readiness, QoL, and follow-up. Multidisciplinary teams, primary care collaboration, and policy changes are essential. Lists specific recommendations for adolescents, parents, providers, and systems of care.</w:t>
            </w:r>
          </w:p>
        </w:tc>
      </w:tr>
      <w:tr w:rsidR="002178D3" w:rsidRPr="00A73FD8" w14:paraId="443B9CB2"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2886C4E5"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Said et al. (2015)</w:t>
            </w:r>
          </w:p>
          <w:p w14:paraId="553C5690" w14:textId="77777777" w:rsidR="002178D3" w:rsidRPr="00A73FD8" w:rsidRDefault="002178D3" w:rsidP="002B611B">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227AB345" w14:textId="21C8E8FD"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583C27CB" w14:textId="6981EFD7"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16CF8CC3" w14:textId="5253A41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review the challenges and key elements of transitioning care for adolescents with congenital heart disease  from pediatric to adult healthcare providers.</w:t>
            </w:r>
          </w:p>
        </w:tc>
        <w:tc>
          <w:tcPr>
            <w:tcW w:w="1683" w:type="dxa"/>
            <w:noWrap/>
          </w:tcPr>
          <w:p w14:paraId="3357CB8A" w14:textId="7FD8B94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4A283789" w14:textId="7C4328B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03E76AC6" w14:textId="09D03D7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Emphasizes early, individualized transition starting around age 12; includes education, coordinated care, psychosocial support, planning for insurance, and </w:t>
            </w:r>
            <w:r w:rsidRPr="00A73FD8">
              <w:rPr>
                <w:rFonts w:ascii="Times New Roman" w:hAnsi="Times New Roman" w:cs="Times New Roman"/>
                <w:lang w:val="en-US"/>
              </w:rPr>
              <w:lastRenderedPageBreak/>
              <w:t>transfer to ACHD-trained providers.</w:t>
            </w:r>
          </w:p>
        </w:tc>
        <w:tc>
          <w:tcPr>
            <w:tcW w:w="3842" w:type="dxa"/>
            <w:noWrap/>
          </w:tcPr>
          <w:p w14:paraId="5FF7E5E6" w14:textId="5A967F1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 xml:space="preserve">Transition often disrupted by lack of provider training, institutional constraints, and insurance loss. Successful transition depends on structured programs, dedicated teams, continued education, and specialized adult CHD centers. Late complications require lifelong surveillance, and early </w:t>
            </w:r>
            <w:r w:rsidRPr="00A73FD8">
              <w:rPr>
                <w:rFonts w:ascii="Times New Roman" w:hAnsi="Times New Roman" w:cs="Times New Roman"/>
                <w:lang w:val="en-US"/>
              </w:rPr>
              <w:lastRenderedPageBreak/>
              <w:t>mortality is reduced when congenital-trained surgeons are involved.</w:t>
            </w:r>
          </w:p>
        </w:tc>
      </w:tr>
      <w:tr w:rsidR="002178D3" w:rsidRPr="00A73FD8" w14:paraId="620D52DC"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0162CBB3" w14:textId="77777777" w:rsidR="002178D3" w:rsidRPr="00A73FD8" w:rsidRDefault="002178D3" w:rsidP="002A5309">
            <w:pPr>
              <w:jc w:val="center"/>
              <w:rPr>
                <w:rFonts w:ascii="Times New Roman" w:hAnsi="Times New Roman" w:cs="Times New Roman"/>
                <w:b w:val="0"/>
                <w:bCs w:val="0"/>
                <w:lang w:val="fr-FR"/>
              </w:rPr>
            </w:pPr>
            <w:proofErr w:type="spellStart"/>
            <w:r w:rsidRPr="00A73FD8">
              <w:rPr>
                <w:rFonts w:ascii="Times New Roman" w:hAnsi="Times New Roman" w:cs="Times New Roman"/>
                <w:b w:val="0"/>
                <w:bCs w:val="0"/>
                <w:lang w:val="fr-FR"/>
              </w:rPr>
              <w:lastRenderedPageBreak/>
              <w:t>Skogby</w:t>
            </w:r>
            <w:proofErr w:type="spellEnd"/>
            <w:r w:rsidRPr="00A73FD8">
              <w:rPr>
                <w:rFonts w:ascii="Times New Roman" w:hAnsi="Times New Roman" w:cs="Times New Roman"/>
                <w:b w:val="0"/>
                <w:bCs w:val="0"/>
                <w:lang w:val="fr-FR"/>
              </w:rPr>
              <w:t xml:space="preserve"> et al. (2021)</w:t>
            </w:r>
          </w:p>
          <w:p w14:paraId="462D4C52" w14:textId="77777777" w:rsidR="002178D3" w:rsidRPr="00A73FD8" w:rsidRDefault="002178D3" w:rsidP="00E85B93">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4CB8AECC" w14:textId="19DB6594"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6416A6BE" w14:textId="71757578"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Sweden</w:t>
            </w:r>
          </w:p>
        </w:tc>
        <w:tc>
          <w:tcPr>
            <w:tcW w:w="2625" w:type="dxa"/>
            <w:noWrap/>
          </w:tcPr>
          <w:p w14:paraId="5407B0AC" w14:textId="162E0F36"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explore young adults’ perceptions and experiences of factors influencing continued follow-up care after transition from pediatric to adult congenital heart disease (CHD) services.</w:t>
            </w:r>
          </w:p>
        </w:tc>
        <w:tc>
          <w:tcPr>
            <w:tcW w:w="1683" w:type="dxa"/>
            <w:noWrap/>
          </w:tcPr>
          <w:p w14:paraId="461194AB" w14:textId="3F132ECB"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Qualitative descriptive study with content analysis of individual interviews</w:t>
            </w:r>
          </w:p>
        </w:tc>
        <w:tc>
          <w:tcPr>
            <w:tcW w:w="2099" w:type="dxa"/>
            <w:noWrap/>
          </w:tcPr>
          <w:p w14:paraId="2B814A53" w14:textId="1F6CAAE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16 young adults with CHD (13 in follow-up, 3 without), aged 27–29; recruited from all 7 Swedish university hospitals</w:t>
            </w:r>
          </w:p>
        </w:tc>
        <w:tc>
          <w:tcPr>
            <w:tcW w:w="2039" w:type="dxa"/>
            <w:noWrap/>
          </w:tcPr>
          <w:p w14:paraId="1A0D22B4" w14:textId="5D7E4A26"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Explored factors influencing follow-up attendance post-transfer. Focused on motivation, relationship with healthcare providers (HCPs), and care accessibility in a low-discontinuation setting.</w:t>
            </w:r>
          </w:p>
        </w:tc>
        <w:tc>
          <w:tcPr>
            <w:tcW w:w="3842" w:type="dxa"/>
            <w:noWrap/>
          </w:tcPr>
          <w:p w14:paraId="04F910FC" w14:textId="4EE2D98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Continued care is multifactorial: key facilitators included CHD knowledge, clear follow-up purpose, supportive HCP relationships, accessible and flexible services. Barriers included low risk perception, parental overinvolvement, anxiety, and systemic issues like travel and cost. </w:t>
            </w:r>
            <w:proofErr w:type="spellStart"/>
            <w:r w:rsidRPr="00A73FD8">
              <w:rPr>
                <w:rFonts w:ascii="Times New Roman" w:hAnsi="Times New Roman" w:cs="Times New Roman"/>
              </w:rPr>
              <w:t>Emphasizes</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holistic</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person-centered</w:t>
            </w:r>
            <w:proofErr w:type="spellEnd"/>
            <w:r w:rsidRPr="00A73FD8">
              <w:rPr>
                <w:rFonts w:ascii="Times New Roman" w:hAnsi="Times New Roman" w:cs="Times New Roman"/>
              </w:rPr>
              <w:t xml:space="preserve"> strategies to </w:t>
            </w:r>
            <w:proofErr w:type="spellStart"/>
            <w:r w:rsidRPr="00A73FD8">
              <w:rPr>
                <w:rFonts w:ascii="Times New Roman" w:hAnsi="Times New Roman" w:cs="Times New Roman"/>
              </w:rPr>
              <w:t>prevent</w:t>
            </w:r>
            <w:proofErr w:type="spellEnd"/>
            <w:r w:rsidRPr="00A73FD8">
              <w:rPr>
                <w:rFonts w:ascii="Times New Roman" w:hAnsi="Times New Roman" w:cs="Times New Roman"/>
              </w:rPr>
              <w:t xml:space="preserve"> care </w:t>
            </w:r>
            <w:proofErr w:type="spellStart"/>
            <w:r w:rsidRPr="00A73FD8">
              <w:rPr>
                <w:rFonts w:ascii="Times New Roman" w:hAnsi="Times New Roman" w:cs="Times New Roman"/>
              </w:rPr>
              <w:t>discontinuation</w:t>
            </w:r>
            <w:proofErr w:type="spellEnd"/>
            <w:r w:rsidRPr="00A73FD8">
              <w:rPr>
                <w:rFonts w:ascii="Times New Roman" w:hAnsi="Times New Roman" w:cs="Times New Roman"/>
              </w:rPr>
              <w:t>.</w:t>
            </w:r>
          </w:p>
        </w:tc>
      </w:tr>
      <w:tr w:rsidR="002178D3" w:rsidRPr="00A73FD8" w14:paraId="04AD8BEA"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343EB1CD" w14:textId="77777777" w:rsidR="002178D3" w:rsidRPr="00A73FD8" w:rsidRDefault="002178D3" w:rsidP="002A5309">
            <w:pPr>
              <w:jc w:val="center"/>
              <w:rPr>
                <w:rFonts w:ascii="Times New Roman" w:hAnsi="Times New Roman" w:cs="Times New Roman"/>
                <w:b w:val="0"/>
                <w:bCs w:val="0"/>
              </w:rPr>
            </w:pPr>
            <w:proofErr w:type="spellStart"/>
            <w:r w:rsidRPr="00A73FD8">
              <w:rPr>
                <w:rFonts w:ascii="Times New Roman" w:hAnsi="Times New Roman" w:cs="Times New Roman"/>
                <w:b w:val="0"/>
                <w:bCs w:val="0"/>
              </w:rPr>
              <w:t>Talluto</w:t>
            </w:r>
            <w:proofErr w:type="spellEnd"/>
            <w:r w:rsidRPr="00A73FD8">
              <w:rPr>
                <w:rFonts w:ascii="Times New Roman" w:hAnsi="Times New Roman" w:cs="Times New Roman"/>
                <w:b w:val="0"/>
                <w:bCs w:val="0"/>
              </w:rPr>
              <w:t xml:space="preserve"> (2018)</w:t>
            </w:r>
          </w:p>
          <w:p w14:paraId="6437C5C2" w14:textId="77777777" w:rsidR="002178D3" w:rsidRPr="00A73FD8" w:rsidRDefault="002178D3" w:rsidP="009D3497">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398064EB" w14:textId="7F30FC88"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0DAC65E3" w14:textId="6AA6809F"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29CD7920" w14:textId="61110A5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review key components and barriers to establishing a successful transition program for adolescents with congenital heart disease.</w:t>
            </w:r>
          </w:p>
        </w:tc>
        <w:tc>
          <w:tcPr>
            <w:tcW w:w="1683" w:type="dxa"/>
            <w:noWrap/>
          </w:tcPr>
          <w:p w14:paraId="4AAC9B4A" w14:textId="6A4C1AB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Narrative review</w:t>
            </w:r>
          </w:p>
        </w:tc>
        <w:tc>
          <w:tcPr>
            <w:tcW w:w="2099" w:type="dxa"/>
            <w:noWrap/>
          </w:tcPr>
          <w:p w14:paraId="5ACE377A" w14:textId="78BEE6FE"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34333C1B" w14:textId="3C784F1D"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Emphasizes the difference between “transition” and “transfer”; structured transition should begin at age 12 with a written plan by 14; includes education, self-management, readiness assessment, and joint pediatric-adult collaboration.</w:t>
            </w:r>
          </w:p>
        </w:tc>
        <w:tc>
          <w:tcPr>
            <w:tcW w:w="3842" w:type="dxa"/>
            <w:noWrap/>
          </w:tcPr>
          <w:p w14:paraId="2C95AA28" w14:textId="2432C8A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Barriers exist at pediatric, patient/family, and adult system levels. Structured transition programs improve continuity, reduce loss to follow-up, and must include written policies, trained coordinators, and institutional support. Calls for more research on best practices and outcome measures for successful transition.</w:t>
            </w:r>
          </w:p>
        </w:tc>
      </w:tr>
      <w:tr w:rsidR="002178D3" w:rsidRPr="00A73FD8" w14:paraId="122AF550"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6063BDC9" w14:textId="77777777" w:rsidR="002178D3" w:rsidRPr="00A73FD8" w:rsidRDefault="002178D3" w:rsidP="002A5309">
            <w:pPr>
              <w:jc w:val="center"/>
              <w:rPr>
                <w:rFonts w:ascii="Times New Roman" w:hAnsi="Times New Roman" w:cs="Times New Roman"/>
                <w:b w:val="0"/>
                <w:bCs w:val="0"/>
              </w:rPr>
            </w:pPr>
            <w:proofErr w:type="spellStart"/>
            <w:r w:rsidRPr="00A73FD8">
              <w:rPr>
                <w:rFonts w:ascii="Times New Roman" w:hAnsi="Times New Roman" w:cs="Times New Roman"/>
                <w:b w:val="0"/>
                <w:bCs w:val="0"/>
              </w:rPr>
              <w:t>Thomet</w:t>
            </w:r>
            <w:proofErr w:type="spellEnd"/>
            <w:r w:rsidRPr="00A73FD8">
              <w:rPr>
                <w:rFonts w:ascii="Times New Roman" w:hAnsi="Times New Roman" w:cs="Times New Roman"/>
                <w:b w:val="0"/>
                <w:bCs w:val="0"/>
              </w:rPr>
              <w:t xml:space="preserve"> et al. (2015)</w:t>
            </w:r>
          </w:p>
          <w:p w14:paraId="6D74C42C" w14:textId="77777777" w:rsidR="002178D3" w:rsidRPr="00A73FD8" w:rsidRDefault="002178D3" w:rsidP="00B41D95">
            <w:pPr>
              <w:jc w:val="center"/>
              <w:rPr>
                <w:rFonts w:ascii="Times New Roman" w:hAnsi="Times New Roman" w:cs="Times New Roman"/>
                <w:b w:val="0"/>
                <w:bCs w:val="0"/>
              </w:rPr>
            </w:pPr>
            <w:r w:rsidRPr="00A73FD8">
              <w:rPr>
                <w:rFonts w:ascii="Times New Roman" w:hAnsi="Times New Roman" w:cs="Times New Roman"/>
                <w:b w:val="0"/>
                <w:bCs w:val="0"/>
                <w:lang w:val="fr-FR"/>
              </w:rPr>
              <w:t>Journal Article</w:t>
            </w:r>
          </w:p>
          <w:p w14:paraId="11E60F92" w14:textId="7F777114"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41F00052" w14:textId="5485A7F2"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Switzerland</w:t>
            </w:r>
            <w:proofErr w:type="spellEnd"/>
          </w:p>
        </w:tc>
        <w:tc>
          <w:tcPr>
            <w:tcW w:w="2625" w:type="dxa"/>
            <w:noWrap/>
          </w:tcPr>
          <w:p w14:paraId="2F49310B" w14:textId="6E39818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review models, challenges, and best practices in transition from pediatric to adult care for adolescents with congenital heart disease, drawing from the experience of two Swiss centers.</w:t>
            </w:r>
          </w:p>
        </w:tc>
        <w:tc>
          <w:tcPr>
            <w:tcW w:w="1683" w:type="dxa"/>
            <w:noWrap/>
          </w:tcPr>
          <w:p w14:paraId="25EB3203" w14:textId="351C1260"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Narrative review with comparative program descriptions</w:t>
            </w:r>
          </w:p>
        </w:tc>
        <w:tc>
          <w:tcPr>
            <w:tcW w:w="2099" w:type="dxa"/>
            <w:noWrap/>
          </w:tcPr>
          <w:p w14:paraId="4AEA6DB6" w14:textId="056AA20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1E7FCA0B" w14:textId="3827480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Comparison of two structured transition models: nurse-led (Bern) and physician-led (Zurich). Both involve early education (~12–14 years), patient/family </w:t>
            </w:r>
            <w:r w:rsidRPr="00A73FD8">
              <w:rPr>
                <w:rFonts w:ascii="Times New Roman" w:hAnsi="Times New Roman" w:cs="Times New Roman"/>
                <w:lang w:val="en-US"/>
              </w:rPr>
              <w:lastRenderedPageBreak/>
              <w:t>engagement, and collaboration between pediatric and adult CHD services.</w:t>
            </w:r>
          </w:p>
        </w:tc>
        <w:tc>
          <w:tcPr>
            <w:tcW w:w="3842" w:type="dxa"/>
            <w:noWrap/>
          </w:tcPr>
          <w:p w14:paraId="2776C331" w14:textId="2E9AF4B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Effective transition requires early, individualized, and multidisciplinary planning. Adolescents, parents, and providers all play key roles. Structured programs (especially with transition coordinators) prevent care gaps. Transition should not be confused with transfer and must continue post-handover until self-management is achieved.</w:t>
            </w:r>
          </w:p>
        </w:tc>
      </w:tr>
      <w:tr w:rsidR="002178D3" w:rsidRPr="00A73FD8" w14:paraId="54CADA19"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3FF52067" w14:textId="79BAFA9C" w:rsidR="002178D3" w:rsidRPr="00A73FD8" w:rsidRDefault="002178D3" w:rsidP="00B95C78">
            <w:pPr>
              <w:jc w:val="center"/>
              <w:rPr>
                <w:rFonts w:ascii="Times New Roman" w:hAnsi="Times New Roman" w:cs="Times New Roman"/>
                <w:b w:val="0"/>
                <w:bCs w:val="0"/>
                <w:lang w:val="fr-FR"/>
              </w:rPr>
            </w:pPr>
            <w:proofErr w:type="spellStart"/>
            <w:r w:rsidRPr="00A73FD8">
              <w:rPr>
                <w:rFonts w:ascii="Times New Roman" w:hAnsi="Times New Roman" w:cs="Times New Roman"/>
                <w:b w:val="0"/>
                <w:bCs w:val="0"/>
                <w:lang w:val="fr-FR"/>
              </w:rPr>
              <w:t>Thomet</w:t>
            </w:r>
            <w:proofErr w:type="spellEnd"/>
            <w:r w:rsidRPr="00A73FD8">
              <w:rPr>
                <w:rFonts w:ascii="Times New Roman" w:hAnsi="Times New Roman" w:cs="Times New Roman"/>
                <w:b w:val="0"/>
                <w:bCs w:val="0"/>
                <w:lang w:val="fr-FR"/>
              </w:rPr>
              <w:t xml:space="preserve"> et al. (20</w:t>
            </w:r>
            <w:r w:rsidRPr="00A73FD8">
              <w:rPr>
                <w:rFonts w:ascii="Times New Roman" w:hAnsi="Times New Roman" w:cs="Times New Roman"/>
                <w:b w:val="0"/>
                <w:bCs w:val="0"/>
                <w:lang w:val="fr-FR"/>
              </w:rPr>
              <w:t>21</w:t>
            </w:r>
            <w:r w:rsidRPr="00A73FD8">
              <w:rPr>
                <w:rFonts w:ascii="Times New Roman" w:hAnsi="Times New Roman" w:cs="Times New Roman"/>
                <w:b w:val="0"/>
                <w:bCs w:val="0"/>
                <w:lang w:val="fr-FR"/>
              </w:rPr>
              <w:t>)</w:t>
            </w:r>
          </w:p>
          <w:p w14:paraId="39E8E18A" w14:textId="77777777" w:rsidR="002178D3" w:rsidRPr="00A73FD8" w:rsidRDefault="002178D3" w:rsidP="00B95C78">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6264B1D9" w14:textId="77777777"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4C07B27D" w14:textId="789C60E6"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fr-FR" w:eastAsia="it-IT"/>
                <w14:ligatures w14:val="none"/>
              </w:rPr>
            </w:pPr>
            <w:r w:rsidRPr="00A73FD8">
              <w:rPr>
                <w:rFonts w:ascii="Times New Roman" w:hAnsi="Times New Roman" w:cs="Times New Roman"/>
              </w:rPr>
              <w:t>Europe (24 countries)</w:t>
            </w:r>
          </w:p>
        </w:tc>
        <w:tc>
          <w:tcPr>
            <w:tcW w:w="2625" w:type="dxa"/>
            <w:noWrap/>
          </w:tcPr>
          <w:p w14:paraId="5E574B63" w14:textId="2547A4A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provide a contemporary view of transfer and transition practices for adolescents with CHD across European ACHD </w:t>
            </w:r>
            <w:proofErr w:type="spellStart"/>
            <w:r w:rsidRPr="00A73FD8">
              <w:rPr>
                <w:rFonts w:ascii="Times New Roman" w:eastAsia="Times New Roman" w:hAnsi="Times New Roman" w:cs="Times New Roman"/>
                <w:color w:val="000000"/>
                <w:kern w:val="0"/>
                <w:lang w:val="en-US" w:eastAsia="it-IT"/>
                <w14:ligatures w14:val="none"/>
              </w:rPr>
              <w:t>centres</w:t>
            </w:r>
            <w:proofErr w:type="spellEnd"/>
            <w:r w:rsidRPr="00A73FD8">
              <w:rPr>
                <w:rFonts w:ascii="Times New Roman" w:eastAsia="Times New Roman" w:hAnsi="Times New Roman" w:cs="Times New Roman"/>
                <w:color w:val="000000"/>
                <w:kern w:val="0"/>
                <w:lang w:val="en-US" w:eastAsia="it-IT"/>
                <w14:ligatures w14:val="none"/>
              </w:rPr>
              <w:t>, and evaluate alignment with quality indicators.</w:t>
            </w:r>
          </w:p>
        </w:tc>
        <w:tc>
          <w:tcPr>
            <w:tcW w:w="1683" w:type="dxa"/>
            <w:noWrap/>
          </w:tcPr>
          <w:p w14:paraId="55F3F6F8" w14:textId="10D13BD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Cross-sectional descriptive survey of ACHD </w:t>
            </w:r>
            <w:proofErr w:type="spellStart"/>
            <w:r w:rsidRPr="00A73FD8">
              <w:rPr>
                <w:rFonts w:ascii="Times New Roman" w:hAnsi="Times New Roman" w:cs="Times New Roman"/>
                <w:lang w:val="en-US"/>
              </w:rPr>
              <w:t>centres</w:t>
            </w:r>
            <w:proofErr w:type="spellEnd"/>
          </w:p>
        </w:tc>
        <w:tc>
          <w:tcPr>
            <w:tcW w:w="2099" w:type="dxa"/>
            <w:noWrap/>
          </w:tcPr>
          <w:p w14:paraId="0B56786A" w14:textId="7DEB20BF"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96 ACHD </w:t>
            </w:r>
            <w:proofErr w:type="spellStart"/>
            <w:r w:rsidRPr="00A73FD8">
              <w:rPr>
                <w:rFonts w:ascii="Times New Roman" w:hAnsi="Times New Roman" w:cs="Times New Roman"/>
                <w:lang w:val="en-US"/>
              </w:rPr>
              <w:t>centres</w:t>
            </w:r>
            <w:proofErr w:type="spellEnd"/>
            <w:r w:rsidRPr="00A73FD8">
              <w:rPr>
                <w:rFonts w:ascii="Times New Roman" w:hAnsi="Times New Roman" w:cs="Times New Roman"/>
                <w:lang w:val="en-US"/>
              </w:rPr>
              <w:t xml:space="preserve"> meeting criteria (≥1 ACHD-trained cardiologist; ≥200 ACHD patients in follow-up)</w:t>
            </w:r>
          </w:p>
        </w:tc>
        <w:tc>
          <w:tcPr>
            <w:tcW w:w="2039" w:type="dxa"/>
            <w:noWrap/>
          </w:tcPr>
          <w:p w14:paraId="0F5638B4" w14:textId="4BA29F2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41.7% had formal transition </w:t>
            </w:r>
            <w:proofErr w:type="spellStart"/>
            <w:r w:rsidRPr="00A73FD8">
              <w:rPr>
                <w:rFonts w:ascii="Times New Roman" w:hAnsi="Times New Roman" w:cs="Times New Roman"/>
                <w:lang w:val="en-US"/>
              </w:rPr>
              <w:t>programmes</w:t>
            </w:r>
            <w:proofErr w:type="spellEnd"/>
            <w:r w:rsidRPr="00A73FD8">
              <w:rPr>
                <w:rFonts w:ascii="Times New Roman" w:hAnsi="Times New Roman" w:cs="Times New Roman"/>
                <w:lang w:val="en-US"/>
              </w:rPr>
              <w:t>; 88.5% had structured transfer processes. Transition often nurse-led, beginning ~age 12–16. Multidisciplinary teams involved. Indicators assessed: timing, flexibility, documentation, education, and coordination.</w:t>
            </w:r>
          </w:p>
        </w:tc>
        <w:tc>
          <w:tcPr>
            <w:tcW w:w="3842" w:type="dxa"/>
            <w:noWrap/>
          </w:tcPr>
          <w:p w14:paraId="79C9FBB9" w14:textId="4B28C3A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Only 4 </w:t>
            </w:r>
            <w:proofErr w:type="spellStart"/>
            <w:r w:rsidRPr="00A73FD8">
              <w:rPr>
                <w:rFonts w:ascii="Times New Roman" w:hAnsi="Times New Roman" w:cs="Times New Roman"/>
                <w:lang w:val="en-US"/>
              </w:rPr>
              <w:t>centres</w:t>
            </w:r>
            <w:proofErr w:type="spellEnd"/>
            <w:r w:rsidRPr="00A73FD8">
              <w:rPr>
                <w:rFonts w:ascii="Times New Roman" w:hAnsi="Times New Roman" w:cs="Times New Roman"/>
                <w:lang w:val="en-US"/>
              </w:rPr>
              <w:t xml:space="preserve"> met all quality indicators; 31% met at least 4 for both transfer and transition. Key gaps: lack of written protocols, limited flexibility, incomplete coverage. Larger </w:t>
            </w:r>
            <w:proofErr w:type="spellStart"/>
            <w:r w:rsidRPr="00A73FD8">
              <w:rPr>
                <w:rFonts w:ascii="Times New Roman" w:hAnsi="Times New Roman" w:cs="Times New Roman"/>
                <w:lang w:val="en-US"/>
              </w:rPr>
              <w:t>centres</w:t>
            </w:r>
            <w:proofErr w:type="spellEnd"/>
            <w:r w:rsidRPr="00A73FD8">
              <w:rPr>
                <w:rFonts w:ascii="Times New Roman" w:hAnsi="Times New Roman" w:cs="Times New Roman"/>
                <w:lang w:val="en-US"/>
              </w:rPr>
              <w:t xml:space="preserve"> more likely to offer formal transition. Nurses play a central role. Emphasis on need for individualized, developmentally appropriate transition beyond formal transfer.</w:t>
            </w:r>
          </w:p>
        </w:tc>
      </w:tr>
      <w:tr w:rsidR="002178D3" w:rsidRPr="00A73FD8" w14:paraId="57026D12"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5672B6F" w14:textId="4BDF1AFF" w:rsidR="002178D3" w:rsidRPr="00A73FD8" w:rsidRDefault="002178D3" w:rsidP="00E70E8D">
            <w:pPr>
              <w:jc w:val="center"/>
              <w:rPr>
                <w:rFonts w:ascii="Times New Roman" w:hAnsi="Times New Roman" w:cs="Times New Roman"/>
                <w:b w:val="0"/>
                <w:bCs w:val="0"/>
                <w:lang w:val="fr-FR"/>
              </w:rPr>
            </w:pPr>
            <w:proofErr w:type="spellStart"/>
            <w:r w:rsidRPr="00A73FD8">
              <w:rPr>
                <w:rFonts w:ascii="Times New Roman" w:hAnsi="Times New Roman" w:cs="Times New Roman"/>
                <w:b w:val="0"/>
                <w:bCs w:val="0"/>
                <w:lang w:val="fr-FR"/>
              </w:rPr>
              <w:t>Thomet</w:t>
            </w:r>
            <w:proofErr w:type="spellEnd"/>
            <w:r w:rsidRPr="00A73FD8">
              <w:rPr>
                <w:rFonts w:ascii="Times New Roman" w:hAnsi="Times New Roman" w:cs="Times New Roman"/>
                <w:b w:val="0"/>
                <w:bCs w:val="0"/>
                <w:lang w:val="fr-FR"/>
              </w:rPr>
              <w:t xml:space="preserve"> et al. (202</w:t>
            </w:r>
            <w:r w:rsidRPr="00A73FD8">
              <w:rPr>
                <w:rFonts w:ascii="Times New Roman" w:hAnsi="Times New Roman" w:cs="Times New Roman"/>
                <w:b w:val="0"/>
                <w:bCs w:val="0"/>
                <w:lang w:val="fr-FR"/>
              </w:rPr>
              <w:t>3</w:t>
            </w:r>
            <w:r w:rsidRPr="00A73FD8">
              <w:rPr>
                <w:rFonts w:ascii="Times New Roman" w:hAnsi="Times New Roman" w:cs="Times New Roman"/>
                <w:b w:val="0"/>
                <w:bCs w:val="0"/>
                <w:lang w:val="fr-FR"/>
              </w:rPr>
              <w:t>)</w:t>
            </w:r>
          </w:p>
          <w:p w14:paraId="21FA2CB3" w14:textId="77777777" w:rsidR="002178D3" w:rsidRPr="00A73FD8" w:rsidRDefault="002178D3" w:rsidP="00E70E8D">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63888B32" w14:textId="77777777"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0850F6ED" w14:textId="58AD12B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Switzerland</w:t>
            </w:r>
            <w:proofErr w:type="spellEnd"/>
          </w:p>
        </w:tc>
        <w:tc>
          <w:tcPr>
            <w:tcW w:w="2625" w:type="dxa"/>
            <w:noWrap/>
          </w:tcPr>
          <w:p w14:paraId="251D9BF2" w14:textId="5E6BC2C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 xml:space="preserve">To develop and validate a set of evidence-based quality indicators (QIs) for transfer and transition </w:t>
            </w:r>
            <w:proofErr w:type="spellStart"/>
            <w:r w:rsidRPr="00A73FD8">
              <w:rPr>
                <w:rFonts w:ascii="Times New Roman" w:eastAsia="Times New Roman" w:hAnsi="Times New Roman" w:cs="Times New Roman"/>
                <w:color w:val="000000"/>
                <w:kern w:val="0"/>
                <w:lang w:val="en-US" w:eastAsia="it-IT"/>
                <w14:ligatures w14:val="none"/>
              </w:rPr>
              <w:t>programmes</w:t>
            </w:r>
            <w:proofErr w:type="spellEnd"/>
            <w:r w:rsidRPr="00A73FD8">
              <w:rPr>
                <w:rFonts w:ascii="Times New Roman" w:eastAsia="Times New Roman" w:hAnsi="Times New Roman" w:cs="Times New Roman"/>
                <w:color w:val="000000"/>
                <w:kern w:val="0"/>
                <w:lang w:val="en-US" w:eastAsia="it-IT"/>
                <w14:ligatures w14:val="none"/>
              </w:rPr>
              <w:t xml:space="preserve"> in adolescents with CHD.</w:t>
            </w:r>
          </w:p>
        </w:tc>
        <w:tc>
          <w:tcPr>
            <w:tcW w:w="1683" w:type="dxa"/>
            <w:noWrap/>
          </w:tcPr>
          <w:p w14:paraId="7BF44F14" w14:textId="6651B28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RAND/UCLA modified Delphi process with literature review and expert panel</w:t>
            </w:r>
          </w:p>
        </w:tc>
        <w:tc>
          <w:tcPr>
            <w:tcW w:w="2099" w:type="dxa"/>
            <w:noWrap/>
          </w:tcPr>
          <w:p w14:paraId="668AACFF" w14:textId="0184800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16 international experts (clinicians, researchers, patients) in CHD and transition care</w:t>
            </w:r>
          </w:p>
        </w:tc>
        <w:tc>
          <w:tcPr>
            <w:tcW w:w="2039" w:type="dxa"/>
            <w:noWrap/>
          </w:tcPr>
          <w:p w14:paraId="711BA0DB" w14:textId="43B460B5"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12 QIs (5 structure, 7 process) were finalized, covering components like transition policy, coordinator, education, peer support, confidentiality, and handover; based on literature and expert consensus.</w:t>
            </w:r>
          </w:p>
        </w:tc>
        <w:tc>
          <w:tcPr>
            <w:tcW w:w="3842" w:type="dxa"/>
            <w:noWrap/>
          </w:tcPr>
          <w:p w14:paraId="4BF6D2D1" w14:textId="2576F60C"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This is the first set of structured QIs for CHD transition care. The QIs are feasible, relevant, and suitable for benchmarking. Further testing in clinical practice is needed. Highlights importance of person-</w:t>
            </w:r>
            <w:proofErr w:type="spellStart"/>
            <w:r w:rsidRPr="00A73FD8">
              <w:rPr>
                <w:rFonts w:ascii="Times New Roman" w:hAnsi="Times New Roman" w:cs="Times New Roman"/>
                <w:lang w:val="en-US"/>
              </w:rPr>
              <w:t>centred</w:t>
            </w:r>
            <w:proofErr w:type="spellEnd"/>
            <w:r w:rsidRPr="00A73FD8">
              <w:rPr>
                <w:rFonts w:ascii="Times New Roman" w:hAnsi="Times New Roman" w:cs="Times New Roman"/>
                <w:lang w:val="en-US"/>
              </w:rPr>
              <w:t xml:space="preserve"> care, early preparation, and individualized support in transitional care</w:t>
            </w:r>
          </w:p>
        </w:tc>
      </w:tr>
      <w:tr w:rsidR="002178D3" w:rsidRPr="00A73FD8" w14:paraId="67118E3B"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49E252A2" w14:textId="77777777" w:rsidR="002178D3" w:rsidRPr="00A73FD8" w:rsidRDefault="002178D3" w:rsidP="002A5309">
            <w:pPr>
              <w:jc w:val="center"/>
              <w:rPr>
                <w:rFonts w:ascii="Times New Roman" w:hAnsi="Times New Roman" w:cs="Times New Roman"/>
                <w:b w:val="0"/>
                <w:bCs w:val="0"/>
              </w:rPr>
            </w:pPr>
            <w:proofErr w:type="spellStart"/>
            <w:r w:rsidRPr="00A73FD8">
              <w:rPr>
                <w:rFonts w:ascii="Times New Roman" w:hAnsi="Times New Roman" w:cs="Times New Roman"/>
                <w:b w:val="0"/>
                <w:bCs w:val="0"/>
              </w:rPr>
              <w:t>Tyagi</w:t>
            </w:r>
            <w:proofErr w:type="spellEnd"/>
            <w:r w:rsidRPr="00A73FD8">
              <w:rPr>
                <w:rFonts w:ascii="Times New Roman" w:hAnsi="Times New Roman" w:cs="Times New Roman"/>
                <w:b w:val="0"/>
                <w:bCs w:val="0"/>
              </w:rPr>
              <w:t xml:space="preserve"> &amp; </w:t>
            </w:r>
            <w:proofErr w:type="spellStart"/>
            <w:r w:rsidRPr="00A73FD8">
              <w:rPr>
                <w:rFonts w:ascii="Times New Roman" w:hAnsi="Times New Roman" w:cs="Times New Roman"/>
                <w:b w:val="0"/>
                <w:bCs w:val="0"/>
              </w:rPr>
              <w:t>Sontakke</w:t>
            </w:r>
            <w:proofErr w:type="spellEnd"/>
            <w:r w:rsidRPr="00A73FD8">
              <w:rPr>
                <w:rFonts w:ascii="Times New Roman" w:hAnsi="Times New Roman" w:cs="Times New Roman"/>
                <w:b w:val="0"/>
                <w:bCs w:val="0"/>
              </w:rPr>
              <w:t xml:space="preserve"> (2023)</w:t>
            </w:r>
          </w:p>
          <w:p w14:paraId="0A88E586" w14:textId="77777777" w:rsidR="002178D3" w:rsidRPr="00A73FD8" w:rsidRDefault="002178D3" w:rsidP="00857DB5">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3108BC73" w14:textId="0A86FF42"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373250E9" w14:textId="49D9799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India</w:t>
            </w:r>
          </w:p>
        </w:tc>
        <w:tc>
          <w:tcPr>
            <w:tcW w:w="2625" w:type="dxa"/>
            <w:noWrap/>
          </w:tcPr>
          <w:p w14:paraId="2056B8EA" w14:textId="49EE826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To explore the significance of timely transition for children with CHD to adult care and outline a </w:t>
            </w:r>
            <w:r w:rsidRPr="00A73FD8">
              <w:rPr>
                <w:rFonts w:ascii="Times New Roman" w:hAnsi="Times New Roman" w:cs="Times New Roman"/>
                <w:lang w:val="en-US"/>
              </w:rPr>
              <w:lastRenderedPageBreak/>
              <w:t>multidisciplinary approach for successful transition.</w:t>
            </w:r>
          </w:p>
        </w:tc>
        <w:tc>
          <w:tcPr>
            <w:tcW w:w="1683" w:type="dxa"/>
            <w:noWrap/>
          </w:tcPr>
          <w:p w14:paraId="3A009A50" w14:textId="35BAE5CA"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Narrative review</w:t>
            </w:r>
          </w:p>
        </w:tc>
        <w:tc>
          <w:tcPr>
            <w:tcW w:w="2099" w:type="dxa"/>
            <w:noWrap/>
          </w:tcPr>
          <w:p w14:paraId="442CB678" w14:textId="7433D62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0260F768" w14:textId="5062CDB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Describes a structured, phased transition model (pre-transition, transition, post-</w:t>
            </w:r>
            <w:r w:rsidRPr="00A73FD8">
              <w:rPr>
                <w:rFonts w:ascii="Times New Roman" w:hAnsi="Times New Roman" w:cs="Times New Roman"/>
                <w:lang w:val="en-US"/>
              </w:rPr>
              <w:lastRenderedPageBreak/>
              <w:t xml:space="preserve">transition) starting at age 12. Emphasizes multidisciplinary care, education, self-management skills, peer contact, and sexual health counseling for girls. </w:t>
            </w:r>
            <w:proofErr w:type="spellStart"/>
            <w:r w:rsidRPr="00A73FD8">
              <w:rPr>
                <w:rFonts w:ascii="Times New Roman" w:hAnsi="Times New Roman" w:cs="Times New Roman"/>
              </w:rPr>
              <w:t>Advocates</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personalized</w:t>
            </w:r>
            <w:proofErr w:type="spellEnd"/>
            <w:r w:rsidRPr="00A73FD8">
              <w:rPr>
                <w:rFonts w:ascii="Times New Roman" w:hAnsi="Times New Roman" w:cs="Times New Roman"/>
              </w:rPr>
              <w:t xml:space="preserve"> plans and monitoring tools like TRAQ.</w:t>
            </w:r>
          </w:p>
        </w:tc>
        <w:tc>
          <w:tcPr>
            <w:tcW w:w="3842" w:type="dxa"/>
            <w:noWrap/>
          </w:tcPr>
          <w:p w14:paraId="5D001424" w14:textId="51EE605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 xml:space="preserve">Emphasizes early, structured transition supported by nurses, psychologists, and other professionals. Highlights importance of patient empowerment, continuity of care, and role of families. </w:t>
            </w:r>
            <w:r w:rsidRPr="00A73FD8">
              <w:rPr>
                <w:rFonts w:ascii="Times New Roman" w:hAnsi="Times New Roman" w:cs="Times New Roman"/>
                <w:lang w:val="en-US"/>
              </w:rPr>
              <w:lastRenderedPageBreak/>
              <w:t>Underscores the need for global implementation of QIs and telemedicine to reduce care gaps and improve outcomes.</w:t>
            </w:r>
          </w:p>
        </w:tc>
      </w:tr>
      <w:tr w:rsidR="002178D3" w:rsidRPr="00A73FD8" w14:paraId="57136308"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31DE74C9" w14:textId="77777777" w:rsidR="002178D3" w:rsidRPr="00A73FD8" w:rsidRDefault="002178D3" w:rsidP="002A5309">
            <w:pPr>
              <w:jc w:val="center"/>
              <w:rPr>
                <w:rFonts w:ascii="Times New Roman" w:hAnsi="Times New Roman" w:cs="Times New Roman"/>
                <w:b w:val="0"/>
                <w:bCs w:val="0"/>
                <w:lang w:val="fr-FR"/>
              </w:rPr>
            </w:pPr>
            <w:r w:rsidRPr="00A73FD8">
              <w:rPr>
                <w:rFonts w:ascii="Times New Roman" w:hAnsi="Times New Roman" w:cs="Times New Roman"/>
                <w:b w:val="0"/>
                <w:bCs w:val="0"/>
                <w:lang w:val="fr-FR"/>
              </w:rPr>
              <w:lastRenderedPageBreak/>
              <w:t xml:space="preserve">Van </w:t>
            </w:r>
            <w:proofErr w:type="spellStart"/>
            <w:r w:rsidRPr="00A73FD8">
              <w:rPr>
                <w:rFonts w:ascii="Times New Roman" w:hAnsi="Times New Roman" w:cs="Times New Roman"/>
                <w:b w:val="0"/>
                <w:bCs w:val="0"/>
                <w:lang w:val="fr-FR"/>
              </w:rPr>
              <w:t>Deyk</w:t>
            </w:r>
            <w:proofErr w:type="spellEnd"/>
            <w:r w:rsidRPr="00A73FD8">
              <w:rPr>
                <w:rFonts w:ascii="Times New Roman" w:hAnsi="Times New Roman" w:cs="Times New Roman"/>
                <w:b w:val="0"/>
                <w:bCs w:val="0"/>
                <w:lang w:val="fr-FR"/>
              </w:rPr>
              <w:t xml:space="preserve"> et al. (2004)</w:t>
            </w:r>
          </w:p>
          <w:p w14:paraId="3E330123" w14:textId="77777777" w:rsidR="002178D3" w:rsidRPr="00A73FD8" w:rsidRDefault="002178D3" w:rsidP="00346F77">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038BC42D" w14:textId="30E28D60"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23F1AD3E" w14:textId="25314F89"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fr-FR" w:eastAsia="it-IT"/>
                <w14:ligatures w14:val="none"/>
              </w:rPr>
            </w:pPr>
            <w:proofErr w:type="spellStart"/>
            <w:r w:rsidRPr="00A73FD8">
              <w:rPr>
                <w:rFonts w:ascii="Times New Roman" w:hAnsi="Times New Roman" w:cs="Times New Roman"/>
              </w:rPr>
              <w:t>Belgium</w:t>
            </w:r>
            <w:proofErr w:type="spellEnd"/>
          </w:p>
        </w:tc>
        <w:tc>
          <w:tcPr>
            <w:tcW w:w="2625" w:type="dxa"/>
            <w:noWrap/>
          </w:tcPr>
          <w:p w14:paraId="098FF486" w14:textId="3E9F4AE2"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examine educational and behavioral challenges in transitioning adolescents with CHD from pediatric to adult-centered care and propose strategies for effective patient education.</w:t>
            </w:r>
          </w:p>
        </w:tc>
        <w:tc>
          <w:tcPr>
            <w:tcW w:w="1683" w:type="dxa"/>
            <w:noWrap/>
          </w:tcPr>
          <w:p w14:paraId="72A479B7" w14:textId="631AFA56"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Narrative review</w:t>
            </w:r>
          </w:p>
        </w:tc>
        <w:tc>
          <w:tcPr>
            <w:tcW w:w="2099" w:type="dxa"/>
            <w:noWrap/>
          </w:tcPr>
          <w:p w14:paraId="2ADE54CC" w14:textId="00853FD2"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Not applicable</w:t>
            </w:r>
          </w:p>
        </w:tc>
        <w:tc>
          <w:tcPr>
            <w:tcW w:w="2039" w:type="dxa"/>
            <w:noWrap/>
          </w:tcPr>
          <w:p w14:paraId="2E67DE91" w14:textId="596382C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Emphasizes a structured educational program tailored to adolescents’ developmental stages, covering CHD knowledge, endocarditis prevention, reproduction, lifestyle, and psychosocial aspects. Advocates nurse-led individualized education and early engagement of patients.</w:t>
            </w:r>
          </w:p>
        </w:tc>
        <w:tc>
          <w:tcPr>
            <w:tcW w:w="3842" w:type="dxa"/>
            <w:noWrap/>
          </w:tcPr>
          <w:p w14:paraId="61D22CF3" w14:textId="6670EDD6"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Significant knowledge gaps exist in both parents and adolescents regarding CHD, medications, endocarditis, and risk management. Structured, repeated, and developmentally appropriate education—led by advanced practice nurses—is key to successful transition and self-management.</w:t>
            </w:r>
          </w:p>
        </w:tc>
      </w:tr>
      <w:tr w:rsidR="002178D3" w:rsidRPr="00A73FD8" w14:paraId="6C7AA8F0"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55897394" w14:textId="77777777" w:rsidR="002178D3" w:rsidRPr="00A73FD8" w:rsidRDefault="002178D3" w:rsidP="002A5309">
            <w:pPr>
              <w:jc w:val="center"/>
              <w:rPr>
                <w:rFonts w:ascii="Times New Roman" w:hAnsi="Times New Roman" w:cs="Times New Roman"/>
                <w:b w:val="0"/>
                <w:bCs w:val="0"/>
              </w:rPr>
            </w:pPr>
            <w:proofErr w:type="spellStart"/>
            <w:r w:rsidRPr="00A73FD8">
              <w:rPr>
                <w:rFonts w:ascii="Times New Roman" w:hAnsi="Times New Roman" w:cs="Times New Roman"/>
                <w:b w:val="0"/>
                <w:bCs w:val="0"/>
              </w:rPr>
              <w:t>Vonder</w:t>
            </w:r>
            <w:proofErr w:type="spellEnd"/>
            <w:r w:rsidRPr="00A73FD8">
              <w:rPr>
                <w:rFonts w:ascii="Times New Roman" w:hAnsi="Times New Roman" w:cs="Times New Roman"/>
                <w:b w:val="0"/>
                <w:bCs w:val="0"/>
              </w:rPr>
              <w:t xml:space="preserve"> </w:t>
            </w:r>
            <w:proofErr w:type="spellStart"/>
            <w:r w:rsidRPr="00A73FD8">
              <w:rPr>
                <w:rFonts w:ascii="Times New Roman" w:hAnsi="Times New Roman" w:cs="Times New Roman"/>
                <w:b w:val="0"/>
                <w:bCs w:val="0"/>
              </w:rPr>
              <w:t>Muhll</w:t>
            </w:r>
            <w:proofErr w:type="spellEnd"/>
            <w:r w:rsidRPr="00A73FD8">
              <w:rPr>
                <w:rFonts w:ascii="Times New Roman" w:hAnsi="Times New Roman" w:cs="Times New Roman"/>
                <w:b w:val="0"/>
                <w:bCs w:val="0"/>
              </w:rPr>
              <w:t xml:space="preserve"> (2020)</w:t>
            </w:r>
          </w:p>
          <w:p w14:paraId="1523D67A" w14:textId="77777777" w:rsidR="002178D3" w:rsidRPr="00A73FD8" w:rsidRDefault="002178D3" w:rsidP="00427724">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12D6CB7B" w14:textId="72B93F2F"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5548EAAD" w14:textId="0C8FE20D"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Canada</w:t>
            </w:r>
          </w:p>
        </w:tc>
        <w:tc>
          <w:tcPr>
            <w:tcW w:w="2625" w:type="dxa"/>
            <w:noWrap/>
          </w:tcPr>
          <w:p w14:paraId="695FC324" w14:textId="79139E8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To reflect on global progress in transition from pediatric to adult care for adolescents with CHD and examine system-level </w:t>
            </w:r>
            <w:r w:rsidRPr="00A73FD8">
              <w:rPr>
                <w:rFonts w:ascii="Times New Roman" w:hAnsi="Times New Roman" w:cs="Times New Roman"/>
                <w:lang w:val="en-US"/>
              </w:rPr>
              <w:lastRenderedPageBreak/>
              <w:t>predictors of successful transfer.</w:t>
            </w:r>
          </w:p>
        </w:tc>
        <w:tc>
          <w:tcPr>
            <w:tcW w:w="1683" w:type="dxa"/>
            <w:noWrap/>
          </w:tcPr>
          <w:p w14:paraId="19CE232F" w14:textId="7EE0E5E3"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Editorial commentary with synthesis of empirical studies</w:t>
            </w:r>
          </w:p>
        </w:tc>
        <w:tc>
          <w:tcPr>
            <w:tcW w:w="2099" w:type="dxa"/>
            <w:noWrap/>
          </w:tcPr>
          <w:p w14:paraId="14287328" w14:textId="50561C47"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Not </w:t>
            </w:r>
            <w:proofErr w:type="spellStart"/>
            <w:r w:rsidRPr="00A73FD8">
              <w:rPr>
                <w:rFonts w:ascii="Times New Roman" w:hAnsi="Times New Roman" w:cs="Times New Roman"/>
              </w:rPr>
              <w:t>applicable</w:t>
            </w:r>
            <w:proofErr w:type="spellEnd"/>
          </w:p>
        </w:tc>
        <w:tc>
          <w:tcPr>
            <w:tcW w:w="2039" w:type="dxa"/>
            <w:noWrap/>
          </w:tcPr>
          <w:p w14:paraId="6ED67808" w14:textId="528578B9"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Discusses various models (structured programs vs. simple transfer letters); highlights </w:t>
            </w:r>
            <w:r w:rsidRPr="00A73FD8">
              <w:rPr>
                <w:rFonts w:ascii="Times New Roman" w:hAnsi="Times New Roman" w:cs="Times New Roman"/>
                <w:lang w:val="en-US"/>
              </w:rPr>
              <w:lastRenderedPageBreak/>
              <w:t>international differences based on health system architecture, insurance coverage, and program volume.</w:t>
            </w:r>
          </w:p>
        </w:tc>
        <w:tc>
          <w:tcPr>
            <w:tcW w:w="3842" w:type="dxa"/>
            <w:noWrap/>
          </w:tcPr>
          <w:p w14:paraId="34C7B515" w14:textId="35C70C7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lastRenderedPageBreak/>
              <w:t xml:space="preserve">Successful transition is driven not only by patient factors but also by system-level elements: universal health insurance, co-located pediatric/adult programs, shared medical records, and </w:t>
            </w:r>
            <w:r w:rsidRPr="00A73FD8">
              <w:rPr>
                <w:rFonts w:ascii="Times New Roman" w:hAnsi="Times New Roman" w:cs="Times New Roman"/>
                <w:lang w:val="en-US"/>
              </w:rPr>
              <w:lastRenderedPageBreak/>
              <w:t>administrative coordination. Sweden and Belgium show high follow-up retention. Interventions must go beyond patient education to structural reforms.</w:t>
            </w:r>
          </w:p>
        </w:tc>
      </w:tr>
      <w:tr w:rsidR="002178D3" w:rsidRPr="00A73FD8" w14:paraId="522B2BE1"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C0717A2" w14:textId="77777777" w:rsidR="002178D3" w:rsidRPr="00A73FD8" w:rsidRDefault="002178D3" w:rsidP="002A5309">
            <w:pPr>
              <w:jc w:val="center"/>
              <w:rPr>
                <w:rFonts w:ascii="Times New Roman" w:hAnsi="Times New Roman" w:cs="Times New Roman"/>
                <w:b w:val="0"/>
                <w:bCs w:val="0"/>
                <w:lang w:val="fr-FR"/>
              </w:rPr>
            </w:pPr>
            <w:r w:rsidRPr="00A73FD8">
              <w:rPr>
                <w:rFonts w:ascii="Times New Roman" w:hAnsi="Times New Roman" w:cs="Times New Roman"/>
                <w:b w:val="0"/>
                <w:bCs w:val="0"/>
                <w:lang w:val="fr-FR"/>
              </w:rPr>
              <w:lastRenderedPageBreak/>
              <w:t>Werner et al. (2021)</w:t>
            </w:r>
          </w:p>
          <w:p w14:paraId="372292EB" w14:textId="77777777" w:rsidR="002178D3" w:rsidRPr="00A73FD8" w:rsidRDefault="002178D3" w:rsidP="00CE741A">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5178616C" w14:textId="3513C9BE"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123E5E47" w14:textId="1582F831"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France</w:t>
            </w:r>
          </w:p>
        </w:tc>
        <w:tc>
          <w:tcPr>
            <w:tcW w:w="2625" w:type="dxa"/>
            <w:noWrap/>
          </w:tcPr>
          <w:p w14:paraId="7DB38ECC" w14:textId="7ACA7027"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assess the impact of a structured transition education program on health-related quality of life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in adolescents and young adults with CHD.</w:t>
            </w:r>
          </w:p>
        </w:tc>
        <w:tc>
          <w:tcPr>
            <w:tcW w:w="1683" w:type="dxa"/>
            <w:noWrap/>
          </w:tcPr>
          <w:p w14:paraId="6C7A3379" w14:textId="33A67A6F"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Study protocol for RCT</w:t>
            </w:r>
          </w:p>
        </w:tc>
        <w:tc>
          <w:tcPr>
            <w:tcW w:w="2099" w:type="dxa"/>
            <w:noWrap/>
          </w:tcPr>
          <w:p w14:paraId="2715A377" w14:textId="498AA463"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200 CHD patients aged 13–25 years (100 per arm), recruited in 3 tertiary centers</w:t>
            </w:r>
          </w:p>
        </w:tc>
        <w:tc>
          <w:tcPr>
            <w:tcW w:w="2039" w:type="dxa"/>
            <w:noWrap/>
          </w:tcPr>
          <w:p w14:paraId="042CE579" w14:textId="06C7C824"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Three-part program: (1) individual educational visit with a nurse; (2) 1-day group session with a multidisciplinary team; (3) joint pediatric–adult cardiology visit. Covers CHD knowledge, self-efficacy, psychosocial issues, and administrative guidance.</w:t>
            </w:r>
          </w:p>
        </w:tc>
        <w:tc>
          <w:tcPr>
            <w:tcW w:w="3842" w:type="dxa"/>
            <w:noWrap/>
          </w:tcPr>
          <w:p w14:paraId="496C133F" w14:textId="43FD477A" w:rsidR="002178D3" w:rsidRPr="00A73FD8" w:rsidRDefault="002178D3" w:rsidP="002A53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Primary outcome: change in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xml:space="preserve"> at 12 months (</w:t>
            </w:r>
            <w:proofErr w:type="spellStart"/>
            <w:r w:rsidRPr="00A73FD8">
              <w:rPr>
                <w:rFonts w:ascii="Times New Roman" w:hAnsi="Times New Roman" w:cs="Times New Roman"/>
                <w:lang w:val="en-US"/>
              </w:rPr>
              <w:t>PedsQL</w:t>
            </w:r>
            <w:proofErr w:type="spellEnd"/>
            <w:r w:rsidRPr="00A73FD8">
              <w:rPr>
                <w:rFonts w:ascii="Times New Roman" w:hAnsi="Times New Roman" w:cs="Times New Roman"/>
                <w:lang w:val="en-US"/>
              </w:rPr>
              <w:t xml:space="preserve">). Secondary outcomes: clinical data, knowledge, exercise capacity, psychosocial status. Hypothesis: education will improve </w:t>
            </w:r>
            <w:proofErr w:type="spellStart"/>
            <w:r w:rsidRPr="00A73FD8">
              <w:rPr>
                <w:rFonts w:ascii="Times New Roman" w:hAnsi="Times New Roman" w:cs="Times New Roman"/>
                <w:lang w:val="en-US"/>
              </w:rPr>
              <w:t>HRQoL</w:t>
            </w:r>
            <w:proofErr w:type="spellEnd"/>
            <w:r w:rsidRPr="00A73FD8">
              <w:rPr>
                <w:rFonts w:ascii="Times New Roman" w:hAnsi="Times New Roman" w:cs="Times New Roman"/>
                <w:lang w:val="en-US"/>
              </w:rPr>
              <w:t xml:space="preserve"> by 7±13.5 points. Qualitative analysis will assess participant experiences and program acceptability. </w:t>
            </w:r>
            <w:proofErr w:type="spellStart"/>
            <w:r w:rsidRPr="00A73FD8">
              <w:rPr>
                <w:rFonts w:ascii="Times New Roman" w:hAnsi="Times New Roman" w:cs="Times New Roman"/>
              </w:rPr>
              <w:t>Results</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pending</w:t>
            </w:r>
            <w:proofErr w:type="spellEnd"/>
            <w:r w:rsidRPr="00A73FD8">
              <w:rPr>
                <w:rFonts w:ascii="Times New Roman" w:hAnsi="Times New Roman" w:cs="Times New Roman"/>
              </w:rPr>
              <w:t>.</w:t>
            </w:r>
          </w:p>
        </w:tc>
      </w:tr>
      <w:tr w:rsidR="002178D3" w:rsidRPr="00A73FD8" w14:paraId="5E41BF6A"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F28CC7F" w14:textId="77777777" w:rsidR="002178D3" w:rsidRPr="00A73FD8" w:rsidRDefault="002178D3" w:rsidP="002A5309">
            <w:pPr>
              <w:jc w:val="center"/>
              <w:rPr>
                <w:rFonts w:ascii="Times New Roman" w:hAnsi="Times New Roman" w:cs="Times New Roman"/>
                <w:b w:val="0"/>
                <w:bCs w:val="0"/>
              </w:rPr>
            </w:pPr>
            <w:r w:rsidRPr="00A73FD8">
              <w:rPr>
                <w:rFonts w:ascii="Times New Roman" w:hAnsi="Times New Roman" w:cs="Times New Roman"/>
                <w:b w:val="0"/>
                <w:bCs w:val="0"/>
              </w:rPr>
              <w:t>Williams (2015)</w:t>
            </w:r>
          </w:p>
          <w:p w14:paraId="5B3A1D72" w14:textId="77777777" w:rsidR="002178D3" w:rsidRPr="00A73FD8" w:rsidRDefault="002178D3" w:rsidP="002027F1">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5FC6A671" w14:textId="13900B7D" w:rsidR="002178D3" w:rsidRPr="00A73FD8" w:rsidRDefault="002178D3" w:rsidP="002A5309">
            <w:pPr>
              <w:jc w:val="center"/>
              <w:rPr>
                <w:rFonts w:ascii="Times New Roman" w:hAnsi="Times New Roman" w:cs="Times New Roman"/>
                <w:b w:val="0"/>
                <w:bCs w:val="0"/>
                <w:color w:val="000000"/>
                <w:lang w:val="en-US"/>
              </w:rPr>
            </w:pPr>
          </w:p>
        </w:tc>
        <w:tc>
          <w:tcPr>
            <w:tcW w:w="1472" w:type="dxa"/>
            <w:noWrap/>
          </w:tcPr>
          <w:p w14:paraId="62EC146A" w14:textId="27BE756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USA</w:t>
            </w:r>
          </w:p>
        </w:tc>
        <w:tc>
          <w:tcPr>
            <w:tcW w:w="2625" w:type="dxa"/>
            <w:noWrap/>
          </w:tcPr>
          <w:p w14:paraId="15D81EC5" w14:textId="5E65999E"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summarize challenges, successes, and recommendations related to the transition of youth with congenital heart disease to adult healthcare.</w:t>
            </w:r>
          </w:p>
        </w:tc>
        <w:tc>
          <w:tcPr>
            <w:tcW w:w="1683" w:type="dxa"/>
            <w:noWrap/>
          </w:tcPr>
          <w:p w14:paraId="1F213380" w14:textId="23773431"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Narrative review </w:t>
            </w:r>
          </w:p>
        </w:tc>
        <w:tc>
          <w:tcPr>
            <w:tcW w:w="2099" w:type="dxa"/>
            <w:noWrap/>
          </w:tcPr>
          <w:p w14:paraId="57C1775C" w14:textId="2266D2BB"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340CF7AA" w14:textId="0FCE29B8"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Emphasizes transition as a process involving preparation, transfer, and continuity of care. Recommends early, continuous education; integration of pediatric and adult systems; and individualized approaches.</w:t>
            </w:r>
          </w:p>
        </w:tc>
        <w:tc>
          <w:tcPr>
            <w:tcW w:w="3842" w:type="dxa"/>
            <w:noWrap/>
          </w:tcPr>
          <w:p w14:paraId="7085F62B" w14:textId="456A0771"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High loss to follow-up globally. Key barriers: lack of preparation, low health literacy, cognitive deficits, psychosocial issues, and insufficient ACHD workforce. Successful systems (e.g., Belgium) use integrated records, nurse-led education, and proximity of services. Calls for systemic change, including more ACHD centers, formal training, and personalized transition planning.</w:t>
            </w:r>
          </w:p>
        </w:tc>
      </w:tr>
      <w:tr w:rsidR="002178D3" w:rsidRPr="00A73FD8" w14:paraId="61EF2A96" w14:textId="77777777" w:rsidTr="006F66E9">
        <w:trPr>
          <w:gridAfter w:val="1"/>
          <w:cnfStyle w:val="000000100000" w:firstRow="0" w:lastRow="0" w:firstColumn="0" w:lastColumn="0" w:oddVBand="0" w:evenVBand="0" w:oddHBand="1" w:evenHBand="0" w:firstRowFirstColumn="0" w:firstRowLastColumn="0" w:lastRowFirstColumn="0" w:lastRowLastColumn="0"/>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7AA8198C" w14:textId="77777777" w:rsidR="002178D3" w:rsidRPr="00A73FD8" w:rsidRDefault="002178D3" w:rsidP="00142646">
            <w:pPr>
              <w:jc w:val="center"/>
              <w:rPr>
                <w:rFonts w:ascii="Times New Roman" w:hAnsi="Times New Roman" w:cs="Times New Roman"/>
                <w:b w:val="0"/>
                <w:bCs w:val="0"/>
                <w:lang w:val="fr-FR"/>
              </w:rPr>
            </w:pPr>
            <w:proofErr w:type="spellStart"/>
            <w:r w:rsidRPr="00A73FD8">
              <w:rPr>
                <w:rFonts w:ascii="Times New Roman" w:hAnsi="Times New Roman" w:cs="Times New Roman"/>
                <w:b w:val="0"/>
                <w:bCs w:val="0"/>
                <w:lang w:val="fr-FR"/>
              </w:rPr>
              <w:lastRenderedPageBreak/>
              <w:t>Yamamura</w:t>
            </w:r>
            <w:proofErr w:type="spellEnd"/>
            <w:r w:rsidRPr="00A73FD8">
              <w:rPr>
                <w:rFonts w:ascii="Times New Roman" w:hAnsi="Times New Roman" w:cs="Times New Roman"/>
                <w:b w:val="0"/>
                <w:bCs w:val="0"/>
                <w:lang w:val="fr-FR"/>
              </w:rPr>
              <w:t xml:space="preserve"> et al. (2022)</w:t>
            </w:r>
          </w:p>
          <w:p w14:paraId="1DE8F9CF" w14:textId="77777777" w:rsidR="002178D3" w:rsidRPr="00A73FD8" w:rsidRDefault="002178D3" w:rsidP="00142646">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451FEA7D" w14:textId="6C642307" w:rsidR="002178D3" w:rsidRPr="00A73FD8" w:rsidRDefault="002178D3" w:rsidP="00142646">
            <w:pPr>
              <w:jc w:val="center"/>
              <w:rPr>
                <w:rFonts w:ascii="Times New Roman" w:hAnsi="Times New Roman" w:cs="Times New Roman"/>
                <w:b w:val="0"/>
                <w:bCs w:val="0"/>
                <w:color w:val="000000"/>
                <w:lang w:val="fr-FR"/>
              </w:rPr>
            </w:pPr>
          </w:p>
        </w:tc>
        <w:tc>
          <w:tcPr>
            <w:tcW w:w="1472" w:type="dxa"/>
            <w:noWrap/>
          </w:tcPr>
          <w:p w14:paraId="74738650" w14:textId="221F6787"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Japan</w:t>
            </w:r>
          </w:p>
        </w:tc>
        <w:tc>
          <w:tcPr>
            <w:tcW w:w="2625" w:type="dxa"/>
            <w:noWrap/>
          </w:tcPr>
          <w:p w14:paraId="0EF4A127" w14:textId="1C6FFC10"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To review the principles and practice of transitional care in pediatric cardiology and propose structured approaches to improve continuity for adolescents with CHD transitioning to adult care.</w:t>
            </w:r>
          </w:p>
        </w:tc>
        <w:tc>
          <w:tcPr>
            <w:tcW w:w="1683" w:type="dxa"/>
            <w:noWrap/>
          </w:tcPr>
          <w:p w14:paraId="59D712D5" w14:textId="70468D10"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rPr>
              <w:t xml:space="preserve">Narrative review </w:t>
            </w:r>
          </w:p>
        </w:tc>
        <w:tc>
          <w:tcPr>
            <w:tcW w:w="2099" w:type="dxa"/>
            <w:noWrap/>
          </w:tcPr>
          <w:p w14:paraId="2AFA6207" w14:textId="5D9EA216"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Not applicable</w:t>
            </w:r>
          </w:p>
        </w:tc>
        <w:tc>
          <w:tcPr>
            <w:tcW w:w="2039" w:type="dxa"/>
            <w:noWrap/>
          </w:tcPr>
          <w:p w14:paraId="628F688E" w14:textId="23CC9693"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Emphasizes early, individualized education (starting from age 4–7), stepwise shift in responsibility, coordination of medical and social/welfare transitions, and multidisciplinary collaboration. </w:t>
            </w:r>
            <w:proofErr w:type="spellStart"/>
            <w:r w:rsidRPr="00A73FD8">
              <w:rPr>
                <w:rFonts w:ascii="Times New Roman" w:hAnsi="Times New Roman" w:cs="Times New Roman"/>
              </w:rPr>
              <w:t>Uses</w:t>
            </w:r>
            <w:proofErr w:type="spellEnd"/>
            <w:r w:rsidRPr="00A73FD8">
              <w:rPr>
                <w:rFonts w:ascii="Times New Roman" w:hAnsi="Times New Roman" w:cs="Times New Roman"/>
              </w:rPr>
              <w:t xml:space="preserve"> tools like </w:t>
            </w:r>
            <w:proofErr w:type="spellStart"/>
            <w:r w:rsidRPr="00A73FD8">
              <w:rPr>
                <w:rFonts w:ascii="Times New Roman" w:hAnsi="Times New Roman" w:cs="Times New Roman"/>
              </w:rPr>
              <w:t>readiness</w:t>
            </w:r>
            <w:proofErr w:type="spellEnd"/>
            <w:r w:rsidRPr="00A73FD8">
              <w:rPr>
                <w:rFonts w:ascii="Times New Roman" w:hAnsi="Times New Roman" w:cs="Times New Roman"/>
              </w:rPr>
              <w:t xml:space="preserve"> checklists and </w:t>
            </w:r>
            <w:proofErr w:type="spellStart"/>
            <w:r w:rsidRPr="00A73FD8">
              <w:rPr>
                <w:rFonts w:ascii="Times New Roman" w:hAnsi="Times New Roman" w:cs="Times New Roman"/>
              </w:rPr>
              <w:t>tailored</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communication</w:t>
            </w:r>
            <w:proofErr w:type="spellEnd"/>
            <w:r w:rsidRPr="00A73FD8">
              <w:rPr>
                <w:rFonts w:ascii="Times New Roman" w:hAnsi="Times New Roman" w:cs="Times New Roman"/>
              </w:rPr>
              <w:t>.</w:t>
            </w:r>
          </w:p>
        </w:tc>
        <w:tc>
          <w:tcPr>
            <w:tcW w:w="3842" w:type="dxa"/>
            <w:noWrap/>
          </w:tcPr>
          <w:p w14:paraId="32AAEA66" w14:textId="0F25C343" w:rsidR="002178D3" w:rsidRPr="00A73FD8" w:rsidRDefault="002178D3" w:rsidP="001426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Japan has begun developing guidelines and tools, but specialized transitional care remains limited. Early, repeated education is key. System-level differences between pediatric and adult care must be addressed. Cardiologists should lead cross-specialty collaboration. Calls for </w:t>
            </w:r>
            <w:r w:rsidRPr="00A73FD8">
              <w:rPr>
                <w:rFonts w:ascii="Times New Roman" w:hAnsi="Times New Roman" w:cs="Times New Roman"/>
                <w:lang w:val="en-US"/>
              </w:rPr>
              <w:t xml:space="preserve">the </w:t>
            </w:r>
            <w:r w:rsidRPr="00A73FD8">
              <w:rPr>
                <w:rFonts w:ascii="Times New Roman" w:hAnsi="Times New Roman" w:cs="Times New Roman"/>
                <w:lang w:val="en-US"/>
              </w:rPr>
              <w:t>integration of social services and reproductive counseling into transition planning.</w:t>
            </w:r>
          </w:p>
        </w:tc>
      </w:tr>
      <w:tr w:rsidR="002178D3" w:rsidRPr="00A73FD8" w14:paraId="1A7D50B2" w14:textId="77777777" w:rsidTr="006F66E9">
        <w:trPr>
          <w:gridAfter w:val="1"/>
          <w:wAfter w:w="7" w:type="dxa"/>
          <w:trHeight w:val="295"/>
        </w:trPr>
        <w:tc>
          <w:tcPr>
            <w:cnfStyle w:val="001000000000" w:firstRow="0" w:lastRow="0" w:firstColumn="1" w:lastColumn="0" w:oddVBand="0" w:evenVBand="0" w:oddHBand="0" w:evenHBand="0" w:firstRowFirstColumn="0" w:firstRowLastColumn="0" w:lastRowFirstColumn="0" w:lastRowLastColumn="0"/>
            <w:tcW w:w="1701" w:type="dxa"/>
            <w:noWrap/>
          </w:tcPr>
          <w:p w14:paraId="6B633B30" w14:textId="77777777" w:rsidR="002178D3" w:rsidRPr="00A73FD8" w:rsidRDefault="002178D3" w:rsidP="002A5309">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Yap et al. (2023)</w:t>
            </w:r>
          </w:p>
          <w:p w14:paraId="58E294E0" w14:textId="77777777" w:rsidR="002178D3" w:rsidRPr="00A73FD8" w:rsidRDefault="002178D3" w:rsidP="003130A3">
            <w:pPr>
              <w:jc w:val="center"/>
              <w:rPr>
                <w:rFonts w:ascii="Times New Roman" w:hAnsi="Times New Roman" w:cs="Times New Roman"/>
                <w:b w:val="0"/>
                <w:bCs w:val="0"/>
                <w:lang w:val="fr-FR"/>
              </w:rPr>
            </w:pPr>
            <w:r w:rsidRPr="00A73FD8">
              <w:rPr>
                <w:rFonts w:ascii="Times New Roman" w:hAnsi="Times New Roman" w:cs="Times New Roman"/>
                <w:b w:val="0"/>
                <w:bCs w:val="0"/>
                <w:lang w:val="fr-FR"/>
              </w:rPr>
              <w:t>Journal Article</w:t>
            </w:r>
          </w:p>
          <w:p w14:paraId="2B4A3D80" w14:textId="3C5B0ECA" w:rsidR="002178D3" w:rsidRPr="00A73FD8" w:rsidRDefault="002178D3" w:rsidP="002A5309">
            <w:pPr>
              <w:jc w:val="center"/>
              <w:rPr>
                <w:rFonts w:ascii="Times New Roman" w:hAnsi="Times New Roman" w:cs="Times New Roman"/>
                <w:b w:val="0"/>
                <w:bCs w:val="0"/>
                <w:color w:val="000000"/>
                <w:lang w:val="fr-FR"/>
              </w:rPr>
            </w:pPr>
          </w:p>
        </w:tc>
        <w:tc>
          <w:tcPr>
            <w:tcW w:w="1472" w:type="dxa"/>
            <w:noWrap/>
          </w:tcPr>
          <w:p w14:paraId="5A2634B6" w14:textId="0E0622C1"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UK</w:t>
            </w:r>
          </w:p>
        </w:tc>
        <w:tc>
          <w:tcPr>
            <w:tcW w:w="2625" w:type="dxa"/>
            <w:noWrap/>
          </w:tcPr>
          <w:p w14:paraId="06C10276" w14:textId="1A3A7B8D"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eastAsia="Times New Roman" w:hAnsi="Times New Roman" w:cs="Times New Roman"/>
                <w:color w:val="000000"/>
                <w:kern w:val="0"/>
                <w:lang w:val="en-US" w:eastAsia="it-IT"/>
                <w14:ligatures w14:val="none"/>
              </w:rPr>
              <w:t>To evaluate the effectiveness of the Cambridge cardiac transition pathway in achieving successful transfer to adult CHD care.</w:t>
            </w:r>
          </w:p>
        </w:tc>
        <w:tc>
          <w:tcPr>
            <w:tcW w:w="1683" w:type="dxa"/>
            <w:noWrap/>
          </w:tcPr>
          <w:p w14:paraId="35882243" w14:textId="299003FC"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proofErr w:type="spellStart"/>
            <w:r w:rsidRPr="00A73FD8">
              <w:rPr>
                <w:rFonts w:ascii="Times New Roman" w:hAnsi="Times New Roman" w:cs="Times New Roman"/>
              </w:rPr>
              <w:t>Retrospective</w:t>
            </w:r>
            <w:proofErr w:type="spellEnd"/>
            <w:r w:rsidRPr="00A73FD8">
              <w:rPr>
                <w:rFonts w:ascii="Times New Roman" w:hAnsi="Times New Roman" w:cs="Times New Roman"/>
              </w:rPr>
              <w:t xml:space="preserve"> observational study</w:t>
            </w:r>
          </w:p>
        </w:tc>
        <w:tc>
          <w:tcPr>
            <w:tcW w:w="2099" w:type="dxa"/>
            <w:noWrap/>
          </w:tcPr>
          <w:p w14:paraId="4297436D" w14:textId="5BB79E76"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179 adolescents with CHD (ages 15–19) seen in the joint transition clinic (2009–2018); 142 eligible for analysis</w:t>
            </w:r>
          </w:p>
        </w:tc>
        <w:tc>
          <w:tcPr>
            <w:tcW w:w="2039" w:type="dxa"/>
            <w:noWrap/>
          </w:tcPr>
          <w:p w14:paraId="40027355" w14:textId="36E554AD"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Structured, joint pediatric-adult CHD transition clinic with nurse and psychologist support, pre-transfer assessment, separate meetings, education on lifestyle, contraception, and planning. </w:t>
            </w:r>
            <w:proofErr w:type="spellStart"/>
            <w:r w:rsidRPr="00A73FD8">
              <w:rPr>
                <w:rFonts w:ascii="Times New Roman" w:hAnsi="Times New Roman" w:cs="Times New Roman"/>
              </w:rPr>
              <w:t>Reminders</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used</w:t>
            </w:r>
            <w:proofErr w:type="spellEnd"/>
            <w:r w:rsidRPr="00A73FD8">
              <w:rPr>
                <w:rFonts w:ascii="Times New Roman" w:hAnsi="Times New Roman" w:cs="Times New Roman"/>
              </w:rPr>
              <w:t xml:space="preserve"> to </w:t>
            </w:r>
            <w:proofErr w:type="spellStart"/>
            <w:r w:rsidRPr="00A73FD8">
              <w:rPr>
                <w:rFonts w:ascii="Times New Roman" w:hAnsi="Times New Roman" w:cs="Times New Roman"/>
              </w:rPr>
              <w:t>ensure</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attendance</w:t>
            </w:r>
            <w:proofErr w:type="spellEnd"/>
            <w:r w:rsidRPr="00A73FD8">
              <w:rPr>
                <w:rFonts w:ascii="Times New Roman" w:hAnsi="Times New Roman" w:cs="Times New Roman"/>
              </w:rPr>
              <w:t>.</w:t>
            </w:r>
          </w:p>
        </w:tc>
        <w:tc>
          <w:tcPr>
            <w:tcW w:w="3842" w:type="dxa"/>
            <w:noWrap/>
          </w:tcPr>
          <w:p w14:paraId="390F4957" w14:textId="1C963E45" w:rsidR="002178D3" w:rsidRPr="00A73FD8" w:rsidRDefault="002178D3" w:rsidP="002A53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US" w:eastAsia="it-IT"/>
                <w14:ligatures w14:val="none"/>
              </w:rPr>
            </w:pPr>
            <w:r w:rsidRPr="00A73FD8">
              <w:rPr>
                <w:rFonts w:ascii="Times New Roman" w:hAnsi="Times New Roman" w:cs="Times New Roman"/>
                <w:lang w:val="en-US"/>
              </w:rPr>
              <w:t xml:space="preserve">98.6% successfully transferred; 78% attended first adult visit directly, 20% after reminders, and only 1.4% failed. Key factors: joint clinics, early planning, involvement of adult team, nurse-led coordination. </w:t>
            </w:r>
            <w:r w:rsidRPr="00A73FD8">
              <w:rPr>
                <w:rFonts w:ascii="Times New Roman" w:hAnsi="Times New Roman" w:cs="Times New Roman"/>
              </w:rPr>
              <w:t xml:space="preserve">Model </w:t>
            </w:r>
            <w:proofErr w:type="spellStart"/>
            <w:r w:rsidRPr="00A73FD8">
              <w:rPr>
                <w:rFonts w:ascii="Times New Roman" w:hAnsi="Times New Roman" w:cs="Times New Roman"/>
              </w:rPr>
              <w:t>deemed</w:t>
            </w:r>
            <w:proofErr w:type="spellEnd"/>
            <w:r w:rsidRPr="00A73FD8">
              <w:rPr>
                <w:rFonts w:ascii="Times New Roman" w:hAnsi="Times New Roman" w:cs="Times New Roman"/>
              </w:rPr>
              <w:t xml:space="preserve"> </w:t>
            </w:r>
            <w:proofErr w:type="spellStart"/>
            <w:r w:rsidRPr="00A73FD8">
              <w:rPr>
                <w:rFonts w:ascii="Times New Roman" w:hAnsi="Times New Roman" w:cs="Times New Roman"/>
              </w:rPr>
              <w:t>effective</w:t>
            </w:r>
            <w:proofErr w:type="spellEnd"/>
            <w:r w:rsidRPr="00A73FD8">
              <w:rPr>
                <w:rFonts w:ascii="Times New Roman" w:hAnsi="Times New Roman" w:cs="Times New Roman"/>
              </w:rPr>
              <w:t xml:space="preserve"> and </w:t>
            </w:r>
            <w:proofErr w:type="spellStart"/>
            <w:r w:rsidRPr="00A73FD8">
              <w:rPr>
                <w:rFonts w:ascii="Times New Roman" w:hAnsi="Times New Roman" w:cs="Times New Roman"/>
              </w:rPr>
              <w:t>replicable</w:t>
            </w:r>
            <w:proofErr w:type="spellEnd"/>
            <w:r w:rsidRPr="00A73FD8">
              <w:rPr>
                <w:rFonts w:ascii="Times New Roman" w:hAnsi="Times New Roman" w:cs="Times New Roman"/>
              </w:rPr>
              <w:t>.</w:t>
            </w:r>
          </w:p>
        </w:tc>
      </w:tr>
      <w:tr w:rsidR="002178D3" w:rsidRPr="00A73FD8" w14:paraId="1B1AE480" w14:textId="77777777" w:rsidTr="006F66E9">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5468" w:type="dxa"/>
            <w:gridSpan w:val="8"/>
            <w:noWrap/>
          </w:tcPr>
          <w:p w14:paraId="68727EF2" w14:textId="5FDF9169" w:rsidR="002178D3" w:rsidRPr="00A73FD8" w:rsidRDefault="002178D3" w:rsidP="002A5309">
            <w:pPr>
              <w:rPr>
                <w:rFonts w:ascii="Times New Roman" w:eastAsia="Times New Roman" w:hAnsi="Times New Roman" w:cs="Times New Roman"/>
                <w:b w:val="0"/>
                <w:bCs w:val="0"/>
                <w:color w:val="000000"/>
                <w:kern w:val="0"/>
                <w:lang w:val="en-US" w:eastAsia="it-IT"/>
                <w14:ligatures w14:val="none"/>
              </w:rPr>
            </w:pPr>
            <w:r w:rsidRPr="00A73FD8">
              <w:rPr>
                <w:rFonts w:ascii="Times New Roman" w:eastAsia="Times New Roman" w:hAnsi="Times New Roman" w:cs="Times New Roman"/>
                <w:b w:val="0"/>
                <w:bCs w:val="0"/>
                <w:color w:val="000000"/>
                <w:kern w:val="0"/>
                <w:lang w:val="en-US" w:eastAsia="it-IT"/>
                <w14:ligatures w14:val="none"/>
              </w:rPr>
              <w:t>Legend:</w:t>
            </w:r>
          </w:p>
          <w:p w14:paraId="499CB00E" w14:textId="4128A3A2" w:rsidR="002178D3" w:rsidRPr="00A73FD8" w:rsidRDefault="002178D3" w:rsidP="002A5309">
            <w:pPr>
              <w:rPr>
                <w:rFonts w:ascii="Times New Roman" w:eastAsia="Times New Roman" w:hAnsi="Times New Roman" w:cs="Times New Roman"/>
                <w:b w:val="0"/>
                <w:bCs w:val="0"/>
                <w:color w:val="000000"/>
                <w:kern w:val="0"/>
                <w:lang w:val="en-US" w:eastAsia="it-IT"/>
                <w14:ligatures w14:val="none"/>
              </w:rPr>
            </w:pPr>
            <w:r w:rsidRPr="00A73FD8">
              <w:rPr>
                <w:rFonts w:ascii="Times New Roman" w:eastAsia="Times New Roman" w:hAnsi="Times New Roman" w:cs="Times New Roman"/>
                <w:b w:val="0"/>
                <w:bCs w:val="0"/>
                <w:color w:val="000000"/>
                <w:kern w:val="0"/>
                <w:lang w:val="en-US" w:eastAsia="it-IT"/>
                <w14:ligatures w14:val="none"/>
              </w:rPr>
              <w:t>CHD: Congenital Heart Disease; IG: Intervention Group; CG: Control Group; CCCG: Contamination Check Control Group; RCT: Randomized Controlled Trial; PROs: Patient-Reported Outcomes; RI-CLPM: Random-Intercept Cross-Lagged Panel Model; T0: Baseline time point (start of the study); T1: Follow-up time point (first follow-up); T2: Final follow-up time point; LLCC: Lifelong Cardiac Care; ACHD: Adult Congenital Heart Disease; TRAQ: Transition Readiness Assessment Questionnaire; AAP: American Academy of Pediatrics; ACP: American College of Physicians</w:t>
            </w:r>
          </w:p>
        </w:tc>
      </w:tr>
    </w:tbl>
    <w:p w14:paraId="5F282B36" w14:textId="77777777" w:rsidR="003A406D" w:rsidRPr="008F6975" w:rsidRDefault="003A406D">
      <w:pPr>
        <w:rPr>
          <w:lang w:val="en-US"/>
        </w:rPr>
      </w:pPr>
    </w:p>
    <w:sectPr w:rsidR="003A406D" w:rsidRPr="008F6975" w:rsidSect="006E2D7D">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3MLU0MjMyMbY0MjFR0lEKTi0uzszPAykwrwUA9Dod6SwAAAA="/>
  </w:docVars>
  <w:rsids>
    <w:rsidRoot w:val="000E008C"/>
    <w:rsid w:val="00057F44"/>
    <w:rsid w:val="00060B8A"/>
    <w:rsid w:val="00070999"/>
    <w:rsid w:val="00076A3B"/>
    <w:rsid w:val="0009310C"/>
    <w:rsid w:val="00095B43"/>
    <w:rsid w:val="00097E2C"/>
    <w:rsid w:val="000A0C70"/>
    <w:rsid w:val="000A18EF"/>
    <w:rsid w:val="000B4535"/>
    <w:rsid w:val="000C1840"/>
    <w:rsid w:val="000E008C"/>
    <w:rsid w:val="000E6C51"/>
    <w:rsid w:val="000F69E7"/>
    <w:rsid w:val="00142646"/>
    <w:rsid w:val="00160714"/>
    <w:rsid w:val="00170049"/>
    <w:rsid w:val="001730D2"/>
    <w:rsid w:val="00175AF6"/>
    <w:rsid w:val="00175B90"/>
    <w:rsid w:val="001B2A40"/>
    <w:rsid w:val="001D2034"/>
    <w:rsid w:val="001E1FD8"/>
    <w:rsid w:val="001F48D6"/>
    <w:rsid w:val="0020160C"/>
    <w:rsid w:val="002027F1"/>
    <w:rsid w:val="00214AAC"/>
    <w:rsid w:val="002178D3"/>
    <w:rsid w:val="00241E91"/>
    <w:rsid w:val="002459B9"/>
    <w:rsid w:val="00271D96"/>
    <w:rsid w:val="00274241"/>
    <w:rsid w:val="00284E59"/>
    <w:rsid w:val="002A3783"/>
    <w:rsid w:val="002A5309"/>
    <w:rsid w:val="002B611B"/>
    <w:rsid w:val="002D28E4"/>
    <w:rsid w:val="002D3172"/>
    <w:rsid w:val="00302522"/>
    <w:rsid w:val="00302E6E"/>
    <w:rsid w:val="003130A3"/>
    <w:rsid w:val="00315A31"/>
    <w:rsid w:val="00343F3E"/>
    <w:rsid w:val="00346F77"/>
    <w:rsid w:val="0037179E"/>
    <w:rsid w:val="0037185E"/>
    <w:rsid w:val="00374A10"/>
    <w:rsid w:val="0039436D"/>
    <w:rsid w:val="003A406D"/>
    <w:rsid w:val="003B344F"/>
    <w:rsid w:val="003B4484"/>
    <w:rsid w:val="003C2108"/>
    <w:rsid w:val="003C5245"/>
    <w:rsid w:val="003D1671"/>
    <w:rsid w:val="003D4AED"/>
    <w:rsid w:val="003E7767"/>
    <w:rsid w:val="003F225B"/>
    <w:rsid w:val="003F72C6"/>
    <w:rsid w:val="00414447"/>
    <w:rsid w:val="00417984"/>
    <w:rsid w:val="00422580"/>
    <w:rsid w:val="00423AC4"/>
    <w:rsid w:val="00424326"/>
    <w:rsid w:val="00425D6B"/>
    <w:rsid w:val="00427724"/>
    <w:rsid w:val="00436669"/>
    <w:rsid w:val="0044287B"/>
    <w:rsid w:val="004470B2"/>
    <w:rsid w:val="00475A50"/>
    <w:rsid w:val="004A2739"/>
    <w:rsid w:val="004A3079"/>
    <w:rsid w:val="004B2744"/>
    <w:rsid w:val="004C120B"/>
    <w:rsid w:val="004D6CB3"/>
    <w:rsid w:val="004E5348"/>
    <w:rsid w:val="004F74FB"/>
    <w:rsid w:val="00500339"/>
    <w:rsid w:val="00501B6B"/>
    <w:rsid w:val="00506705"/>
    <w:rsid w:val="00537247"/>
    <w:rsid w:val="005430CF"/>
    <w:rsid w:val="0055485C"/>
    <w:rsid w:val="0056186C"/>
    <w:rsid w:val="005705A7"/>
    <w:rsid w:val="005D5725"/>
    <w:rsid w:val="005E3B0C"/>
    <w:rsid w:val="00606557"/>
    <w:rsid w:val="006277A1"/>
    <w:rsid w:val="0064462B"/>
    <w:rsid w:val="00654154"/>
    <w:rsid w:val="00664FD3"/>
    <w:rsid w:val="00665E59"/>
    <w:rsid w:val="0068224D"/>
    <w:rsid w:val="00690663"/>
    <w:rsid w:val="006A51EE"/>
    <w:rsid w:val="006C1844"/>
    <w:rsid w:val="006E2D7D"/>
    <w:rsid w:val="006E3C6A"/>
    <w:rsid w:val="006F66E9"/>
    <w:rsid w:val="00717780"/>
    <w:rsid w:val="00722738"/>
    <w:rsid w:val="00725B90"/>
    <w:rsid w:val="007A14F3"/>
    <w:rsid w:val="007A427C"/>
    <w:rsid w:val="007C1B04"/>
    <w:rsid w:val="007C66A9"/>
    <w:rsid w:val="007C78CD"/>
    <w:rsid w:val="007F177B"/>
    <w:rsid w:val="00810965"/>
    <w:rsid w:val="00824BBA"/>
    <w:rsid w:val="0083119C"/>
    <w:rsid w:val="00837A93"/>
    <w:rsid w:val="00851A3A"/>
    <w:rsid w:val="00856F68"/>
    <w:rsid w:val="008575B4"/>
    <w:rsid w:val="00857DB5"/>
    <w:rsid w:val="00865584"/>
    <w:rsid w:val="00870329"/>
    <w:rsid w:val="008803A5"/>
    <w:rsid w:val="008A0380"/>
    <w:rsid w:val="008A66C1"/>
    <w:rsid w:val="008B281B"/>
    <w:rsid w:val="008C2326"/>
    <w:rsid w:val="008E71C9"/>
    <w:rsid w:val="008F6975"/>
    <w:rsid w:val="0092399E"/>
    <w:rsid w:val="00934055"/>
    <w:rsid w:val="00934937"/>
    <w:rsid w:val="00935B00"/>
    <w:rsid w:val="0093760E"/>
    <w:rsid w:val="00944625"/>
    <w:rsid w:val="00957652"/>
    <w:rsid w:val="00960C7C"/>
    <w:rsid w:val="0096127A"/>
    <w:rsid w:val="00976B17"/>
    <w:rsid w:val="00986325"/>
    <w:rsid w:val="00993091"/>
    <w:rsid w:val="009A1065"/>
    <w:rsid w:val="009B6A3A"/>
    <w:rsid w:val="009D3497"/>
    <w:rsid w:val="009E239D"/>
    <w:rsid w:val="009E4D9E"/>
    <w:rsid w:val="009E75A7"/>
    <w:rsid w:val="009F2075"/>
    <w:rsid w:val="009F381C"/>
    <w:rsid w:val="00A2128B"/>
    <w:rsid w:val="00A41E4A"/>
    <w:rsid w:val="00A42BE2"/>
    <w:rsid w:val="00A72B99"/>
    <w:rsid w:val="00A73FD8"/>
    <w:rsid w:val="00A75043"/>
    <w:rsid w:val="00A82219"/>
    <w:rsid w:val="00AA1AFB"/>
    <w:rsid w:val="00AA4C1E"/>
    <w:rsid w:val="00AA5660"/>
    <w:rsid w:val="00AB5920"/>
    <w:rsid w:val="00AC1313"/>
    <w:rsid w:val="00AC3296"/>
    <w:rsid w:val="00AE3A24"/>
    <w:rsid w:val="00B160FD"/>
    <w:rsid w:val="00B33E24"/>
    <w:rsid w:val="00B346E0"/>
    <w:rsid w:val="00B41D95"/>
    <w:rsid w:val="00B431A9"/>
    <w:rsid w:val="00B60863"/>
    <w:rsid w:val="00B62F97"/>
    <w:rsid w:val="00B6780B"/>
    <w:rsid w:val="00B67BAF"/>
    <w:rsid w:val="00B82F66"/>
    <w:rsid w:val="00B95C78"/>
    <w:rsid w:val="00BB619F"/>
    <w:rsid w:val="00BC3C21"/>
    <w:rsid w:val="00BD42D1"/>
    <w:rsid w:val="00BD7AC8"/>
    <w:rsid w:val="00BF107F"/>
    <w:rsid w:val="00BF1520"/>
    <w:rsid w:val="00BF662E"/>
    <w:rsid w:val="00BF67AF"/>
    <w:rsid w:val="00C223FB"/>
    <w:rsid w:val="00C25232"/>
    <w:rsid w:val="00C268E2"/>
    <w:rsid w:val="00C35C29"/>
    <w:rsid w:val="00C61CD0"/>
    <w:rsid w:val="00C81EFD"/>
    <w:rsid w:val="00C94E5B"/>
    <w:rsid w:val="00CA0630"/>
    <w:rsid w:val="00CA3D50"/>
    <w:rsid w:val="00CC097A"/>
    <w:rsid w:val="00CC2989"/>
    <w:rsid w:val="00CC3724"/>
    <w:rsid w:val="00CE741A"/>
    <w:rsid w:val="00CF36FC"/>
    <w:rsid w:val="00D0035A"/>
    <w:rsid w:val="00D61190"/>
    <w:rsid w:val="00D67257"/>
    <w:rsid w:val="00D93417"/>
    <w:rsid w:val="00DA15E3"/>
    <w:rsid w:val="00DA5B1E"/>
    <w:rsid w:val="00DC3078"/>
    <w:rsid w:val="00DD384E"/>
    <w:rsid w:val="00E119BA"/>
    <w:rsid w:val="00E1592F"/>
    <w:rsid w:val="00E3128D"/>
    <w:rsid w:val="00E363A9"/>
    <w:rsid w:val="00E51249"/>
    <w:rsid w:val="00E5422F"/>
    <w:rsid w:val="00E64108"/>
    <w:rsid w:val="00E70E8D"/>
    <w:rsid w:val="00E85B93"/>
    <w:rsid w:val="00E92931"/>
    <w:rsid w:val="00EA13B8"/>
    <w:rsid w:val="00EA17D9"/>
    <w:rsid w:val="00EC6726"/>
    <w:rsid w:val="00EF0D2B"/>
    <w:rsid w:val="00EF3A59"/>
    <w:rsid w:val="00F073A4"/>
    <w:rsid w:val="00F14784"/>
    <w:rsid w:val="00F36D3C"/>
    <w:rsid w:val="00F37C24"/>
    <w:rsid w:val="00F527FB"/>
    <w:rsid w:val="00F5486F"/>
    <w:rsid w:val="00F56DED"/>
    <w:rsid w:val="00F5757E"/>
    <w:rsid w:val="00F7745A"/>
    <w:rsid w:val="00F8721F"/>
    <w:rsid w:val="00FC57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5B1F8"/>
  <w15:chartTrackingRefBased/>
  <w15:docId w15:val="{65CEB82A-FC76-471F-8AAC-EB6B70485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30A3"/>
  </w:style>
  <w:style w:type="paragraph" w:styleId="Titolo1">
    <w:name w:val="heading 1"/>
    <w:basedOn w:val="Normale"/>
    <w:next w:val="Normale"/>
    <w:link w:val="Titolo1Carattere"/>
    <w:uiPriority w:val="9"/>
    <w:qFormat/>
    <w:rsid w:val="000E00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00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008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008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008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008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008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008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008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008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008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008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008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008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00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00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00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00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0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00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008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008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008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008C"/>
    <w:rPr>
      <w:i/>
      <w:iCs/>
      <w:color w:val="404040" w:themeColor="text1" w:themeTint="BF"/>
    </w:rPr>
  </w:style>
  <w:style w:type="paragraph" w:styleId="Paragrafoelenco">
    <w:name w:val="List Paragraph"/>
    <w:basedOn w:val="Normale"/>
    <w:uiPriority w:val="34"/>
    <w:qFormat/>
    <w:rsid w:val="000E008C"/>
    <w:pPr>
      <w:ind w:left="720"/>
      <w:contextualSpacing/>
    </w:pPr>
  </w:style>
  <w:style w:type="character" w:styleId="Enfasiintensa">
    <w:name w:val="Intense Emphasis"/>
    <w:basedOn w:val="Carpredefinitoparagrafo"/>
    <w:uiPriority w:val="21"/>
    <w:qFormat/>
    <w:rsid w:val="000E008C"/>
    <w:rPr>
      <w:i/>
      <w:iCs/>
      <w:color w:val="0F4761" w:themeColor="accent1" w:themeShade="BF"/>
    </w:rPr>
  </w:style>
  <w:style w:type="paragraph" w:styleId="Citazioneintensa">
    <w:name w:val="Intense Quote"/>
    <w:basedOn w:val="Normale"/>
    <w:next w:val="Normale"/>
    <w:link w:val="CitazioneintensaCarattere"/>
    <w:uiPriority w:val="30"/>
    <w:qFormat/>
    <w:rsid w:val="000E0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008C"/>
    <w:rPr>
      <w:i/>
      <w:iCs/>
      <w:color w:val="0F4761" w:themeColor="accent1" w:themeShade="BF"/>
    </w:rPr>
  </w:style>
  <w:style w:type="character" w:styleId="Riferimentointenso">
    <w:name w:val="Intense Reference"/>
    <w:basedOn w:val="Carpredefinitoparagrafo"/>
    <w:uiPriority w:val="32"/>
    <w:qFormat/>
    <w:rsid w:val="000E008C"/>
    <w:rPr>
      <w:b/>
      <w:bCs/>
      <w:smallCaps/>
      <w:color w:val="0F4761" w:themeColor="accent1" w:themeShade="BF"/>
      <w:spacing w:val="5"/>
    </w:rPr>
  </w:style>
  <w:style w:type="character" w:styleId="Enfasigrassetto">
    <w:name w:val="Strong"/>
    <w:basedOn w:val="Carpredefinitoparagrafo"/>
    <w:uiPriority w:val="22"/>
    <w:qFormat/>
    <w:rsid w:val="008F6975"/>
    <w:rPr>
      <w:b/>
      <w:bCs/>
    </w:rPr>
  </w:style>
  <w:style w:type="table" w:styleId="Tabellagriglia6acolori">
    <w:name w:val="Grid Table 6 Colorful"/>
    <w:basedOn w:val="Tabellanormale"/>
    <w:uiPriority w:val="51"/>
    <w:rsid w:val="00CF36F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9">
      <w:bodyDiv w:val="1"/>
      <w:marLeft w:val="0"/>
      <w:marRight w:val="0"/>
      <w:marTop w:val="0"/>
      <w:marBottom w:val="0"/>
      <w:divBdr>
        <w:top w:val="none" w:sz="0" w:space="0" w:color="auto"/>
        <w:left w:val="none" w:sz="0" w:space="0" w:color="auto"/>
        <w:bottom w:val="none" w:sz="0" w:space="0" w:color="auto"/>
        <w:right w:val="none" w:sz="0" w:space="0" w:color="auto"/>
      </w:divBdr>
    </w:div>
    <w:div w:id="586504009">
      <w:bodyDiv w:val="1"/>
      <w:marLeft w:val="0"/>
      <w:marRight w:val="0"/>
      <w:marTop w:val="0"/>
      <w:marBottom w:val="0"/>
      <w:divBdr>
        <w:top w:val="none" w:sz="0" w:space="0" w:color="auto"/>
        <w:left w:val="none" w:sz="0" w:space="0" w:color="auto"/>
        <w:bottom w:val="none" w:sz="0" w:space="0" w:color="auto"/>
        <w:right w:val="none" w:sz="0" w:space="0" w:color="auto"/>
      </w:divBdr>
    </w:div>
    <w:div w:id="905261533">
      <w:bodyDiv w:val="1"/>
      <w:marLeft w:val="0"/>
      <w:marRight w:val="0"/>
      <w:marTop w:val="0"/>
      <w:marBottom w:val="0"/>
      <w:divBdr>
        <w:top w:val="none" w:sz="0" w:space="0" w:color="auto"/>
        <w:left w:val="none" w:sz="0" w:space="0" w:color="auto"/>
        <w:bottom w:val="none" w:sz="0" w:space="0" w:color="auto"/>
        <w:right w:val="none" w:sz="0" w:space="0" w:color="auto"/>
      </w:divBdr>
    </w:div>
    <w:div w:id="949750370">
      <w:bodyDiv w:val="1"/>
      <w:marLeft w:val="0"/>
      <w:marRight w:val="0"/>
      <w:marTop w:val="0"/>
      <w:marBottom w:val="0"/>
      <w:divBdr>
        <w:top w:val="none" w:sz="0" w:space="0" w:color="auto"/>
        <w:left w:val="none" w:sz="0" w:space="0" w:color="auto"/>
        <w:bottom w:val="none" w:sz="0" w:space="0" w:color="auto"/>
        <w:right w:val="none" w:sz="0" w:space="0" w:color="auto"/>
      </w:divBdr>
    </w:div>
    <w:div w:id="1148546476">
      <w:bodyDiv w:val="1"/>
      <w:marLeft w:val="0"/>
      <w:marRight w:val="0"/>
      <w:marTop w:val="0"/>
      <w:marBottom w:val="0"/>
      <w:divBdr>
        <w:top w:val="none" w:sz="0" w:space="0" w:color="auto"/>
        <w:left w:val="none" w:sz="0" w:space="0" w:color="auto"/>
        <w:bottom w:val="none" w:sz="0" w:space="0" w:color="auto"/>
        <w:right w:val="none" w:sz="0" w:space="0" w:color="auto"/>
      </w:divBdr>
    </w:div>
    <w:div w:id="1546599843">
      <w:bodyDiv w:val="1"/>
      <w:marLeft w:val="0"/>
      <w:marRight w:val="0"/>
      <w:marTop w:val="0"/>
      <w:marBottom w:val="0"/>
      <w:divBdr>
        <w:top w:val="none" w:sz="0" w:space="0" w:color="auto"/>
        <w:left w:val="none" w:sz="0" w:space="0" w:color="auto"/>
        <w:bottom w:val="none" w:sz="0" w:space="0" w:color="auto"/>
        <w:right w:val="none" w:sz="0" w:space="0" w:color="auto"/>
      </w:divBdr>
    </w:div>
    <w:div w:id="1637056478">
      <w:bodyDiv w:val="1"/>
      <w:marLeft w:val="0"/>
      <w:marRight w:val="0"/>
      <w:marTop w:val="0"/>
      <w:marBottom w:val="0"/>
      <w:divBdr>
        <w:top w:val="none" w:sz="0" w:space="0" w:color="auto"/>
        <w:left w:val="none" w:sz="0" w:space="0" w:color="auto"/>
        <w:bottom w:val="none" w:sz="0" w:space="0" w:color="auto"/>
        <w:right w:val="none" w:sz="0" w:space="0" w:color="auto"/>
      </w:divBdr>
    </w:div>
    <w:div w:id="1780683922">
      <w:bodyDiv w:val="1"/>
      <w:marLeft w:val="0"/>
      <w:marRight w:val="0"/>
      <w:marTop w:val="0"/>
      <w:marBottom w:val="0"/>
      <w:divBdr>
        <w:top w:val="none" w:sz="0" w:space="0" w:color="auto"/>
        <w:left w:val="none" w:sz="0" w:space="0" w:color="auto"/>
        <w:bottom w:val="none" w:sz="0" w:space="0" w:color="auto"/>
        <w:right w:val="none" w:sz="0" w:space="0" w:color="auto"/>
      </w:divBdr>
    </w:div>
    <w:div w:id="193843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3b55eef-7018-4674-a3d7-cc0db06d545c}" enabled="0" method="" siteId="{13b55eef-7018-4674-a3d7-cc0db06d54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9076</Words>
  <Characters>54095</Characters>
  <Application>Microsoft Office Word</Application>
  <DocSecurity>0</DocSecurity>
  <Lines>795</Lines>
  <Paragraphs>224</Paragraphs>
  <ScaleCrop>false</ScaleCrop>
  <Company/>
  <LinksUpToDate>false</LinksUpToDate>
  <CharactersWithSpaces>62947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Caruso</dc:creator>
  <cp:keywords/>
  <dc:description/>
  <cp:lastModifiedBy>Rosario Caruso</cp:lastModifiedBy>
  <cp:revision>2</cp:revision>
  <dcterms:created xsi:type="dcterms:W3CDTF">2025-04-19T18:00:00Z</dcterms:created>
  <dcterms:modified xsi:type="dcterms:W3CDTF">2025-04-19T18:00:00Z</dcterms:modified>
</cp:coreProperties>
</file>