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9773" w14:textId="77777777" w:rsidR="007B6623" w:rsidRPr="00682FEF" w:rsidRDefault="007B6623" w:rsidP="007B6623">
      <w:pPr>
        <w:jc w:val="left"/>
        <w:rPr>
          <w:rFonts w:ascii="Times New Roman" w:hAnsi="Times New Roman" w:cs="Times New Roman"/>
          <w:b/>
          <w:bCs/>
          <w:sz w:val="24"/>
        </w:rPr>
      </w:pPr>
      <w:r w:rsidRPr="00682FEF">
        <w:rPr>
          <w:rFonts w:ascii="Times New Roman" w:hAnsi="Times New Roman" w:cs="Times New Roman"/>
          <w:b/>
          <w:bCs/>
          <w:sz w:val="24"/>
        </w:rPr>
        <w:t>Appendix</w:t>
      </w:r>
    </w:p>
    <w:p w14:paraId="24FCF471" w14:textId="77777777" w:rsidR="007B6623" w:rsidRPr="00682FEF" w:rsidRDefault="007B6623" w:rsidP="007B6623">
      <w:pPr>
        <w:jc w:val="left"/>
        <w:rPr>
          <w:rFonts w:ascii="Times New Roman" w:hAnsi="Times New Roman" w:cs="Times New Roman"/>
          <w:sz w:val="24"/>
        </w:rPr>
      </w:pPr>
    </w:p>
    <w:p w14:paraId="173A487A" w14:textId="77777777" w:rsidR="007B6623" w:rsidRPr="00682FEF" w:rsidRDefault="007B6623" w:rsidP="007B6623">
      <w:pPr>
        <w:rPr>
          <w:rFonts w:ascii="Times New Roman" w:hAnsi="Times New Roman" w:cs="Times New Roman"/>
          <w:sz w:val="24"/>
        </w:rPr>
      </w:pPr>
      <w:bookmarkStart w:id="0" w:name="OLE_LINK177"/>
      <w:bookmarkStart w:id="1" w:name="OLE_LINK178"/>
      <w:r w:rsidRPr="00682FEF">
        <w:rPr>
          <w:rFonts w:ascii="Times New Roman" w:hAnsi="Times New Roman" w:cs="Times New Roman"/>
          <w:b/>
          <w:bCs/>
          <w:sz w:val="24"/>
        </w:rPr>
        <w:t>Supplementary Table 1.</w:t>
      </w:r>
      <w:r w:rsidRPr="00682FEF">
        <w:rPr>
          <w:rFonts w:ascii="Times New Roman" w:hAnsi="Times New Roman" w:cs="Times New Roman"/>
          <w:sz w:val="24"/>
        </w:rPr>
        <w:t xml:space="preserve"> </w:t>
      </w:r>
      <w:bookmarkStart w:id="2" w:name="OLE_LINK50"/>
      <w:bookmarkStart w:id="3" w:name="OLE_LINK51"/>
      <w:r w:rsidRPr="00682FEF">
        <w:rPr>
          <w:rFonts w:ascii="Times New Roman" w:hAnsi="Times New Roman" w:cs="Times New Roman"/>
          <w:sz w:val="24"/>
        </w:rPr>
        <w:t>A Review of Clinical Research on Digital Health Technologies in Type 2 Diabetes Management</w:t>
      </w:r>
      <w:bookmarkEnd w:id="0"/>
      <w:bookmarkEnd w:id="1"/>
    </w:p>
    <w:p w14:paraId="31FB375B" w14:textId="77777777" w:rsidR="007B6623" w:rsidRPr="00682FEF" w:rsidRDefault="007B6623" w:rsidP="007B6623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1853"/>
        <w:gridCol w:w="2414"/>
        <w:gridCol w:w="2348"/>
        <w:gridCol w:w="2146"/>
        <w:gridCol w:w="2388"/>
        <w:gridCol w:w="2259"/>
      </w:tblGrid>
      <w:tr w:rsidR="007B6623" w:rsidRPr="00682FEF" w14:paraId="3FD2C7F5" w14:textId="77777777" w:rsidTr="000658F1">
        <w:trPr>
          <w:tblHeader/>
        </w:trPr>
        <w:tc>
          <w:tcPr>
            <w:tcW w:w="540" w:type="dxa"/>
            <w:shd w:val="clear" w:color="auto" w:fill="F2F2F2"/>
            <w:vAlign w:val="center"/>
          </w:tcPr>
          <w:p w14:paraId="0D875908" w14:textId="77777777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bookmarkStart w:id="4" w:name="_Hlk217902577"/>
            <w:bookmarkStart w:id="5" w:name="OLE_LINK48"/>
            <w:bookmarkStart w:id="6" w:name="OLE_LINK49"/>
            <w:bookmarkEnd w:id="2"/>
            <w:bookmarkEnd w:id="3"/>
            <w:r w:rsidRPr="00682FEF">
              <w:rPr>
                <w:b/>
                <w:bCs/>
                <w:sz w:val="22"/>
                <w:szCs w:val="22"/>
                <w:lang w:bidi="ar"/>
              </w:rPr>
              <w:t>No.</w:t>
            </w:r>
          </w:p>
        </w:tc>
        <w:tc>
          <w:tcPr>
            <w:tcW w:w="1853" w:type="dxa"/>
            <w:shd w:val="clear" w:color="auto" w:fill="F2F2F2"/>
            <w:vAlign w:val="center"/>
          </w:tcPr>
          <w:p w14:paraId="1C6F3983" w14:textId="77777777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682FEF">
              <w:rPr>
                <w:b/>
                <w:bCs/>
                <w:sz w:val="22"/>
                <w:szCs w:val="22"/>
                <w:lang w:bidi="ar"/>
              </w:rPr>
              <w:t>Study / Year</w:t>
            </w:r>
          </w:p>
        </w:tc>
        <w:tc>
          <w:tcPr>
            <w:tcW w:w="2414" w:type="dxa"/>
            <w:shd w:val="clear" w:color="auto" w:fill="F2F2F2"/>
            <w:vAlign w:val="center"/>
          </w:tcPr>
          <w:p w14:paraId="71FE1381" w14:textId="77777777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682FEF">
              <w:rPr>
                <w:b/>
                <w:bCs/>
                <w:sz w:val="22"/>
                <w:szCs w:val="22"/>
                <w:lang w:bidi="ar"/>
              </w:rPr>
              <w:t>Digital health technology</w:t>
            </w:r>
          </w:p>
        </w:tc>
        <w:tc>
          <w:tcPr>
            <w:tcW w:w="2348" w:type="dxa"/>
            <w:shd w:val="clear" w:color="auto" w:fill="F2F2F2"/>
            <w:vAlign w:val="center"/>
          </w:tcPr>
          <w:p w14:paraId="3B3F2F8E" w14:textId="77777777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682FEF">
              <w:rPr>
                <w:b/>
                <w:bCs/>
                <w:sz w:val="22"/>
                <w:szCs w:val="22"/>
                <w:lang w:bidi="ar"/>
              </w:rPr>
              <w:t>Study design and population</w:t>
            </w:r>
          </w:p>
        </w:tc>
        <w:tc>
          <w:tcPr>
            <w:tcW w:w="2146" w:type="dxa"/>
            <w:shd w:val="clear" w:color="auto" w:fill="F2F2F2"/>
            <w:vAlign w:val="center"/>
          </w:tcPr>
          <w:p w14:paraId="02101F73" w14:textId="77777777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682FEF">
              <w:rPr>
                <w:b/>
                <w:bCs/>
                <w:sz w:val="22"/>
                <w:szCs w:val="22"/>
                <w:lang w:bidi="ar"/>
              </w:rPr>
              <w:t>Core functional modules</w:t>
            </w:r>
          </w:p>
        </w:tc>
        <w:tc>
          <w:tcPr>
            <w:tcW w:w="2388" w:type="dxa"/>
            <w:shd w:val="clear" w:color="auto" w:fill="F2F2F2"/>
            <w:vAlign w:val="center"/>
          </w:tcPr>
          <w:p w14:paraId="3F932F7B" w14:textId="3A00FC72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682FEF">
              <w:rPr>
                <w:b/>
                <w:bCs/>
                <w:sz w:val="22"/>
                <w:szCs w:val="22"/>
                <w:lang w:bidi="ar"/>
              </w:rPr>
              <w:t>Main outcomes (T2D-related)</w:t>
            </w:r>
          </w:p>
        </w:tc>
        <w:tc>
          <w:tcPr>
            <w:tcW w:w="2259" w:type="dxa"/>
            <w:shd w:val="clear" w:color="auto" w:fill="F2F2F2"/>
            <w:vAlign w:val="center"/>
          </w:tcPr>
          <w:p w14:paraId="0C915E13" w14:textId="77777777" w:rsidR="007B6623" w:rsidRPr="00682FEF" w:rsidRDefault="007B6623" w:rsidP="00A06AC1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 w:rsidRPr="00682FEF">
              <w:rPr>
                <w:b/>
                <w:bCs/>
                <w:sz w:val="22"/>
                <w:szCs w:val="22"/>
                <w:lang w:bidi="ar"/>
              </w:rPr>
              <w:t>Key findings and implications</w:t>
            </w:r>
          </w:p>
        </w:tc>
      </w:tr>
      <w:bookmarkEnd w:id="4"/>
      <w:tr w:rsidR="000658F1" w:rsidRPr="00682FEF" w14:paraId="6F5CCDEF" w14:textId="77777777" w:rsidTr="000658F1">
        <w:tc>
          <w:tcPr>
            <w:tcW w:w="540" w:type="dxa"/>
            <w:vAlign w:val="center"/>
          </w:tcPr>
          <w:p w14:paraId="13240415" w14:textId="3F551AC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>
              <w:rPr>
                <w:sz w:val="22"/>
                <w:szCs w:val="22"/>
                <w:lang w:bidi="ar"/>
              </w:rPr>
              <w:t>1</w:t>
            </w:r>
          </w:p>
        </w:tc>
        <w:tc>
          <w:tcPr>
            <w:tcW w:w="1853" w:type="dxa"/>
            <w:vAlign w:val="center"/>
          </w:tcPr>
          <w:p w14:paraId="67BD53EC" w14:textId="45BA6D6C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Sun et al., 2023, China (AI dietitian concept) (</w:t>
            </w:r>
            <w:r w:rsidRPr="00682FEF">
              <w:rPr>
                <w:rFonts w:hint="eastAsia"/>
                <w:sz w:val="22"/>
                <w:szCs w:val="22"/>
                <w:lang w:bidi="ar"/>
              </w:rPr>
              <w:t>75</w:t>
            </w:r>
            <w:r w:rsidRPr="00682FEF">
              <w:rPr>
                <w:sz w:val="22"/>
                <w:szCs w:val="22"/>
                <w:lang w:bidi="ar"/>
              </w:rPr>
              <w:t>)</w:t>
            </w:r>
            <w:r w:rsidRPr="00682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4" w:type="dxa"/>
            <w:vAlign w:val="center"/>
          </w:tcPr>
          <w:p w14:paraId="65496AB6" w14:textId="1C04B46F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AI-based nutritionist (LLM + ingredient image recognition + WeChat mini-program)</w:t>
            </w:r>
          </w:p>
        </w:tc>
        <w:tc>
          <w:tcPr>
            <w:tcW w:w="2348" w:type="dxa"/>
            <w:vAlign w:val="center"/>
          </w:tcPr>
          <w:p w14:paraId="4C8FAA1F" w14:textId="7B8AC4E3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Preclinical validation; surveys, model testing, and prototype development, no clinical outcomes yet</w:t>
            </w:r>
          </w:p>
        </w:tc>
        <w:tc>
          <w:tcPr>
            <w:tcW w:w="2146" w:type="dxa"/>
            <w:vAlign w:val="center"/>
          </w:tcPr>
          <w:p w14:paraId="3E7E5794" w14:textId="15B02C02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AI nutrition counselling and food image recognition for diet support</w:t>
            </w:r>
          </w:p>
        </w:tc>
        <w:tc>
          <w:tcPr>
            <w:tcW w:w="2388" w:type="dxa"/>
            <w:vAlign w:val="center"/>
          </w:tcPr>
          <w:p w14:paraId="0FF2AD53" w14:textId="2294FFCD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Demonstrated technical feasibility and strong model performance, but no HbA1c/weight data yet</w:t>
            </w:r>
          </w:p>
        </w:tc>
        <w:tc>
          <w:tcPr>
            <w:tcW w:w="2259" w:type="dxa"/>
            <w:vAlign w:val="center"/>
          </w:tcPr>
          <w:p w14:paraId="6BEFF37C" w14:textId="4926225B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AI nutrition support is promising but requires clinical trials before routine use</w:t>
            </w:r>
          </w:p>
        </w:tc>
      </w:tr>
      <w:tr w:rsidR="000658F1" w:rsidRPr="00682FEF" w14:paraId="0696AFC9" w14:textId="77777777" w:rsidTr="000658F1">
        <w:tc>
          <w:tcPr>
            <w:tcW w:w="540" w:type="dxa"/>
            <w:vAlign w:val="center"/>
          </w:tcPr>
          <w:p w14:paraId="144DDFAB" w14:textId="3C68F4AF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"/>
              </w:rPr>
              <w:t>2</w:t>
            </w:r>
          </w:p>
        </w:tc>
        <w:tc>
          <w:tcPr>
            <w:tcW w:w="1853" w:type="dxa"/>
            <w:vAlign w:val="center"/>
          </w:tcPr>
          <w:p w14:paraId="0A8A588C" w14:textId="77758873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 xml:space="preserve">Lim et al., 2022, Singapore (DLITE cohort) </w:t>
            </w:r>
            <w:r w:rsidRPr="00682FEF">
              <w:rPr>
                <w:sz w:val="22"/>
                <w:szCs w:val="22"/>
                <w:lang w:val="en-US" w:bidi="ar"/>
              </w:rPr>
              <w:t>(7</w:t>
            </w:r>
            <w:r w:rsidRPr="00682FEF">
              <w:rPr>
                <w:rFonts w:hint="eastAsia"/>
                <w:sz w:val="22"/>
                <w:szCs w:val="22"/>
                <w:lang w:val="en-US" w:bidi="ar"/>
              </w:rPr>
              <w:t>6</w:t>
            </w:r>
            <w:r w:rsidRPr="00682FEF">
              <w:rPr>
                <w:sz w:val="22"/>
                <w:szCs w:val="22"/>
                <w:lang w:val="en-US" w:bidi="ar"/>
              </w:rPr>
              <w:t>)</w:t>
            </w:r>
            <w:r w:rsidRPr="00682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4" w:type="dxa"/>
            <w:vAlign w:val="center"/>
          </w:tcPr>
          <w:p w14:paraId="7873B9E3" w14:textId="44A30985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“</w:t>
            </w:r>
            <w:proofErr w:type="spellStart"/>
            <w:r w:rsidRPr="00682FEF">
              <w:rPr>
                <w:sz w:val="22"/>
                <w:szCs w:val="22"/>
                <w:lang w:bidi="ar"/>
              </w:rPr>
              <w:t>nBuddy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Diabetes” mobile APP for T2D/prediabetes management</w:t>
            </w:r>
          </w:p>
        </w:tc>
        <w:tc>
          <w:tcPr>
            <w:tcW w:w="2348" w:type="dxa"/>
            <w:vAlign w:val="center"/>
          </w:tcPr>
          <w:p w14:paraId="0AAF412A" w14:textId="2AF6FDAF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Prospective cohort (intervention arm of RCT); 171 adults with T2D or prediabetes, 6</w:t>
            </w:r>
            <w:r w:rsidRPr="00682FEF">
              <w:rPr>
                <w:sz w:val="22"/>
                <w:szCs w:val="22"/>
                <w:lang w:bidi="ar"/>
              </w:rPr>
              <w:noBreakHyphen/>
              <w:t>months follow-up​</w:t>
            </w:r>
          </w:p>
        </w:tc>
        <w:tc>
          <w:tcPr>
            <w:tcW w:w="2146" w:type="dxa"/>
            <w:vAlign w:val="center"/>
          </w:tcPr>
          <w:p w14:paraId="006399F1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App-based self-monitoring, education, and remote professional support</w:t>
            </w:r>
          </w:p>
        </w:tc>
        <w:tc>
          <w:tcPr>
            <w:tcW w:w="2388" w:type="dxa"/>
            <w:vAlign w:val="center"/>
          </w:tcPr>
          <w:p w14:paraId="08155014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Greater HbA1c and weight reduction with high app engagement</w:t>
            </w:r>
          </w:p>
        </w:tc>
        <w:tc>
          <w:tcPr>
            <w:tcW w:w="2259" w:type="dxa"/>
            <w:vAlign w:val="center"/>
          </w:tcPr>
          <w:p w14:paraId="34ADB21C" w14:textId="52E18478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High engagement with multi-feature apps can meaningfully improve glycaemic and weight outcomes​</w:t>
            </w:r>
          </w:p>
        </w:tc>
      </w:tr>
      <w:tr w:rsidR="000658F1" w:rsidRPr="00682FEF" w14:paraId="5DD9A25C" w14:textId="77777777" w:rsidTr="000658F1">
        <w:tc>
          <w:tcPr>
            <w:tcW w:w="540" w:type="dxa"/>
            <w:vAlign w:val="center"/>
          </w:tcPr>
          <w:p w14:paraId="04EA122F" w14:textId="57A50D42" w:rsidR="000658F1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3</w:t>
            </w:r>
          </w:p>
        </w:tc>
        <w:tc>
          <w:tcPr>
            <w:tcW w:w="1853" w:type="dxa"/>
            <w:vAlign w:val="center"/>
          </w:tcPr>
          <w:p w14:paraId="22C85A16" w14:textId="71FA8AF8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proofErr w:type="spellStart"/>
            <w:r w:rsidRPr="00682FEF">
              <w:rPr>
                <w:sz w:val="22"/>
                <w:szCs w:val="22"/>
                <w:lang w:bidi="ar"/>
              </w:rPr>
              <w:t>Berthoumieux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et al., 2024, USA (Omada for Diabetes) (77)</w:t>
            </w:r>
          </w:p>
        </w:tc>
        <w:tc>
          <w:tcPr>
            <w:tcW w:w="2414" w:type="dxa"/>
            <w:vAlign w:val="center"/>
          </w:tcPr>
          <w:p w14:paraId="7B34BCA1" w14:textId="33B23ECF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Digital DSMES platform (app/web + devices + coaching)​</w:t>
            </w:r>
          </w:p>
        </w:tc>
        <w:tc>
          <w:tcPr>
            <w:tcW w:w="2348" w:type="dxa"/>
            <w:vAlign w:val="center"/>
          </w:tcPr>
          <w:p w14:paraId="313566FF" w14:textId="582068A2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Real-world retrospective cohort; 1,322 adults with T2D, 12</w:t>
            </w:r>
            <w:r w:rsidRPr="00682FEF">
              <w:rPr>
                <w:sz w:val="22"/>
                <w:szCs w:val="22"/>
                <w:lang w:bidi="ar"/>
              </w:rPr>
              <w:noBreakHyphen/>
              <w:t>months follow-up​</w:t>
            </w:r>
          </w:p>
        </w:tc>
        <w:tc>
          <w:tcPr>
            <w:tcW w:w="2146" w:type="dxa"/>
            <w:vAlign w:val="center"/>
          </w:tcPr>
          <w:p w14:paraId="68BD1DE0" w14:textId="6E5AFC18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 xml:space="preserve">Online lessons, remote coaching, peer support, monitoring devices </w:t>
            </w:r>
          </w:p>
        </w:tc>
        <w:tc>
          <w:tcPr>
            <w:tcW w:w="2388" w:type="dxa"/>
            <w:vAlign w:val="center"/>
          </w:tcPr>
          <w:p w14:paraId="3A300107" w14:textId="33861E7A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Large A1c reduction in poorly controlled patients and maintained control in others, with modest weight loss</w:t>
            </w:r>
          </w:p>
        </w:tc>
        <w:tc>
          <w:tcPr>
            <w:tcW w:w="2259" w:type="dxa"/>
            <w:vAlign w:val="center"/>
          </w:tcPr>
          <w:p w14:paraId="5EA43D89" w14:textId="3B4C0E9B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Comprehensive digital DSMES can achieve large, durable A1c improvements in routine care</w:t>
            </w:r>
          </w:p>
        </w:tc>
      </w:tr>
      <w:tr w:rsidR="000658F1" w:rsidRPr="00682FEF" w14:paraId="5C20539D" w14:textId="77777777" w:rsidTr="000658F1">
        <w:tc>
          <w:tcPr>
            <w:tcW w:w="540" w:type="dxa"/>
            <w:vAlign w:val="center"/>
          </w:tcPr>
          <w:p w14:paraId="276B3454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4</w:t>
            </w:r>
          </w:p>
        </w:tc>
        <w:tc>
          <w:tcPr>
            <w:tcW w:w="1853" w:type="dxa"/>
            <w:vAlign w:val="center"/>
          </w:tcPr>
          <w:p w14:paraId="56C34418" w14:textId="59571640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Zhang et al., 2019, China (</w:t>
            </w:r>
            <w:proofErr w:type="spellStart"/>
            <w:r w:rsidRPr="00682FEF">
              <w:rPr>
                <w:sz w:val="22"/>
                <w:szCs w:val="22"/>
                <w:lang w:bidi="ar"/>
              </w:rPr>
              <w:t>Welltang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RCT) (78)</w:t>
            </w:r>
            <w:r w:rsidRPr="00682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4" w:type="dxa"/>
            <w:vAlign w:val="center"/>
          </w:tcPr>
          <w:p w14:paraId="1C1834CC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“</w:t>
            </w:r>
            <w:proofErr w:type="spellStart"/>
            <w:r w:rsidRPr="00682FEF">
              <w:rPr>
                <w:sz w:val="22"/>
                <w:szCs w:val="22"/>
                <w:lang w:bidi="ar"/>
              </w:rPr>
              <w:t>Welltang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>” diabetes app with/without interactive management</w:t>
            </w:r>
          </w:p>
        </w:tc>
        <w:tc>
          <w:tcPr>
            <w:tcW w:w="2348" w:type="dxa"/>
            <w:vAlign w:val="center"/>
          </w:tcPr>
          <w:p w14:paraId="67AE350C" w14:textId="2ABC3FED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Single-centre 3-arm RCT; 234 adults with T1D/T2D, 6</w:t>
            </w:r>
            <w:r w:rsidRPr="00682FEF">
              <w:rPr>
                <w:sz w:val="22"/>
                <w:szCs w:val="22"/>
                <w:lang w:bidi="ar"/>
              </w:rPr>
              <w:noBreakHyphen/>
              <w:t>months follow-up​</w:t>
            </w:r>
          </w:p>
        </w:tc>
        <w:tc>
          <w:tcPr>
            <w:tcW w:w="2146" w:type="dxa"/>
            <w:vAlign w:val="center"/>
          </w:tcPr>
          <w:p w14:paraId="2135FD61" w14:textId="4B4F8F6D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App-based self-monitoring, education, patient support group and clinician communication</w:t>
            </w:r>
          </w:p>
        </w:tc>
        <w:tc>
          <w:tcPr>
            <w:tcW w:w="2388" w:type="dxa"/>
            <w:vAlign w:val="center"/>
          </w:tcPr>
          <w:p w14:paraId="2F463AEC" w14:textId="2F351326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Best HbA1c and lipid improvements achieved with app and professional interactive management​</w:t>
            </w:r>
          </w:p>
        </w:tc>
        <w:tc>
          <w:tcPr>
            <w:tcW w:w="2259" w:type="dxa"/>
            <w:vAlign w:val="center"/>
          </w:tcPr>
          <w:p w14:paraId="344F2A8E" w14:textId="173130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Professional support on top of an app is crucial for sustained glycaemic benefit</w:t>
            </w:r>
          </w:p>
        </w:tc>
      </w:tr>
      <w:tr w:rsidR="000658F1" w:rsidRPr="00682FEF" w14:paraId="24AC7B8B" w14:textId="77777777" w:rsidTr="000658F1">
        <w:tc>
          <w:tcPr>
            <w:tcW w:w="540" w:type="dxa"/>
            <w:vAlign w:val="center"/>
          </w:tcPr>
          <w:p w14:paraId="452F3AF7" w14:textId="04F86FD4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>
              <w:rPr>
                <w:sz w:val="22"/>
                <w:szCs w:val="22"/>
                <w:lang w:bidi="ar"/>
              </w:rPr>
              <w:t>5</w:t>
            </w:r>
          </w:p>
        </w:tc>
        <w:tc>
          <w:tcPr>
            <w:tcW w:w="1853" w:type="dxa"/>
            <w:vAlign w:val="center"/>
          </w:tcPr>
          <w:p w14:paraId="3FF5FC4F" w14:textId="77EFC3A9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proofErr w:type="spellStart"/>
            <w:r w:rsidRPr="00682FEF">
              <w:rPr>
                <w:sz w:val="22"/>
                <w:szCs w:val="22"/>
                <w:lang w:bidi="ar"/>
              </w:rPr>
              <w:t>Eeg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noBreakHyphen/>
              <w:t xml:space="preserve">Olofsson et al., 2023, Sweden (NDR </w:t>
            </w:r>
            <w:proofErr w:type="spellStart"/>
            <w:r w:rsidRPr="00682FEF">
              <w:rPr>
                <w:sz w:val="22"/>
                <w:szCs w:val="22"/>
                <w:lang w:bidi="ar"/>
              </w:rPr>
              <w:t>FreeStyle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Libre)</w:t>
            </w:r>
            <w:r w:rsidRPr="00682FEF">
              <w:rPr>
                <w:sz w:val="22"/>
                <w:szCs w:val="22"/>
                <w:lang w:val="en-US" w:bidi="ar"/>
              </w:rPr>
              <w:t xml:space="preserve"> (7</w:t>
            </w:r>
            <w:r w:rsidRPr="00682FEF">
              <w:rPr>
                <w:rFonts w:hint="eastAsia"/>
                <w:sz w:val="22"/>
                <w:szCs w:val="22"/>
                <w:lang w:val="en-US" w:bidi="ar"/>
              </w:rPr>
              <w:t>9</w:t>
            </w:r>
            <w:r w:rsidRPr="00682FEF">
              <w:rPr>
                <w:sz w:val="22"/>
                <w:szCs w:val="22"/>
                <w:lang w:val="en-US" w:bidi="ar"/>
              </w:rPr>
              <w:t>)</w:t>
            </w:r>
            <w:r w:rsidRPr="00682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4" w:type="dxa"/>
            <w:vAlign w:val="center"/>
          </w:tcPr>
          <w:p w14:paraId="5ADD2FB9" w14:textId="44322BF2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proofErr w:type="spellStart"/>
            <w:r w:rsidRPr="00682FEF">
              <w:rPr>
                <w:sz w:val="22"/>
                <w:szCs w:val="22"/>
                <w:lang w:bidi="ar"/>
              </w:rPr>
              <w:t>FreeStyle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Libre flash glucose monitoring system</w:t>
            </w:r>
          </w:p>
        </w:tc>
        <w:tc>
          <w:tcPr>
            <w:tcW w:w="2348" w:type="dxa"/>
            <w:vAlign w:val="center"/>
          </w:tcPr>
          <w:p w14:paraId="727CC1EB" w14:textId="53CCBF00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 xml:space="preserve">National registry real-world cohort; 3,202 adults with T2D starting </w:t>
            </w:r>
            <w:proofErr w:type="spellStart"/>
            <w:r w:rsidRPr="00682FEF">
              <w:rPr>
                <w:sz w:val="22"/>
                <w:szCs w:val="22"/>
                <w:lang w:bidi="ar"/>
              </w:rPr>
              <w:t>FreeStyle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</w:t>
            </w:r>
            <w:r w:rsidRPr="00682FEF">
              <w:rPr>
                <w:sz w:val="22"/>
                <w:szCs w:val="22"/>
                <w:lang w:bidi="ar"/>
              </w:rPr>
              <w:lastRenderedPageBreak/>
              <w:t>Libre, HbA1c subset n=711, 12 months follow-up</w:t>
            </w:r>
          </w:p>
        </w:tc>
        <w:tc>
          <w:tcPr>
            <w:tcW w:w="2146" w:type="dxa"/>
            <w:vAlign w:val="center"/>
          </w:tcPr>
          <w:p w14:paraId="37283BEC" w14:textId="70C845E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lastRenderedPageBreak/>
              <w:t>Sensor-based glucose monitoring with trend display and data sharing</w:t>
            </w:r>
          </w:p>
        </w:tc>
        <w:tc>
          <w:tcPr>
            <w:tcW w:w="2388" w:type="dxa"/>
            <w:vAlign w:val="center"/>
          </w:tcPr>
          <w:p w14:paraId="1D8FA7C6" w14:textId="4E2EA621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>Sustained HbA1c reduction, especially in insulin-treated and high-baseline HbA1c patients</w:t>
            </w:r>
          </w:p>
        </w:tc>
        <w:tc>
          <w:tcPr>
            <w:tcW w:w="2259" w:type="dxa"/>
            <w:vAlign w:val="center"/>
          </w:tcPr>
          <w:p w14:paraId="2B242502" w14:textId="6EA81986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  <w:lang w:bidi="ar"/>
              </w:rPr>
            </w:pPr>
            <w:r w:rsidRPr="00682FEF">
              <w:rPr>
                <w:sz w:val="22"/>
                <w:szCs w:val="22"/>
                <w:lang w:bidi="ar"/>
              </w:rPr>
              <w:t xml:space="preserve">Flash glucose monitoring supports better long-term glycaemic control in </w:t>
            </w:r>
            <w:r w:rsidRPr="00682FEF">
              <w:rPr>
                <w:sz w:val="22"/>
                <w:szCs w:val="22"/>
                <w:lang w:bidi="ar"/>
              </w:rPr>
              <w:lastRenderedPageBreak/>
              <w:t>poorly controlled, insulin-treated T2D</w:t>
            </w:r>
          </w:p>
        </w:tc>
      </w:tr>
      <w:tr w:rsidR="000658F1" w:rsidRPr="00682FEF" w14:paraId="6841B426" w14:textId="77777777" w:rsidTr="000658F1">
        <w:tc>
          <w:tcPr>
            <w:tcW w:w="540" w:type="dxa"/>
            <w:vAlign w:val="center"/>
          </w:tcPr>
          <w:p w14:paraId="5F34998E" w14:textId="388376A4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"/>
              </w:rPr>
              <w:lastRenderedPageBreak/>
              <w:t>6</w:t>
            </w:r>
          </w:p>
        </w:tc>
        <w:tc>
          <w:tcPr>
            <w:tcW w:w="1853" w:type="dxa"/>
            <w:vAlign w:val="center"/>
          </w:tcPr>
          <w:p w14:paraId="7FF3CF86" w14:textId="5414A7B2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proofErr w:type="spellStart"/>
            <w:r w:rsidRPr="00682FEF">
              <w:rPr>
                <w:sz w:val="22"/>
                <w:szCs w:val="22"/>
                <w:lang w:bidi="ar"/>
              </w:rPr>
              <w:t>Terkes</w:t>
            </w:r>
            <w:proofErr w:type="spellEnd"/>
            <w:r w:rsidRPr="00682FEF">
              <w:rPr>
                <w:sz w:val="22"/>
                <w:szCs w:val="22"/>
                <w:lang w:bidi="ar"/>
              </w:rPr>
              <w:t xml:space="preserve"> et al., 2024, Turkey (web education RCT) (</w:t>
            </w:r>
            <w:r w:rsidRPr="00682FEF">
              <w:rPr>
                <w:rFonts w:hint="eastAsia"/>
                <w:sz w:val="22"/>
                <w:szCs w:val="22"/>
                <w:lang w:bidi="ar"/>
              </w:rPr>
              <w:t>80</w:t>
            </w:r>
            <w:r w:rsidRPr="00682FEF">
              <w:rPr>
                <w:sz w:val="22"/>
                <w:szCs w:val="22"/>
                <w:lang w:bidi="ar"/>
              </w:rPr>
              <w:t>)</w:t>
            </w:r>
          </w:p>
        </w:tc>
        <w:tc>
          <w:tcPr>
            <w:tcW w:w="2414" w:type="dxa"/>
            <w:vAlign w:val="center"/>
          </w:tcPr>
          <w:p w14:paraId="476D39F2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Nurse-led web-based diabetes education platform</w:t>
            </w:r>
          </w:p>
        </w:tc>
        <w:tc>
          <w:tcPr>
            <w:tcW w:w="2348" w:type="dxa"/>
            <w:vAlign w:val="center"/>
          </w:tcPr>
          <w:p w14:paraId="4454D2E7" w14:textId="61AFCE2D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Single-centre RCT; 89 insulin-treated adults with T2D, 3</w:t>
            </w:r>
            <w:r w:rsidRPr="00682FEF">
              <w:rPr>
                <w:sz w:val="22"/>
                <w:szCs w:val="22"/>
                <w:lang w:bidi="ar"/>
              </w:rPr>
              <w:noBreakHyphen/>
              <w:t>months follow-up​</w:t>
            </w:r>
          </w:p>
        </w:tc>
        <w:tc>
          <w:tcPr>
            <w:tcW w:w="2146" w:type="dxa"/>
            <w:vAlign w:val="center"/>
          </w:tcPr>
          <w:p w14:paraId="052BC788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Web education, nurse monitoring, reminders, and remote follow-up</w:t>
            </w:r>
          </w:p>
        </w:tc>
        <w:tc>
          <w:tcPr>
            <w:tcW w:w="2388" w:type="dxa"/>
            <w:vAlign w:val="center"/>
          </w:tcPr>
          <w:p w14:paraId="7B925730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Improved HbA1c, weight indices, and self-care versus usual follow-up</w:t>
            </w:r>
          </w:p>
        </w:tc>
        <w:tc>
          <w:tcPr>
            <w:tcW w:w="2259" w:type="dxa"/>
            <w:vAlign w:val="center"/>
          </w:tcPr>
          <w:p w14:paraId="3827C1C7" w14:textId="551CF4CF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Structured web education can enhance glycaemic control and self-management in routine practice</w:t>
            </w:r>
          </w:p>
        </w:tc>
      </w:tr>
      <w:tr w:rsidR="000658F1" w:rsidRPr="00682FEF" w14:paraId="66559B6A" w14:textId="77777777" w:rsidTr="000658F1">
        <w:tc>
          <w:tcPr>
            <w:tcW w:w="540" w:type="dxa"/>
            <w:vAlign w:val="center"/>
          </w:tcPr>
          <w:p w14:paraId="3BA9133C" w14:textId="7C9B00A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"/>
              </w:rPr>
              <w:t>7</w:t>
            </w:r>
          </w:p>
        </w:tc>
        <w:tc>
          <w:tcPr>
            <w:tcW w:w="1853" w:type="dxa"/>
            <w:vAlign w:val="center"/>
          </w:tcPr>
          <w:p w14:paraId="6053C12F" w14:textId="43CBEDA9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Roth et al., 2025, Germany (SYSTA) (8</w:t>
            </w:r>
            <w:r w:rsidRPr="00682FEF">
              <w:rPr>
                <w:rFonts w:hint="eastAsia"/>
                <w:sz w:val="22"/>
                <w:szCs w:val="22"/>
                <w:lang w:bidi="ar"/>
              </w:rPr>
              <w:t>1</w:t>
            </w:r>
            <w:r w:rsidRPr="00682FEF">
              <w:rPr>
                <w:sz w:val="22"/>
                <w:szCs w:val="22"/>
                <w:lang w:bidi="ar"/>
              </w:rPr>
              <w:t>)​</w:t>
            </w:r>
          </w:p>
        </w:tc>
        <w:tc>
          <w:tcPr>
            <w:tcW w:w="2414" w:type="dxa"/>
            <w:vAlign w:val="center"/>
          </w:tcPr>
          <w:p w14:paraId="0827007E" w14:textId="3DC9A834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ESYSTA interoperable digital diabetes management system</w:t>
            </w:r>
          </w:p>
        </w:tc>
        <w:tc>
          <w:tcPr>
            <w:tcW w:w="2348" w:type="dxa"/>
            <w:vAlign w:val="center"/>
          </w:tcPr>
          <w:p w14:paraId="5B4AA223" w14:textId="6BA536BD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Multicentre RCT; 204 insulin-treated adults with type 1 or type 2 diabetes, 6</w:t>
            </w:r>
            <w:r w:rsidRPr="00682FEF">
              <w:rPr>
                <w:sz w:val="22"/>
                <w:szCs w:val="22"/>
                <w:lang w:bidi="ar"/>
              </w:rPr>
              <w:noBreakHyphen/>
              <w:t>months follow-up</w:t>
            </w:r>
          </w:p>
        </w:tc>
        <w:tc>
          <w:tcPr>
            <w:tcW w:w="2146" w:type="dxa"/>
            <w:vAlign w:val="center"/>
          </w:tcPr>
          <w:p w14:paraId="593AF3AD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Integrated data upload, dashboards, alerts, clinician access, tailored messaging​</w:t>
            </w:r>
          </w:p>
        </w:tc>
        <w:tc>
          <w:tcPr>
            <w:tcW w:w="2388" w:type="dxa"/>
            <w:vAlign w:val="center"/>
          </w:tcPr>
          <w:p w14:paraId="45A32151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Modest additional HbA1c reduction and better well-being in adherent users​</w:t>
            </w:r>
          </w:p>
        </w:tc>
        <w:tc>
          <w:tcPr>
            <w:tcW w:w="2259" w:type="dxa"/>
            <w:vAlign w:val="center"/>
          </w:tcPr>
          <w:p w14:paraId="1E4208BA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Integrated digital systems can add modest but relevant metabolic and psychosocial benefits when embedded in care pathways​</w:t>
            </w:r>
          </w:p>
        </w:tc>
      </w:tr>
      <w:tr w:rsidR="000658F1" w:rsidRPr="00682FEF" w14:paraId="109629E9" w14:textId="77777777" w:rsidTr="000658F1">
        <w:tc>
          <w:tcPr>
            <w:tcW w:w="540" w:type="dxa"/>
            <w:vAlign w:val="center"/>
          </w:tcPr>
          <w:p w14:paraId="7D381529" w14:textId="60FD11B0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"/>
              </w:rPr>
              <w:t>8</w:t>
            </w:r>
          </w:p>
        </w:tc>
        <w:tc>
          <w:tcPr>
            <w:tcW w:w="1853" w:type="dxa"/>
            <w:vAlign w:val="center"/>
          </w:tcPr>
          <w:p w14:paraId="6B90B60F" w14:textId="07777A3A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Hsia et al., 2022, USA (BT</w:t>
            </w:r>
            <w:r w:rsidRPr="00682FEF">
              <w:rPr>
                <w:sz w:val="22"/>
                <w:szCs w:val="22"/>
                <w:lang w:bidi="ar"/>
              </w:rPr>
              <w:noBreakHyphen/>
              <w:t>001 CBT app) (8</w:t>
            </w:r>
            <w:r w:rsidRPr="00682FEF">
              <w:rPr>
                <w:rFonts w:hint="eastAsia"/>
                <w:sz w:val="22"/>
                <w:szCs w:val="22"/>
                <w:lang w:bidi="ar"/>
              </w:rPr>
              <w:t>2</w:t>
            </w:r>
            <w:r w:rsidRPr="00682FEF">
              <w:rPr>
                <w:sz w:val="22"/>
                <w:szCs w:val="22"/>
                <w:lang w:bidi="ar"/>
              </w:rPr>
              <w:t>)</w:t>
            </w:r>
          </w:p>
        </w:tc>
        <w:tc>
          <w:tcPr>
            <w:tcW w:w="2414" w:type="dxa"/>
            <w:vAlign w:val="center"/>
          </w:tcPr>
          <w:p w14:paraId="29A55A82" w14:textId="77777777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BT</w:t>
            </w:r>
            <w:r w:rsidRPr="00682FEF">
              <w:rPr>
                <w:sz w:val="22"/>
                <w:szCs w:val="22"/>
                <w:lang w:bidi="ar"/>
              </w:rPr>
              <w:noBreakHyphen/>
              <w:t>001 digital therapeutic app delivering CBT</w:t>
            </w:r>
          </w:p>
        </w:tc>
        <w:tc>
          <w:tcPr>
            <w:tcW w:w="2348" w:type="dxa"/>
            <w:vAlign w:val="center"/>
          </w:tcPr>
          <w:p w14:paraId="478DE6D9" w14:textId="39B55B9F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Decentralized RCT; 669 adults with T2D, 90</w:t>
            </w:r>
            <w:r w:rsidRPr="00682FEF">
              <w:rPr>
                <w:sz w:val="22"/>
                <w:szCs w:val="22"/>
                <w:lang w:bidi="ar"/>
              </w:rPr>
              <w:noBreakHyphen/>
              <w:t>days primary endpoint​</w:t>
            </w:r>
          </w:p>
        </w:tc>
        <w:tc>
          <w:tcPr>
            <w:tcW w:w="2146" w:type="dxa"/>
            <w:vAlign w:val="center"/>
          </w:tcPr>
          <w:p w14:paraId="29DDE076" w14:textId="4CA7B924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Digital CBT modules with behaviour tracking and automated feedback</w:t>
            </w:r>
          </w:p>
        </w:tc>
        <w:tc>
          <w:tcPr>
            <w:tcW w:w="2388" w:type="dxa"/>
            <w:vAlign w:val="center"/>
          </w:tcPr>
          <w:p w14:paraId="3FF8C93D" w14:textId="750BECB9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HbA1c reduction of ~0.4% versus control, greater reduction in highly engaged users</w:t>
            </w:r>
          </w:p>
        </w:tc>
        <w:tc>
          <w:tcPr>
            <w:tcW w:w="2259" w:type="dxa"/>
            <w:vAlign w:val="center"/>
          </w:tcPr>
          <w:p w14:paraId="464CEFBE" w14:textId="144FB48E" w:rsidR="000658F1" w:rsidRPr="00682FEF" w:rsidRDefault="000658F1" w:rsidP="000658F1">
            <w:pPr>
              <w:widowControl/>
              <w:jc w:val="left"/>
              <w:rPr>
                <w:sz w:val="22"/>
                <w:szCs w:val="22"/>
              </w:rPr>
            </w:pPr>
            <w:r w:rsidRPr="00682FEF">
              <w:rPr>
                <w:sz w:val="22"/>
                <w:szCs w:val="22"/>
                <w:lang w:bidi="ar"/>
              </w:rPr>
              <w:t>Digital CBT can modestly improve glycaemic control as an adjunct to standard therapy</w:t>
            </w:r>
          </w:p>
        </w:tc>
      </w:tr>
    </w:tbl>
    <w:bookmarkEnd w:id="5"/>
    <w:bookmarkEnd w:id="6"/>
    <w:p w14:paraId="349AEB6A" w14:textId="173D4BFE" w:rsidR="007B6623" w:rsidRPr="00682FEF" w:rsidRDefault="000026AD" w:rsidP="000026AD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hAnsi="Times New Roman" w:cs="Times New Roman"/>
          <w:i/>
          <w:iCs/>
          <w:sz w:val="18"/>
          <w:szCs w:val="18"/>
        </w:rPr>
        <w:sectPr w:rsidR="007B6623" w:rsidRPr="00682FEF" w:rsidSect="007B6623">
          <w:footerReference w:type="default" r:id="rId6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682FEF">
        <w:rPr>
          <w:rFonts w:ascii="Times New Roman" w:eastAsia="Times New Roman" w:hAnsi="Times New Roman" w:cs="Times New Roman"/>
          <w:sz w:val="24"/>
        </w:rPr>
        <w:t xml:space="preserve">Footnotes: We searched the PubMed database covering the past five years (2021-2025) and screened relevant literature using keywords such as ‘type 2 diabetes’, ‘digital therapies’, ‘mobile applications’, ‘mobile health’, ‘telemedicine’, and ‘self-management’. Priority was given to studies that provided a detailed description of structured digital interventions and reported clinical or patient-relevant outcomes. </w:t>
      </w:r>
      <w:r w:rsidR="00A06AC1" w:rsidRPr="00682FEF">
        <w:rPr>
          <w:rFonts w:ascii="Times New Roman" w:hAnsi="Times New Roman" w:cs="Times New Roman"/>
          <w:sz w:val="24"/>
          <w:lang w:val="en-US"/>
        </w:rPr>
        <w:t xml:space="preserve">AI, artificial intelligence; CBT, cognitive </w:t>
      </w:r>
      <w:r w:rsidR="00186976" w:rsidRPr="00682FEF">
        <w:rPr>
          <w:rFonts w:ascii="Times New Roman" w:hAnsi="Times New Roman" w:cs="Times New Roman"/>
          <w:sz w:val="24"/>
          <w:lang w:val="en-US"/>
        </w:rPr>
        <w:t>behavioral</w:t>
      </w:r>
      <w:r w:rsidR="00A06AC1" w:rsidRPr="00682FEF">
        <w:rPr>
          <w:rFonts w:ascii="Times New Roman" w:hAnsi="Times New Roman" w:cs="Times New Roman"/>
          <w:sz w:val="24"/>
          <w:lang w:val="en-US"/>
        </w:rPr>
        <w:t xml:space="preserve"> therapy; DSMES, diabetes self-management education scheme; LLM, large-language model; RCT, randomized clinical </w:t>
      </w:r>
      <w:r w:rsidR="003F3B56" w:rsidRPr="00682FEF">
        <w:rPr>
          <w:rFonts w:ascii="Times New Roman" w:hAnsi="Times New Roman" w:cs="Times New Roman"/>
          <w:sz w:val="24"/>
          <w:lang w:val="en-US"/>
        </w:rPr>
        <w:t>trial; T</w:t>
      </w:r>
      <w:r w:rsidR="00A06AC1" w:rsidRPr="00682FEF">
        <w:rPr>
          <w:rFonts w:ascii="Times New Roman" w:hAnsi="Times New Roman" w:cs="Times New Roman"/>
          <w:sz w:val="24"/>
          <w:lang w:val="en-US"/>
        </w:rPr>
        <w:t xml:space="preserve">2D, type 2 diabetes. </w:t>
      </w:r>
    </w:p>
    <w:p w14:paraId="263E825C" w14:textId="7BE3E152" w:rsidR="00E46C81" w:rsidRPr="00682FEF" w:rsidRDefault="007B6623" w:rsidP="007B6623">
      <w:pPr>
        <w:widowControl/>
      </w:pPr>
      <w:r w:rsidRPr="00682FEF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Figure 1: </w:t>
      </w:r>
      <w:r w:rsidRPr="00682FEF">
        <w:rPr>
          <w:rFonts w:ascii="Times New Roman" w:hAnsi="Times New Roman" w:cs="Times New Roman"/>
          <w:sz w:val="24"/>
        </w:rPr>
        <w:t xml:space="preserve">An Integrated Digital Healthcare Ecosystem for Early-Onset Type 2 Diabetes. </w:t>
      </w:r>
    </w:p>
    <w:p w14:paraId="5176DB36" w14:textId="089E0A35" w:rsidR="007B6623" w:rsidRPr="00682FEF" w:rsidRDefault="007B6623">
      <w:r w:rsidRPr="00682FEF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1FA4096" wp14:editId="19A0D1FB">
            <wp:extent cx="5943600" cy="3156472"/>
            <wp:effectExtent l="0" t="0" r="0" b="6350"/>
            <wp:docPr id="184629457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29457" name="图片 5" descr="图示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4AFB" w14:textId="232FD9F9" w:rsidR="007B6623" w:rsidRPr="007B6623" w:rsidRDefault="007B6623" w:rsidP="007B6623">
      <w:pPr>
        <w:widowControl/>
        <w:rPr>
          <w:rFonts w:ascii="Times New Roman" w:hAnsi="Times New Roman" w:cs="Times New Roman"/>
          <w:sz w:val="24"/>
        </w:rPr>
      </w:pPr>
      <w:r w:rsidRPr="00682FEF">
        <w:rPr>
          <w:rFonts w:ascii="Times New Roman" w:hAnsi="Times New Roman" w:cs="Times New Roman"/>
          <w:sz w:val="24"/>
        </w:rPr>
        <w:t>Footnotes: The diagram illustrates an integrated digital ecosystem for people with early-onset type 2 diabetes.</w:t>
      </w:r>
      <w:r w:rsidR="001757F1" w:rsidRPr="00682FEF">
        <w:rPr>
          <w:rFonts w:ascii="Times New Roman" w:hAnsi="Times New Roman" w:cs="Times New Roman"/>
          <w:sz w:val="24"/>
        </w:rPr>
        <w:t xml:space="preserve"> </w:t>
      </w:r>
      <w:r w:rsidRPr="00682FEF">
        <w:rPr>
          <w:rFonts w:ascii="Times New Roman" w:hAnsi="Times New Roman" w:cs="Times New Roman"/>
          <w:sz w:val="24"/>
        </w:rPr>
        <w:t>Through key modules including foundational health literacy and engagement, personalised high-efficiency support, integrated monitoring of complications, and artificial intelligence</w:t>
      </w:r>
      <w:r w:rsidR="001757F1" w:rsidRPr="00682FEF">
        <w:rPr>
          <w:rFonts w:ascii="Times New Roman" w:hAnsi="Times New Roman" w:cs="Times New Roman"/>
          <w:sz w:val="24"/>
        </w:rPr>
        <w:t xml:space="preserve"> (AI)</w:t>
      </w:r>
      <w:r w:rsidRPr="00682FEF">
        <w:rPr>
          <w:rFonts w:ascii="Times New Roman" w:hAnsi="Times New Roman" w:cs="Times New Roman"/>
          <w:sz w:val="24"/>
        </w:rPr>
        <w:t xml:space="preserve">-driven decision support, it synergistically promotes patient empowerment, clinical optimisation, and system efficiency. This </w:t>
      </w:r>
      <w:r w:rsidR="001757F1" w:rsidRPr="00682FEF">
        <w:rPr>
          <w:rFonts w:ascii="Times New Roman" w:hAnsi="Times New Roman" w:cs="Times New Roman"/>
          <w:sz w:val="24"/>
        </w:rPr>
        <w:t>leads to</w:t>
      </w:r>
      <w:r w:rsidRPr="00682FEF">
        <w:rPr>
          <w:rFonts w:ascii="Times New Roman" w:hAnsi="Times New Roman" w:cs="Times New Roman"/>
          <w:sz w:val="24"/>
        </w:rPr>
        <w:t xml:space="preserve"> high-value, sustainable </w:t>
      </w:r>
      <w:r w:rsidR="001757F1" w:rsidRPr="00682FEF">
        <w:rPr>
          <w:rFonts w:ascii="Times New Roman" w:hAnsi="Times New Roman" w:cs="Times New Roman"/>
          <w:sz w:val="24"/>
        </w:rPr>
        <w:t>long-term type 2 diabetes care</w:t>
      </w:r>
      <w:r w:rsidRPr="00682FEF">
        <w:rPr>
          <w:rFonts w:ascii="Times New Roman" w:hAnsi="Times New Roman" w:cs="Times New Roman"/>
          <w:sz w:val="24"/>
        </w:rPr>
        <w:t>.</w:t>
      </w:r>
      <w:r w:rsidR="001757F1">
        <w:rPr>
          <w:rFonts w:ascii="Times New Roman" w:hAnsi="Times New Roman" w:cs="Times New Roman"/>
          <w:sz w:val="24"/>
        </w:rPr>
        <w:t xml:space="preserve">  </w:t>
      </w:r>
    </w:p>
    <w:p w14:paraId="78B4FED8" w14:textId="473A6790" w:rsidR="00EF4099" w:rsidRDefault="00EF4099"/>
    <w:sectPr w:rsidR="00EF4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404FE" w14:textId="77777777" w:rsidR="00CB1664" w:rsidRDefault="00CB1664" w:rsidP="001757F1">
      <w:r>
        <w:separator/>
      </w:r>
    </w:p>
  </w:endnote>
  <w:endnote w:type="continuationSeparator" w:id="0">
    <w:p w14:paraId="73CBDB46" w14:textId="77777777" w:rsidR="00CB1664" w:rsidRDefault="00CB1664" w:rsidP="00175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42273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387435" w14:textId="319DE116" w:rsidR="001757F1" w:rsidRDefault="001757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D05BDE" w14:textId="77777777" w:rsidR="001757F1" w:rsidRDefault="001757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BFA8" w14:textId="77777777" w:rsidR="00CB1664" w:rsidRDefault="00CB1664" w:rsidP="001757F1">
      <w:r>
        <w:separator/>
      </w:r>
    </w:p>
  </w:footnote>
  <w:footnote w:type="continuationSeparator" w:id="0">
    <w:p w14:paraId="7C47361D" w14:textId="77777777" w:rsidR="00CB1664" w:rsidRDefault="00CB1664" w:rsidP="001757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23"/>
    <w:rsid w:val="000026AD"/>
    <w:rsid w:val="000279EA"/>
    <w:rsid w:val="00046C8F"/>
    <w:rsid w:val="000658F1"/>
    <w:rsid w:val="0007431F"/>
    <w:rsid w:val="00085424"/>
    <w:rsid w:val="000878CD"/>
    <w:rsid w:val="000D0924"/>
    <w:rsid w:val="00165482"/>
    <w:rsid w:val="001757F1"/>
    <w:rsid w:val="00186976"/>
    <w:rsid w:val="001A02F5"/>
    <w:rsid w:val="00255031"/>
    <w:rsid w:val="00272793"/>
    <w:rsid w:val="00316FB0"/>
    <w:rsid w:val="00351B83"/>
    <w:rsid w:val="00363442"/>
    <w:rsid w:val="00384E4A"/>
    <w:rsid w:val="003B6634"/>
    <w:rsid w:val="003F3B56"/>
    <w:rsid w:val="0041191C"/>
    <w:rsid w:val="00445E0D"/>
    <w:rsid w:val="004951D3"/>
    <w:rsid w:val="004D0DEC"/>
    <w:rsid w:val="004D37B6"/>
    <w:rsid w:val="00527071"/>
    <w:rsid w:val="00554A07"/>
    <w:rsid w:val="00590B35"/>
    <w:rsid w:val="00682FEF"/>
    <w:rsid w:val="006E6EFE"/>
    <w:rsid w:val="006F4A6D"/>
    <w:rsid w:val="007751C0"/>
    <w:rsid w:val="007B6623"/>
    <w:rsid w:val="00831987"/>
    <w:rsid w:val="00844C9A"/>
    <w:rsid w:val="008C6D2D"/>
    <w:rsid w:val="008F1031"/>
    <w:rsid w:val="009F7DF6"/>
    <w:rsid w:val="00A00B54"/>
    <w:rsid w:val="00A06AC1"/>
    <w:rsid w:val="00A56783"/>
    <w:rsid w:val="00AB387F"/>
    <w:rsid w:val="00AE027C"/>
    <w:rsid w:val="00B068D7"/>
    <w:rsid w:val="00BC2578"/>
    <w:rsid w:val="00BE29CC"/>
    <w:rsid w:val="00BF0B29"/>
    <w:rsid w:val="00BF7EFA"/>
    <w:rsid w:val="00C22CC8"/>
    <w:rsid w:val="00CA629B"/>
    <w:rsid w:val="00CB1664"/>
    <w:rsid w:val="00D45439"/>
    <w:rsid w:val="00E133E6"/>
    <w:rsid w:val="00E46C81"/>
    <w:rsid w:val="00EB23A3"/>
    <w:rsid w:val="00EC0646"/>
    <w:rsid w:val="00EF4099"/>
    <w:rsid w:val="00F252E0"/>
    <w:rsid w:val="00F5205D"/>
    <w:rsid w:val="00FF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65268"/>
  <w15:chartTrackingRefBased/>
  <w15:docId w15:val="{2A470847-14AD-4ED2-8B25-4585190A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623"/>
    <w:pPr>
      <w:widowControl w:val="0"/>
      <w:spacing w:after="0" w:line="240" w:lineRule="auto"/>
      <w:jc w:val="both"/>
    </w:pPr>
    <w:rPr>
      <w:sz w:val="21"/>
      <w:lang w:val="en-GB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623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623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623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623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623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623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623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623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623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62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6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62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62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62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62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62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62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62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B6623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662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623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662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B6623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662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B6623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6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62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62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B66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B662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B66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66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B6623"/>
    <w:rPr>
      <w:rFonts w:eastAsiaTheme="minorEastAsia"/>
      <w:sz w:val="20"/>
      <w:szCs w:val="20"/>
      <w:lang w:val="en-GB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75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7F1"/>
    <w:rPr>
      <w:rFonts w:eastAsiaTheme="minorEastAsia"/>
      <w:sz w:val="21"/>
      <w:lang w:val="en-GB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5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7F1"/>
    <w:rPr>
      <w:rFonts w:eastAsiaTheme="minorEastAsia"/>
      <w:sz w:val="21"/>
      <w:lang w:val="en-GB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9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924"/>
    <w:rPr>
      <w:rFonts w:eastAsiaTheme="minorEastAsia"/>
      <w:b/>
      <w:bCs/>
      <w:sz w:val="20"/>
      <w:szCs w:val="20"/>
      <w:lang w:val="en-GB" w:eastAsia="zh-CN"/>
      <w14:ligatures w14:val="none"/>
    </w:rPr>
  </w:style>
  <w:style w:type="paragraph" w:styleId="Revision">
    <w:name w:val="Revision"/>
    <w:hidden/>
    <w:uiPriority w:val="99"/>
    <w:semiHidden/>
    <w:rsid w:val="00F5205D"/>
    <w:pPr>
      <w:spacing w:after="0" w:line="240" w:lineRule="auto"/>
    </w:pPr>
    <w:rPr>
      <w:sz w:val="21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LEE LING</dc:creator>
  <cp:keywords/>
  <dc:description/>
  <cp:lastModifiedBy>Jia Ding Wong</cp:lastModifiedBy>
  <cp:revision>22</cp:revision>
  <dcterms:created xsi:type="dcterms:W3CDTF">2026-02-11T14:15:00Z</dcterms:created>
  <dcterms:modified xsi:type="dcterms:W3CDTF">2026-04-30T16:24:00Z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0cecea01-2238-4d64-8914-0ce6635f6436</vt:lpwstr>
  </property>
</Properties>
</file>