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7EA21" w14:textId="2446872D" w:rsidR="00052B00" w:rsidRPr="004F5462" w:rsidRDefault="002770B2" w:rsidP="002770B2">
      <w:pPr>
        <w:spacing w:after="0" w:line="480" w:lineRule="auto"/>
        <w:rPr>
          <w:rFonts w:ascii="Arial" w:hAnsi="Arial" w:cs="Arial"/>
          <w:b/>
          <w:bCs/>
          <w:sz w:val="22"/>
          <w:szCs w:val="22"/>
        </w:rPr>
      </w:pPr>
      <w:r>
        <w:rPr>
          <w:rFonts w:ascii="Arial" w:hAnsi="Arial" w:cs="Arial"/>
          <w:b/>
          <w:bCs/>
          <w:sz w:val="22"/>
          <w:szCs w:val="22"/>
        </w:rPr>
        <w:t xml:space="preserve">Supplemental Material. </w:t>
      </w:r>
      <w:r w:rsidR="00052B00" w:rsidRPr="002770B2">
        <w:rPr>
          <w:rFonts w:ascii="Arial" w:hAnsi="Arial" w:cs="Arial"/>
          <w:sz w:val="22"/>
          <w:szCs w:val="22"/>
        </w:rPr>
        <w:t>Overview of AGREE II Adaptation</w:t>
      </w:r>
    </w:p>
    <w:p w14:paraId="557DE2BB" w14:textId="77777777" w:rsidR="00052B00" w:rsidRPr="004F5462" w:rsidRDefault="00052B00" w:rsidP="008242DE">
      <w:pPr>
        <w:spacing w:after="0" w:line="480" w:lineRule="auto"/>
        <w:ind w:firstLine="720"/>
        <w:rPr>
          <w:rFonts w:ascii="Arial" w:hAnsi="Arial" w:cs="Arial"/>
          <w:sz w:val="22"/>
          <w:szCs w:val="22"/>
        </w:rPr>
      </w:pPr>
      <w:r w:rsidRPr="004F5462">
        <w:rPr>
          <w:rFonts w:ascii="Arial" w:hAnsi="Arial" w:cs="Arial"/>
          <w:sz w:val="22"/>
          <w:szCs w:val="22"/>
        </w:rPr>
        <w:t>The AGREE II</w:t>
      </w:r>
      <w:hyperlink r:id="rId9" w:history="1">
        <w:r w:rsidRPr="004F5462">
          <w:rPr>
            <w:rFonts w:ascii="Arial" w:eastAsia="Times New Roman" w:hAnsi="Arial" w:cs="Arial"/>
            <w:sz w:val="22"/>
            <w:szCs w:val="22"/>
            <w:vertAlign w:val="superscript"/>
          </w:rPr>
          <w:t>1</w:t>
        </w:r>
      </w:hyperlink>
      <w:r w:rsidRPr="004F5462">
        <w:rPr>
          <w:rFonts w:ascii="Arial" w:hAnsi="Arial" w:cs="Arial"/>
          <w:sz w:val="22"/>
          <w:szCs w:val="22"/>
        </w:rPr>
        <w:t xml:space="preserve"> is a validated tool widely used to determine methodological quality and transparency of clinical practice guidelines. The original version of this tool includes 25 items across six different domains: 1) Scope and Purpose, 2) Stakeholder Involvement, 3) Rigor of Development, 4) Clarity of Presentation, 5) Applicability, and 6) Editorial Independence. For simplicity and ease of use within this scoping review, we adapted and pared down the 25 items from the AGREE II into 5 items: 1) clear description of methodology of guideline creation (capturing Domain 1: Scope and Purpose), 2) inclusion of multiple stakeholder groups (capturing Domain 2: Stakeholder Involvement), 3) use of evidence to formulate guidelines (capturing Domain 3: Rigor), 4) risk of bias from funding source (capturing Domain 6), and 5) consideration of traditionally marginalized groups (not captured in AGREE II, but we felt was important to evaluate). While Clarity of Presentation (Domain 4) and Applicability (Domain 5) are important, we chose not to prioritize these in our quality assessment.</w:t>
      </w:r>
    </w:p>
    <w:p w14:paraId="59700B9B" w14:textId="6DD054DD" w:rsidR="00052B00" w:rsidRPr="004F5462" w:rsidRDefault="00052B00" w:rsidP="008242DE">
      <w:pPr>
        <w:spacing w:after="0" w:line="480" w:lineRule="auto"/>
        <w:ind w:firstLine="720"/>
        <w:rPr>
          <w:rFonts w:ascii="Arial" w:hAnsi="Arial" w:cs="Arial"/>
          <w:sz w:val="22"/>
          <w:szCs w:val="22"/>
        </w:rPr>
      </w:pPr>
      <w:r w:rsidRPr="004F5462">
        <w:rPr>
          <w:rFonts w:ascii="Arial" w:hAnsi="Arial" w:cs="Arial"/>
          <w:sz w:val="22"/>
          <w:szCs w:val="22"/>
        </w:rPr>
        <w:t xml:space="preserve">One reviewer assessed each paper for the presence of these specific criteria and assigned a cumulative quality score, awarding points for each criterion that was met. </w:t>
      </w:r>
      <w:r w:rsidR="00C93FB9">
        <w:rPr>
          <w:rFonts w:ascii="Arial" w:hAnsi="Arial" w:cs="Arial"/>
          <w:sz w:val="22"/>
          <w:szCs w:val="22"/>
        </w:rPr>
        <w:t>P</w:t>
      </w:r>
      <w:r w:rsidRPr="004F5462">
        <w:rPr>
          <w:rFonts w:ascii="Arial" w:hAnsi="Arial" w:cs="Arial"/>
          <w:sz w:val="22"/>
          <w:szCs w:val="22"/>
        </w:rPr>
        <w:t>oints ranged from No (0), Unsure (0.5), and Yes (1). These points, and the cumulative score, were reviewed by a senior author. When there was disagreement, the two reviewers discussed and came to consensus, involving another author when needed, to confirm the final quality score.</w:t>
      </w:r>
    </w:p>
    <w:p w14:paraId="3A7A13D3" w14:textId="77777777" w:rsidR="00052B00" w:rsidRDefault="00052B00"/>
    <w:p w14:paraId="7857494F" w14:textId="77777777" w:rsidR="00052B00" w:rsidRDefault="00052B00"/>
    <w:p w14:paraId="47A45CBA" w14:textId="77777777" w:rsidR="00052B00" w:rsidRDefault="00052B00"/>
    <w:p w14:paraId="07861D52" w14:textId="77777777" w:rsidR="00052B00" w:rsidRDefault="00052B00"/>
    <w:p w14:paraId="6FBCF92A" w14:textId="77777777" w:rsidR="00052B00" w:rsidRDefault="00052B00"/>
    <w:p w14:paraId="347B7766" w14:textId="46B21F2B" w:rsidR="00052B00" w:rsidRPr="00995A40" w:rsidRDefault="00052B00">
      <w:pPr>
        <w:rPr>
          <w:rFonts w:ascii="Arial" w:hAnsi="Arial" w:cs="Arial"/>
          <w:b/>
          <w:bCs/>
          <w:sz w:val="22"/>
          <w:szCs w:val="22"/>
        </w:rPr>
      </w:pPr>
      <w:r w:rsidRPr="00995A40">
        <w:rPr>
          <w:rFonts w:ascii="Arial" w:hAnsi="Arial" w:cs="Arial"/>
          <w:b/>
          <w:bCs/>
          <w:sz w:val="22"/>
          <w:szCs w:val="22"/>
        </w:rPr>
        <w:t>REFERENCES</w:t>
      </w:r>
    </w:p>
    <w:p w14:paraId="3F1F8CC9" w14:textId="0E63C68B" w:rsidR="00052B00" w:rsidRPr="00995A40" w:rsidRDefault="00052B00" w:rsidP="00052B00">
      <w:pPr>
        <w:spacing w:afterLines="100" w:after="240" w:line="240" w:lineRule="auto"/>
        <w:ind w:left="700" w:hanging="700"/>
        <w:rPr>
          <w:rFonts w:ascii="Arial" w:hAnsi="Arial" w:cs="Arial"/>
          <w:sz w:val="22"/>
          <w:szCs w:val="22"/>
        </w:rPr>
      </w:pPr>
      <w:hyperlink r:id="rId10" w:history="1">
        <w:r w:rsidRPr="00995A40">
          <w:rPr>
            <w:rStyle w:val="csl-left-margin"/>
            <w:rFonts w:ascii="Arial" w:hAnsi="Arial" w:cs="Arial"/>
            <w:color w:val="000000"/>
            <w:sz w:val="22"/>
            <w:szCs w:val="22"/>
          </w:rPr>
          <w:t>1. </w:t>
        </w:r>
        <w:r w:rsidRPr="00995A40">
          <w:rPr>
            <w:rStyle w:val="csl-left-margin"/>
            <w:rFonts w:ascii="Arial" w:hAnsi="Arial" w:cs="Arial"/>
            <w:color w:val="000000"/>
            <w:sz w:val="22"/>
            <w:szCs w:val="22"/>
          </w:rPr>
          <w:t> </w:t>
        </w:r>
        <w:r w:rsidRPr="00995A40">
          <w:rPr>
            <w:rStyle w:val="csl-left-margin"/>
            <w:rFonts w:ascii="Arial" w:hAnsi="Arial" w:cs="Arial"/>
            <w:color w:val="000000"/>
            <w:sz w:val="22"/>
            <w:szCs w:val="22"/>
          </w:rPr>
          <w:t> </w:t>
        </w:r>
        <w:r w:rsidRPr="00995A40">
          <w:rPr>
            <w:rStyle w:val="csl-left-margin"/>
            <w:rFonts w:ascii="Arial" w:hAnsi="Arial" w:cs="Arial"/>
            <w:color w:val="000000"/>
            <w:sz w:val="22"/>
            <w:szCs w:val="22"/>
          </w:rPr>
          <w:t> </w:t>
        </w:r>
        <w:r w:rsidRPr="00995A40">
          <w:rPr>
            <w:rStyle w:val="csl-right-inline"/>
            <w:rFonts w:ascii="Arial" w:hAnsi="Arial" w:cs="Arial"/>
            <w:color w:val="000000"/>
            <w:sz w:val="22"/>
            <w:szCs w:val="22"/>
          </w:rPr>
          <w:t xml:space="preserve">Brouwers MC, Kho ME, Browman GP, et al. AGREE II: advancing guideline development, reporting and evaluation in health care. </w:t>
        </w:r>
        <w:r w:rsidRPr="00995A40">
          <w:rPr>
            <w:rStyle w:val="csl-right-inline"/>
            <w:rFonts w:ascii="Arial" w:hAnsi="Arial" w:cs="Arial"/>
            <w:i/>
            <w:iCs/>
            <w:color w:val="000000"/>
            <w:sz w:val="22"/>
            <w:szCs w:val="22"/>
          </w:rPr>
          <w:t>CMAJ</w:t>
        </w:r>
        <w:r w:rsidRPr="00995A40">
          <w:rPr>
            <w:rStyle w:val="csl-right-inline"/>
            <w:rFonts w:ascii="Arial" w:hAnsi="Arial" w:cs="Arial"/>
            <w:color w:val="000000"/>
            <w:sz w:val="22"/>
            <w:szCs w:val="22"/>
          </w:rPr>
          <w:t>. 2010;182(18):E839-42. doi:10.1503/cmaj.090449</w:t>
        </w:r>
      </w:hyperlink>
      <w:r w:rsidRPr="00995A40">
        <w:rPr>
          <w:rFonts w:ascii="Arial" w:hAnsi="Arial" w:cs="Arial"/>
          <w:color w:val="000000"/>
          <w:sz w:val="22"/>
          <w:szCs w:val="22"/>
        </w:rPr>
        <w:t xml:space="preserve"> </w:t>
      </w:r>
    </w:p>
    <w:sectPr w:rsidR="00052B00" w:rsidRPr="00995A4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02C02" w14:textId="77777777" w:rsidR="00765341" w:rsidRDefault="00765341" w:rsidP="00031F24">
      <w:pPr>
        <w:spacing w:after="0" w:line="240" w:lineRule="auto"/>
      </w:pPr>
      <w:r>
        <w:separator/>
      </w:r>
    </w:p>
  </w:endnote>
  <w:endnote w:type="continuationSeparator" w:id="0">
    <w:p w14:paraId="4FD3B28F" w14:textId="77777777" w:rsidR="00765341" w:rsidRDefault="00765341" w:rsidP="00031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E2D39" w14:textId="77777777" w:rsidR="00031F24" w:rsidRDefault="00031F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84F0" w14:textId="5F504D06" w:rsidR="00031F24" w:rsidRDefault="00031F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C86CD" w14:textId="77777777" w:rsidR="00031F24" w:rsidRDefault="00031F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38BB9" w14:textId="77777777" w:rsidR="00765341" w:rsidRDefault="00765341" w:rsidP="00031F24">
      <w:pPr>
        <w:spacing w:after="0" w:line="240" w:lineRule="auto"/>
      </w:pPr>
      <w:r>
        <w:separator/>
      </w:r>
    </w:p>
  </w:footnote>
  <w:footnote w:type="continuationSeparator" w:id="0">
    <w:p w14:paraId="487BC153" w14:textId="77777777" w:rsidR="00765341" w:rsidRDefault="00765341" w:rsidP="00031F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43475" w14:textId="77777777" w:rsidR="00031F24" w:rsidRDefault="00031F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6A59C" w14:textId="77777777" w:rsidR="00031F24" w:rsidRDefault="00031F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EF2D5" w14:textId="77777777" w:rsidR="00031F24" w:rsidRDefault="00031F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408"/>
    <w:rsid w:val="00014178"/>
    <w:rsid w:val="0002689C"/>
    <w:rsid w:val="00027886"/>
    <w:rsid w:val="00031F24"/>
    <w:rsid w:val="00035E0D"/>
    <w:rsid w:val="00052B00"/>
    <w:rsid w:val="00070B8D"/>
    <w:rsid w:val="00080A77"/>
    <w:rsid w:val="000B38F6"/>
    <w:rsid w:val="000E2633"/>
    <w:rsid w:val="0010577D"/>
    <w:rsid w:val="001066B1"/>
    <w:rsid w:val="00132ED2"/>
    <w:rsid w:val="0016673C"/>
    <w:rsid w:val="00176DDE"/>
    <w:rsid w:val="001B43C5"/>
    <w:rsid w:val="00204DC4"/>
    <w:rsid w:val="00257356"/>
    <w:rsid w:val="0027329D"/>
    <w:rsid w:val="002770B2"/>
    <w:rsid w:val="00293408"/>
    <w:rsid w:val="003E67FF"/>
    <w:rsid w:val="00435983"/>
    <w:rsid w:val="004F5462"/>
    <w:rsid w:val="005459E9"/>
    <w:rsid w:val="00564B78"/>
    <w:rsid w:val="00565700"/>
    <w:rsid w:val="00595B9C"/>
    <w:rsid w:val="006F461C"/>
    <w:rsid w:val="0073759D"/>
    <w:rsid w:val="00765341"/>
    <w:rsid w:val="008242DE"/>
    <w:rsid w:val="00844481"/>
    <w:rsid w:val="00892CC3"/>
    <w:rsid w:val="008944AF"/>
    <w:rsid w:val="008C7D3C"/>
    <w:rsid w:val="00962101"/>
    <w:rsid w:val="00965058"/>
    <w:rsid w:val="00995A40"/>
    <w:rsid w:val="009B78D0"/>
    <w:rsid w:val="00A45332"/>
    <w:rsid w:val="00A75CEB"/>
    <w:rsid w:val="00AB0D18"/>
    <w:rsid w:val="00B0764C"/>
    <w:rsid w:val="00B73F19"/>
    <w:rsid w:val="00B84D2E"/>
    <w:rsid w:val="00BD61A3"/>
    <w:rsid w:val="00BF16B7"/>
    <w:rsid w:val="00C04048"/>
    <w:rsid w:val="00C8231A"/>
    <w:rsid w:val="00C93FB9"/>
    <w:rsid w:val="00D12FB8"/>
    <w:rsid w:val="00D303C2"/>
    <w:rsid w:val="00D4234B"/>
    <w:rsid w:val="00D53967"/>
    <w:rsid w:val="00D660F1"/>
    <w:rsid w:val="00DF241E"/>
    <w:rsid w:val="00E431FF"/>
    <w:rsid w:val="00E54943"/>
    <w:rsid w:val="00E85D5F"/>
    <w:rsid w:val="00EF5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6CD44"/>
  <w15:chartTrackingRefBased/>
  <w15:docId w15:val="{28AF3FA3-B869-4770-B381-BDD17C56D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34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34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34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34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34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34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34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34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34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34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34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34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34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34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34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34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34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3408"/>
    <w:rPr>
      <w:rFonts w:eastAsiaTheme="majorEastAsia" w:cstheme="majorBidi"/>
      <w:color w:val="272727" w:themeColor="text1" w:themeTint="D8"/>
    </w:rPr>
  </w:style>
  <w:style w:type="paragraph" w:styleId="Title">
    <w:name w:val="Title"/>
    <w:basedOn w:val="Normal"/>
    <w:next w:val="Normal"/>
    <w:link w:val="TitleChar"/>
    <w:uiPriority w:val="10"/>
    <w:qFormat/>
    <w:rsid w:val="002934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34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34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34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3408"/>
    <w:pPr>
      <w:spacing w:before="160"/>
      <w:jc w:val="center"/>
    </w:pPr>
    <w:rPr>
      <w:i/>
      <w:iCs/>
      <w:color w:val="404040" w:themeColor="text1" w:themeTint="BF"/>
    </w:rPr>
  </w:style>
  <w:style w:type="character" w:customStyle="1" w:styleId="QuoteChar">
    <w:name w:val="Quote Char"/>
    <w:basedOn w:val="DefaultParagraphFont"/>
    <w:link w:val="Quote"/>
    <w:uiPriority w:val="29"/>
    <w:rsid w:val="00293408"/>
    <w:rPr>
      <w:i/>
      <w:iCs/>
      <w:color w:val="404040" w:themeColor="text1" w:themeTint="BF"/>
    </w:rPr>
  </w:style>
  <w:style w:type="paragraph" w:styleId="ListParagraph">
    <w:name w:val="List Paragraph"/>
    <w:basedOn w:val="Normal"/>
    <w:uiPriority w:val="34"/>
    <w:qFormat/>
    <w:rsid w:val="00293408"/>
    <w:pPr>
      <w:ind w:left="720"/>
      <w:contextualSpacing/>
    </w:pPr>
  </w:style>
  <w:style w:type="character" w:styleId="IntenseEmphasis">
    <w:name w:val="Intense Emphasis"/>
    <w:basedOn w:val="DefaultParagraphFont"/>
    <w:uiPriority w:val="21"/>
    <w:qFormat/>
    <w:rsid w:val="00293408"/>
    <w:rPr>
      <w:i/>
      <w:iCs/>
      <w:color w:val="0F4761" w:themeColor="accent1" w:themeShade="BF"/>
    </w:rPr>
  </w:style>
  <w:style w:type="paragraph" w:styleId="IntenseQuote">
    <w:name w:val="Intense Quote"/>
    <w:basedOn w:val="Normal"/>
    <w:next w:val="Normal"/>
    <w:link w:val="IntenseQuoteChar"/>
    <w:uiPriority w:val="30"/>
    <w:qFormat/>
    <w:rsid w:val="002934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3408"/>
    <w:rPr>
      <w:i/>
      <w:iCs/>
      <w:color w:val="0F4761" w:themeColor="accent1" w:themeShade="BF"/>
    </w:rPr>
  </w:style>
  <w:style w:type="character" w:styleId="IntenseReference">
    <w:name w:val="Intense Reference"/>
    <w:basedOn w:val="DefaultParagraphFont"/>
    <w:uiPriority w:val="32"/>
    <w:qFormat/>
    <w:rsid w:val="00293408"/>
    <w:rPr>
      <w:b/>
      <w:bCs/>
      <w:smallCaps/>
      <w:color w:val="0F4761" w:themeColor="accent1" w:themeShade="BF"/>
      <w:spacing w:val="5"/>
    </w:rPr>
  </w:style>
  <w:style w:type="character" w:styleId="CommentReference">
    <w:name w:val="annotation reference"/>
    <w:basedOn w:val="DefaultParagraphFont"/>
    <w:uiPriority w:val="99"/>
    <w:semiHidden/>
    <w:unhideWhenUsed/>
    <w:rsid w:val="00AB0D18"/>
    <w:rPr>
      <w:sz w:val="16"/>
      <w:szCs w:val="16"/>
    </w:rPr>
  </w:style>
  <w:style w:type="paragraph" w:styleId="CommentText">
    <w:name w:val="annotation text"/>
    <w:basedOn w:val="Normal"/>
    <w:link w:val="CommentTextChar"/>
    <w:uiPriority w:val="99"/>
    <w:unhideWhenUsed/>
    <w:rsid w:val="00AB0D18"/>
    <w:pPr>
      <w:spacing w:line="240" w:lineRule="auto"/>
    </w:pPr>
    <w:rPr>
      <w:sz w:val="20"/>
      <w:szCs w:val="20"/>
    </w:rPr>
  </w:style>
  <w:style w:type="character" w:customStyle="1" w:styleId="CommentTextChar">
    <w:name w:val="Comment Text Char"/>
    <w:basedOn w:val="DefaultParagraphFont"/>
    <w:link w:val="CommentText"/>
    <w:uiPriority w:val="99"/>
    <w:rsid w:val="00AB0D18"/>
    <w:rPr>
      <w:sz w:val="20"/>
      <w:szCs w:val="20"/>
    </w:rPr>
  </w:style>
  <w:style w:type="paragraph" w:styleId="CommentSubject">
    <w:name w:val="annotation subject"/>
    <w:basedOn w:val="CommentText"/>
    <w:next w:val="CommentText"/>
    <w:link w:val="CommentSubjectChar"/>
    <w:uiPriority w:val="99"/>
    <w:semiHidden/>
    <w:unhideWhenUsed/>
    <w:rsid w:val="00AB0D18"/>
    <w:rPr>
      <w:b/>
      <w:bCs/>
    </w:rPr>
  </w:style>
  <w:style w:type="character" w:customStyle="1" w:styleId="CommentSubjectChar">
    <w:name w:val="Comment Subject Char"/>
    <w:basedOn w:val="CommentTextChar"/>
    <w:link w:val="CommentSubject"/>
    <w:uiPriority w:val="99"/>
    <w:semiHidden/>
    <w:rsid w:val="00AB0D18"/>
    <w:rPr>
      <w:b/>
      <w:bCs/>
      <w:sz w:val="20"/>
      <w:szCs w:val="20"/>
    </w:rPr>
  </w:style>
  <w:style w:type="character" w:styleId="Hyperlink">
    <w:name w:val="Hyperlink"/>
    <w:basedOn w:val="DefaultParagraphFont"/>
    <w:uiPriority w:val="99"/>
    <w:semiHidden/>
    <w:unhideWhenUsed/>
    <w:rsid w:val="00962101"/>
    <w:rPr>
      <w:color w:val="0000FF"/>
      <w:u w:val="single"/>
    </w:rPr>
  </w:style>
  <w:style w:type="paragraph" w:styleId="Header">
    <w:name w:val="header"/>
    <w:basedOn w:val="Normal"/>
    <w:link w:val="HeaderChar"/>
    <w:uiPriority w:val="99"/>
    <w:unhideWhenUsed/>
    <w:rsid w:val="00031F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1F24"/>
  </w:style>
  <w:style w:type="paragraph" w:styleId="Footer">
    <w:name w:val="footer"/>
    <w:basedOn w:val="Normal"/>
    <w:link w:val="FooterChar"/>
    <w:uiPriority w:val="99"/>
    <w:unhideWhenUsed/>
    <w:rsid w:val="00031F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1F24"/>
  </w:style>
  <w:style w:type="character" w:customStyle="1" w:styleId="csl-left-margin">
    <w:name w:val="csl-left-margin"/>
    <w:basedOn w:val="DefaultParagraphFont"/>
    <w:rsid w:val="00052B00"/>
  </w:style>
  <w:style w:type="character" w:customStyle="1" w:styleId="csl-right-inline">
    <w:name w:val="csl-right-inline"/>
    <w:basedOn w:val="DefaultParagraphFont"/>
    <w:rsid w:val="00052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453261">
      <w:bodyDiv w:val="1"/>
      <w:marLeft w:val="0"/>
      <w:marRight w:val="0"/>
      <w:marTop w:val="0"/>
      <w:marBottom w:val="0"/>
      <w:divBdr>
        <w:top w:val="none" w:sz="0" w:space="0" w:color="auto"/>
        <w:left w:val="none" w:sz="0" w:space="0" w:color="auto"/>
        <w:bottom w:val="none" w:sz="0" w:space="0" w:color="auto"/>
        <w:right w:val="none" w:sz="0" w:space="0" w:color="auto"/>
      </w:divBdr>
    </w:div>
    <w:div w:id="176549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sciwheel.com/work/bibliography/2025319" TargetMode="External"/><Relationship Id="rId4" Type="http://schemas.openxmlformats.org/officeDocument/2006/relationships/styles" Target="styles.xml"/><Relationship Id="rId9" Type="http://schemas.openxmlformats.org/officeDocument/2006/relationships/hyperlink" Target="https://sciwheel.com/work/citation?ids=2025319&amp;pre=&amp;suf=&amp;sa=0&amp;dbf=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DEA33BD-8AD8-4A28-ABB8-04A72BE1FFFC}">
  <we:reference id="a504f697-cd57-482d-af3c-653ec8236b9b" version="7.0.0.1" store="EXCatalog" storeType="EXCatalog"/>
  <we:alternateReferences>
    <we:reference id="WA200002534" version="7.0.0.1" store="en-US" storeType="OMEX"/>
  </we:alternateReferences>
  <we:properties>
    <we:property name="sciwheel-csl-items" value="[{&quot;title&quot;:&quot;AGREE II: advancing guideline development, reporting and evaluation in health care.&quot;,&quot;page&quot;:&quot;E839-42&quot;,&quot;volume&quot;:&quot;182&quot;,&quot;issue&quot;:&quot;18&quot;,&quot;journalAbbreviation&quot;:&quot;CMAJ&quot;,&quot;id&quot;:&quot;2025319&quot;,&quot;type&quot;:&quot;article-journal&quot;,&quot;container-title&quot;:&quot;Canadian Medical Association Journal&quot;,&quot;container-title-short&quot;:&quot;CMAJ&quot;,&quot;author&quot;:[{&quot;family&quot;:&quot;Brouwers&quot;,&quot;given&quot;:&quot;M C&quot;},{&quot;family&quot;:&quot;Kho&quot;,&quot;given&quot;:&quot;M E&quot;},{&quot;family&quot;:&quot;Browman&quot;,&quot;given&quot;:&quot;G P&quot;},{&quot;family&quot;:&quot;Burgers&quot;,&quot;given&quot;:&quot;J S&quot;},{&quot;family&quot;:&quot;Cluzeau&quot;,&quot;given&quot;:&quot;F&quot;},{&quot;family&quot;:&quot;Feder&quot;,&quot;given&quot;:&quot;G&quot;},{&quot;family&quot;:&quot;Fervers&quot;,&quot;given&quot;:&quot;B&quot;},{&quot;family&quot;:&quot;Graham&quot;,&quot;given&quot;:&quot;I D&quot;},{&quot;family&quot;:&quot;Grimshaw&quot;,&quot;given&quot;:&quot;J&quot;},{&quot;family&quot;:&quot;Hanna&quot;,&quot;given&quot;:&quot;S E&quot;},{&quot;family&quot;:&quot;Littlejohns&quot;,&quot;given&quot;:&quot;P&quot;},{&quot;family&quot;:&quot;Makarski&quot;,&quot;given&quot;:&quot;J&quot;},{&quot;family&quot;:&quot;Zitzelsberger&quot;,&quot;given&quot;:&quot;L&quot;},{&quot;family&quot;:&quot;AGREE Next Steps Consortium&quot;}],&quot;issued&quot;:{&quot;date-parts&quot;:[[&quot;2010&quot;,&quot;12&quot;,&quot;14&quot;]]},&quot;DOI&quot;:&quot;10.1503/cmaj.090449&quot;,&quot;PMID&quot;:&quot;20603348&quot;,&quot;PMCID&quot;:&quot;PMC3001530&quot;,&quot;citation-label&quot;:&quot;2025319&quot;}]"/>
    <we:property name="sciwheel-selectedStyle" value="{&quot;id&quot;:&quot;american-medical-association&quot;,&quot;name&quot;:&quot;AMA (American Medical Association)&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FDF5ACA35BB14981D73E7C2B2C066E" ma:contentTypeVersion="13" ma:contentTypeDescription="Create a new document." ma:contentTypeScope="" ma:versionID="66af6c0cf5d0098b583458e516fe0061">
  <xsd:schema xmlns:xsd="http://www.w3.org/2001/XMLSchema" xmlns:xs="http://www.w3.org/2001/XMLSchema" xmlns:p="http://schemas.microsoft.com/office/2006/metadata/properties" xmlns:ns2="05d80d59-0bc0-4910-ae29-d78da43fc821" xmlns:ns3="c11f8418-b31a-4513-86e6-78149def5f9c" targetNamespace="http://schemas.microsoft.com/office/2006/metadata/properties" ma:root="true" ma:fieldsID="c1e0d89b75a4759e0021bf20ea03c9f2" ns2:_="" ns3:_="">
    <xsd:import namespace="05d80d59-0bc0-4910-ae29-d78da43fc821"/>
    <xsd:import namespace="c11f8418-b31a-4513-86e6-78149def5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d80d59-0bc0-4910-ae29-d78da43fc8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1f8418-b31a-4513-86e6-78149def5f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488f4e4-d5d3-488f-bf29-e1380ae9d01b}" ma:internalName="TaxCatchAll" ma:showField="CatchAllData" ma:web="c11f8418-b31a-4513-86e6-78149def5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d80d59-0bc0-4910-ae29-d78da43fc821">
      <Terms xmlns="http://schemas.microsoft.com/office/infopath/2007/PartnerControls"/>
    </lcf76f155ced4ddcb4097134ff3c332f>
    <TaxCatchAll xmlns="c11f8418-b31a-4513-86e6-78149def5f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356913-32A8-45FE-94A1-CDE099560078}"/>
</file>

<file path=customXml/itemProps2.xml><?xml version="1.0" encoding="utf-8"?>
<ds:datastoreItem xmlns:ds="http://schemas.openxmlformats.org/officeDocument/2006/customXml" ds:itemID="{A4D91554-B09D-449F-96AD-33FC22A33D47}">
  <ds:schemaRefs>
    <ds:schemaRef ds:uri="http://schemas.microsoft.com/office/2006/documentManagement/types"/>
    <ds:schemaRef ds:uri="http://purl.org/dc/terms/"/>
    <ds:schemaRef ds:uri="http://purl.org/dc/elements/1.1/"/>
    <ds:schemaRef ds:uri="c11f8418-b31a-4513-86e6-78149def5f9c"/>
    <ds:schemaRef ds:uri="http://purl.org/dc/dcmitype/"/>
    <ds:schemaRef ds:uri="05d80d59-0bc0-4910-ae29-d78da43fc821"/>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91E4D21A-3AC9-4D97-BE42-58B28057B6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288</Words>
  <Characters>1646</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Winslow, Hannah Clark</dc:creator>
  <cp:keywords/>
  <dc:description/>
  <cp:lastModifiedBy>Winslow, Hannah Clark</cp:lastModifiedBy>
  <cp:revision>54</cp:revision>
  <dcterms:created xsi:type="dcterms:W3CDTF">2025-08-27T19:40:00Z</dcterms:created>
  <dcterms:modified xsi:type="dcterms:W3CDTF">2025-08-29T19:09:00Z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0x01010036FDF5ACA35BB14981D73E7C2B2C066E</vt:lpwstr>
  </property>
  <property fmtid="{D5CDD505-2E9C-101B-9397-08002B2CF9AE}" pid="3" name="MediaServiceImageTags">
    <vt:lpwstr/>
  </property>
</Properties>
</file>