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6E2CC" w14:textId="77777777" w:rsidR="006A021C" w:rsidRDefault="006A021C" w:rsidP="006A021C">
      <w:pPr>
        <w:rPr>
          <w:rFonts w:ascii="Helvetica" w:eastAsia="Times New Roman" w:hAnsi="Helvetica" w:cs="Times New Roman"/>
          <w:b/>
          <w:bCs/>
          <w:kern w:val="0"/>
          <w:sz w:val="21"/>
          <w:szCs w:val="21"/>
          <w14:ligatures w14:val="none"/>
        </w:rPr>
      </w:pPr>
      <w:r>
        <w:rPr>
          <w:rFonts w:ascii="Helvetica" w:eastAsia="Times New Roman" w:hAnsi="Helvetica" w:cs="Times New Roman"/>
          <w:b/>
          <w:bCs/>
          <w:kern w:val="0"/>
          <w:sz w:val="21"/>
          <w:szCs w:val="21"/>
          <w14:ligatures w14:val="none"/>
        </w:rPr>
        <w:t xml:space="preserve">Reviewer comment: </w:t>
      </w:r>
    </w:p>
    <w:p w14:paraId="79929512" w14:textId="77777777" w:rsidR="006A021C" w:rsidRDefault="006A021C" w:rsidP="006A021C">
      <w:pPr>
        <w:rPr>
          <w:rFonts w:ascii="Helvetica" w:eastAsia="Times New Roman" w:hAnsi="Helvetica" w:cs="Times New Roman"/>
          <w:b/>
          <w:bCs/>
          <w:kern w:val="0"/>
          <w:sz w:val="21"/>
          <w:szCs w:val="21"/>
          <w14:ligatures w14:val="none"/>
        </w:rPr>
      </w:pPr>
    </w:p>
    <w:p w14:paraId="2517BBAF" w14:textId="7E12191F" w:rsidR="006A021C" w:rsidRPr="006A021C" w:rsidRDefault="006A021C" w:rsidP="006A021C">
      <w:pPr>
        <w:rPr>
          <w:rFonts w:ascii="Helvetica" w:eastAsia="Times New Roman" w:hAnsi="Helvetica" w:cs="Times New Roman"/>
          <w:i/>
          <w:iCs/>
          <w:kern w:val="0"/>
          <w:sz w:val="21"/>
          <w:szCs w:val="21"/>
          <w14:ligatures w14:val="none"/>
        </w:rPr>
      </w:pPr>
      <w:r w:rsidRPr="006A021C">
        <w:rPr>
          <w:rFonts w:ascii="Helvetica" w:eastAsia="Times New Roman" w:hAnsi="Helvetica" w:cs="Times New Roman"/>
          <w:kern w:val="0"/>
          <w:sz w:val="21"/>
          <w:szCs w:val="21"/>
          <w14:ligatures w14:val="none"/>
        </w:rPr>
        <w:t>Thank you for your article, which addresses an increasingly urgent and under-researched issue in different global North and South contexts.</w:t>
      </w:r>
      <w:r>
        <w:rPr>
          <w:rFonts w:ascii="Helvetica" w:eastAsia="Times New Roman" w:hAnsi="Helvetica" w:cs="Times New Roman"/>
          <w:kern w:val="0"/>
          <w:sz w:val="21"/>
          <w:szCs w:val="21"/>
          <w14:ligatures w14:val="none"/>
        </w:rPr>
        <w:t xml:space="preserve"> </w:t>
      </w:r>
      <w:r w:rsidRPr="006A021C">
        <w:rPr>
          <w:rFonts w:ascii="Helvetica" w:eastAsia="Times New Roman" w:hAnsi="Helvetica" w:cs="Times New Roman"/>
          <w:kern w:val="0"/>
          <w:sz w:val="21"/>
          <w:szCs w:val="21"/>
          <w14:ligatures w14:val="none"/>
        </w:rPr>
        <w:t>It is an article that can provide insights and further reflection. I think it could be improved.</w:t>
      </w:r>
      <w:r>
        <w:rPr>
          <w:rFonts w:ascii="Helvetica" w:eastAsia="Times New Roman" w:hAnsi="Helvetica" w:cs="Times New Roman"/>
          <w:kern w:val="0"/>
          <w:sz w:val="21"/>
          <w:szCs w:val="21"/>
          <w14:ligatures w14:val="none"/>
        </w:rPr>
        <w:t xml:space="preserve"> </w:t>
      </w:r>
      <w:r w:rsidRPr="006A021C">
        <w:rPr>
          <w:rFonts w:ascii="Helvetica" w:eastAsia="Times New Roman" w:hAnsi="Helvetica" w:cs="Times New Roman"/>
          <w:kern w:val="0"/>
          <w:sz w:val="21"/>
          <w:szCs w:val="21"/>
          <w14:ligatures w14:val="none"/>
        </w:rPr>
        <w:t xml:space="preserve">In your argument, you write (p. </w:t>
      </w:r>
      <w:proofErr w:type="gramStart"/>
      <w:r w:rsidRPr="006A021C">
        <w:rPr>
          <w:rFonts w:ascii="Helvetica" w:eastAsia="Times New Roman" w:hAnsi="Helvetica" w:cs="Times New Roman"/>
          <w:kern w:val="0"/>
          <w:sz w:val="21"/>
          <w:szCs w:val="21"/>
          <w14:ligatures w14:val="none"/>
        </w:rPr>
        <w:t>7 :</w:t>
      </w:r>
      <w:proofErr w:type="gramEnd"/>
      <w:r w:rsidRPr="006A021C">
        <w:rPr>
          <w:rFonts w:ascii="Helvetica" w:eastAsia="Times New Roman" w:hAnsi="Helvetica" w:cs="Times New Roman"/>
          <w:kern w:val="0"/>
          <w:sz w:val="21"/>
          <w:szCs w:val="21"/>
          <w14:ligatures w14:val="none"/>
        </w:rPr>
        <w:t xml:space="preserve"> 57-60; p. 8:  4-12): </w:t>
      </w:r>
      <w:r w:rsidRPr="006A021C">
        <w:rPr>
          <w:rFonts w:ascii="Helvetica" w:eastAsia="Times New Roman" w:hAnsi="Helvetica" w:cs="Times New Roman"/>
          <w:kern w:val="0"/>
          <w:sz w:val="21"/>
          <w:szCs w:val="21"/>
          <w14:ligatures w14:val="none"/>
        </w:rPr>
        <w:br/>
      </w:r>
      <w:r w:rsidRPr="006A021C">
        <w:rPr>
          <w:rFonts w:ascii="Helvetica" w:eastAsia="Times New Roman" w:hAnsi="Helvetica" w:cs="Times New Roman"/>
          <w:kern w:val="0"/>
          <w:sz w:val="21"/>
          <w:szCs w:val="21"/>
          <w14:ligatures w14:val="none"/>
        </w:rPr>
        <w:br/>
      </w:r>
      <w:r w:rsidRPr="006A021C">
        <w:rPr>
          <w:rFonts w:ascii="Helvetica" w:eastAsia="Times New Roman" w:hAnsi="Helvetica" w:cs="Times New Roman"/>
          <w:i/>
          <w:iCs/>
          <w:kern w:val="0"/>
          <w:sz w:val="21"/>
          <w:szCs w:val="21"/>
          <w14:ligatures w14:val="none"/>
        </w:rPr>
        <w:t>Amongst scholars engaged in ethical analysis of CGM, a growing number suggest that in addition to</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concerns about surgical risk or loss of healthy tissue, it is necessary to consider the total embodied</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experience of the recipient of an unrequested genital modification. Thus, it can be asked, not only whether such modifications are potentially or actually harmful, but also whether they may constitute a violation of</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personal boundaries that may reasonably relate one’s sense of sexual integrity. From such a perspective,</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the purported wrong of medically unnecessary CGMs—like the wrong of medically unnecessary</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‘intimate’ exams—may not ultimately rest on the predicted effects of the intervention, but on the fact of</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its being done without the explicit prior consent of the person whose sexual anatomy is concerned</w:t>
      </w:r>
      <w:r>
        <w:rPr>
          <w:rFonts w:ascii="Helvetica" w:eastAsia="Times New Roman" w:hAnsi="Helvetica" w:cs="Times New Roman"/>
          <w:i/>
          <w:iCs/>
          <w:kern w:val="0"/>
          <w:sz w:val="21"/>
          <w:szCs w:val="21"/>
          <w14:ligatures w14:val="none"/>
        </w:rPr>
        <w:t xml:space="preserve"> </w:t>
      </w:r>
      <w:r w:rsidRPr="006A021C">
        <w:rPr>
          <w:rFonts w:ascii="Helvetica" w:eastAsia="Times New Roman" w:hAnsi="Helvetica" w:cs="Times New Roman"/>
          <w:i/>
          <w:iCs/>
          <w:kern w:val="0"/>
          <w:sz w:val="21"/>
          <w:szCs w:val="21"/>
          <w14:ligatures w14:val="none"/>
        </w:rPr>
        <w:t>(5,16,10). In either case, the argument rests on the genitals being seen a primary site of personal sexual boundaries (65)</w:t>
      </w:r>
    </w:p>
    <w:p w14:paraId="310061DD" w14:textId="77777777" w:rsidR="006A021C" w:rsidRDefault="006A021C" w:rsidP="006A021C">
      <w:pPr>
        <w:rPr>
          <w:rFonts w:ascii="Helvetica" w:eastAsia="Times New Roman" w:hAnsi="Helvetica" w:cs="Times New Roman"/>
          <w:kern w:val="0"/>
          <w:sz w:val="21"/>
          <w:szCs w:val="21"/>
          <w14:ligatures w14:val="none"/>
        </w:rPr>
      </w:pPr>
    </w:p>
    <w:p w14:paraId="0D49E24D" w14:textId="22EB1E91" w:rsidR="006A021C" w:rsidRDefault="006A021C" w:rsidP="006A021C">
      <w:pPr>
        <w:rPr>
          <w:rFonts w:ascii="Helvetica" w:eastAsia="Times New Roman" w:hAnsi="Helvetica" w:cs="Times New Roman"/>
          <w:kern w:val="0"/>
          <w:sz w:val="21"/>
          <w:szCs w:val="21"/>
          <w14:ligatures w14:val="none"/>
        </w:rPr>
      </w:pPr>
      <w:r w:rsidRPr="006A021C">
        <w:rPr>
          <w:rFonts w:ascii="Helvetica" w:eastAsia="Times New Roman" w:hAnsi="Helvetica" w:cs="Times New Roman"/>
          <w:kern w:val="0"/>
          <w:sz w:val="21"/>
          <w:szCs w:val="21"/>
          <w14:ligatures w14:val="none"/>
        </w:rPr>
        <w:t>It would be important to better explain that doctors also have 'their embodied experience of the body', which reflects to a lesser extent the imaginaries of their patients' bodies. These imaginaries influence both medical knowledge and the way consent is mobilised and thus obtained. Furthermore, in time and space, the notion of explicit consent is not the same for everyone. What is considered intimate about the body and sexuality is not perceived and experienced in the same way in different cultural contexts.</w:t>
      </w:r>
      <w:r w:rsidRPr="006A021C">
        <w:rPr>
          <w:rFonts w:ascii="Helvetica" w:eastAsia="Times New Roman" w:hAnsi="Helvetica" w:cs="Times New Roman"/>
          <w:kern w:val="0"/>
          <w:sz w:val="21"/>
          <w:szCs w:val="21"/>
          <w14:ligatures w14:val="none"/>
        </w:rPr>
        <w:br/>
      </w:r>
    </w:p>
    <w:p w14:paraId="6470A00C" w14:textId="7B7C96BA" w:rsidR="006A021C" w:rsidRPr="006A021C" w:rsidRDefault="006A021C" w:rsidP="006A021C">
      <w:pPr>
        <w:rPr>
          <w:rFonts w:ascii="Helvetica" w:eastAsia="Times New Roman" w:hAnsi="Helvetica" w:cs="Times New Roman"/>
          <w:kern w:val="0"/>
          <w:sz w:val="21"/>
          <w:szCs w:val="21"/>
          <w14:ligatures w14:val="none"/>
        </w:rPr>
      </w:pPr>
      <w:r w:rsidRPr="006A021C">
        <w:rPr>
          <w:rFonts w:ascii="Helvetica" w:eastAsia="Times New Roman" w:hAnsi="Helvetica" w:cs="Times New Roman"/>
          <w:kern w:val="0"/>
          <w:sz w:val="21"/>
          <w:szCs w:val="21"/>
          <w14:ligatures w14:val="none"/>
        </w:rPr>
        <w:t>In this sense, it would also be important to point out that in some contexts - I have in mind some in the global south, but not only there - 'consent' is equivalent to the cultural incorporation of certain 'values' or norms. In others, even in the medical context, it is not possible to obtain explicit consent because the parents may not be able to do so because they are illiterate or because they do not speak the official language. </w:t>
      </w:r>
      <w:r>
        <w:rPr>
          <w:rFonts w:ascii="Helvetica" w:eastAsia="Times New Roman" w:hAnsi="Helvetica" w:cs="Times New Roman"/>
          <w:kern w:val="0"/>
          <w:sz w:val="21"/>
          <w:szCs w:val="21"/>
          <w14:ligatures w14:val="none"/>
        </w:rPr>
        <w:t>I</w:t>
      </w:r>
      <w:r w:rsidRPr="006A021C">
        <w:rPr>
          <w:rFonts w:ascii="Helvetica" w:eastAsia="Times New Roman" w:hAnsi="Helvetica" w:cs="Times New Roman"/>
          <w:kern w:val="0"/>
          <w:sz w:val="21"/>
          <w:szCs w:val="21"/>
          <w14:ligatures w14:val="none"/>
        </w:rPr>
        <w:t>t would be important to make a brief mention of these cases as well.</w:t>
      </w:r>
      <w:r>
        <w:rPr>
          <w:rFonts w:ascii="Helvetica" w:eastAsia="Times New Roman" w:hAnsi="Helvetica" w:cs="Times New Roman"/>
          <w:kern w:val="0"/>
          <w:sz w:val="21"/>
          <w:szCs w:val="21"/>
          <w14:ligatures w14:val="none"/>
        </w:rPr>
        <w:t xml:space="preserve"> </w:t>
      </w:r>
      <w:r w:rsidRPr="006A021C">
        <w:rPr>
          <w:rFonts w:ascii="Helvetica" w:eastAsia="Times New Roman" w:hAnsi="Helvetica" w:cs="Times New Roman"/>
          <w:kern w:val="0"/>
          <w:sz w:val="21"/>
          <w:szCs w:val="21"/>
          <w14:ligatures w14:val="none"/>
        </w:rPr>
        <w:t xml:space="preserve">Thank you so </w:t>
      </w:r>
      <w:proofErr w:type="gramStart"/>
      <w:r w:rsidRPr="006A021C">
        <w:rPr>
          <w:rFonts w:ascii="Helvetica" w:eastAsia="Times New Roman" w:hAnsi="Helvetica" w:cs="Times New Roman"/>
          <w:kern w:val="0"/>
          <w:sz w:val="21"/>
          <w:szCs w:val="21"/>
          <w14:ligatures w14:val="none"/>
        </w:rPr>
        <w:t>much</w:t>
      </w:r>
      <w:proofErr w:type="gramEnd"/>
    </w:p>
    <w:p w14:paraId="3B10CD28" w14:textId="77777777" w:rsidR="00255371" w:rsidRDefault="00255371"/>
    <w:p w14:paraId="46A2E52F" w14:textId="6ABF6E4D" w:rsidR="006A021C" w:rsidRDefault="006A021C">
      <w:pPr>
        <w:rPr>
          <w:rFonts w:ascii="Helvetica" w:eastAsia="Times New Roman" w:hAnsi="Helvetica" w:cs="Times New Roman"/>
          <w:b/>
          <w:bCs/>
          <w:kern w:val="0"/>
          <w:sz w:val="21"/>
          <w:szCs w:val="21"/>
          <w14:ligatures w14:val="none"/>
        </w:rPr>
      </w:pPr>
      <w:r>
        <w:rPr>
          <w:rFonts w:ascii="Helvetica" w:eastAsia="Times New Roman" w:hAnsi="Helvetica" w:cs="Times New Roman"/>
          <w:b/>
          <w:bCs/>
          <w:kern w:val="0"/>
          <w:sz w:val="21"/>
          <w:szCs w:val="21"/>
          <w14:ligatures w14:val="none"/>
        </w:rPr>
        <w:t xml:space="preserve">Response: </w:t>
      </w:r>
    </w:p>
    <w:p w14:paraId="3013C095" w14:textId="77777777" w:rsidR="0092534E" w:rsidRDefault="0092534E">
      <w:pPr>
        <w:rPr>
          <w:rFonts w:ascii="Helvetica" w:eastAsia="Times New Roman" w:hAnsi="Helvetica" w:cs="Times New Roman"/>
          <w:b/>
          <w:bCs/>
          <w:kern w:val="0"/>
          <w:sz w:val="21"/>
          <w:szCs w:val="21"/>
          <w14:ligatures w14:val="none"/>
        </w:rPr>
      </w:pPr>
    </w:p>
    <w:p w14:paraId="42FD5F5F" w14:textId="3C183A9F" w:rsidR="0092534E" w:rsidRDefault="00807F48">
      <w:r>
        <w:t>Thank you for this useful feedback. We have edited the text in a couple of different ways to account for your insightful observation. First, we have added an example (episiotomies) to allow for additional contextual information regarding sociocultural variance in notions of bodily intimacy and consent</w:t>
      </w:r>
      <w:r w:rsidR="005D78C7">
        <w:t xml:space="preserve"> – elaborated on in Box 1, also added </w:t>
      </w:r>
      <w:proofErr w:type="gramStart"/>
      <w:r w:rsidR="005D78C7">
        <w:t xml:space="preserve">– </w:t>
      </w:r>
      <w:r>
        <w:t xml:space="preserve"> as</w:t>
      </w:r>
      <w:proofErr w:type="gramEnd"/>
      <w:r>
        <w:t xml:space="preserve"> follows:</w:t>
      </w:r>
    </w:p>
    <w:p w14:paraId="45024784" w14:textId="77777777" w:rsidR="007C13BC" w:rsidRDefault="007C13BC"/>
    <w:p w14:paraId="188753B9" w14:textId="77777777" w:rsidR="004534D2" w:rsidRDefault="004534D2" w:rsidP="004534D2">
      <w:pPr>
        <w:ind w:left="1440"/>
        <w:rPr>
          <w:rFonts w:ascii="Times New Roman" w:hAnsi="Times New Roman" w:cs="Times New Roman"/>
        </w:rPr>
      </w:pPr>
      <w:r w:rsidRPr="006A69F1">
        <w:rPr>
          <w:rFonts w:ascii="Times New Roman" w:hAnsi="Times New Roman" w:cs="Times New Roman"/>
        </w:rPr>
        <w:t>Comparable</w:t>
      </w:r>
      <w:r w:rsidRPr="006A69F1">
        <w:rPr>
          <w:rFonts w:ascii="Times New Roman" w:hAnsi="Times New Roman" w:cs="Times New Roman"/>
          <w:color w:val="000000" w:themeColor="text1"/>
        </w:rPr>
        <w:t xml:space="preserve"> arguments have been made about unconsented procedures during hospital births, such as episiotomies,</w:t>
      </w:r>
      <w:r w:rsidRPr="006A69F1">
        <w:rPr>
          <w:rStyle w:val="FootnoteReference"/>
          <w:rFonts w:ascii="Times New Roman" w:hAnsi="Times New Roman" w:cs="Times New Roman"/>
        </w:rPr>
        <w:footnoteReference w:id="1"/>
      </w:r>
      <w:r w:rsidRPr="006A69F1">
        <w:rPr>
          <w:rFonts w:ascii="Times New Roman" w:hAnsi="Times New Roman" w:cs="Times New Roman"/>
          <w:color w:val="000000" w:themeColor="text1"/>
        </w:rPr>
        <w:t xml:space="preserve"> as highlighted in recent work by </w:t>
      </w:r>
      <w:proofErr w:type="spellStart"/>
      <w:r w:rsidRPr="006A69F1">
        <w:rPr>
          <w:rFonts w:ascii="Times New Roman" w:hAnsi="Times New Roman" w:cs="Times New Roman"/>
          <w:color w:val="000000" w:themeColor="text1"/>
        </w:rPr>
        <w:t>Marit</w:t>
      </w:r>
      <w:proofErr w:type="spellEnd"/>
      <w:r w:rsidRPr="006A69F1">
        <w:rPr>
          <w:rFonts w:ascii="Times New Roman" w:hAnsi="Times New Roman" w:cs="Times New Roman"/>
          <w:color w:val="000000" w:themeColor="text1"/>
        </w:rPr>
        <w:t xml:space="preserve"> van der </w:t>
      </w:r>
      <w:proofErr w:type="spellStart"/>
      <w:r w:rsidRPr="006A69F1">
        <w:rPr>
          <w:rFonts w:ascii="Times New Roman" w:hAnsi="Times New Roman" w:cs="Times New Roman"/>
          <w:color w:val="000000" w:themeColor="text1"/>
        </w:rPr>
        <w:t>Pijl</w:t>
      </w:r>
      <w:proofErr w:type="spellEnd"/>
      <w:r w:rsidRPr="006A69F1">
        <w:rPr>
          <w:rFonts w:ascii="Times New Roman" w:hAnsi="Times New Roman" w:cs="Times New Roman"/>
          <w:color w:val="000000" w:themeColor="text1"/>
        </w:rPr>
        <w:t xml:space="preserve"> and colleagues </w:t>
      </w:r>
      <w:r w:rsidRPr="006A69F1">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ZOTERO_ITEM CSL_CITATION {"citationID":"af5X1GGZ","properties":{"formattedCitation":"(14)","plainCitation":"(14)","noteIndex":0},"citationItems":[{"id":22799,"uris":["http://zotero.org/users/2051399/items/E885NQJP"],"itemData":{"id":22799,"type":"article-journal","abstract":"Unconsented episiotomies and other procedures during labour are commonly reported by women in several countries, and often highlighted in birth activism. Yet, forced caesarean sections aside, the ethics of consent during labour has received little attention. Focusing on episiotomies, this paper addresses whether and how consent in labour should be obtained. We briefly review the rationale for informed consent, distinguishing its intrinsic and instrumental relevance for respecting autonomy. We also emphasise two non-explicit ways of giving consent: implied and opt-out consent. We then discuss challenges and opportunities for obtaining consent in labour and birth, given its unique position in medicine.\nWe argue that consent for procedures in labour is always necessary, but this consent does not always have to be fully informed or explicit. We recommend an individualised approach where the antenatal period is used to exchange information and explore values and preferences with respect to the relevant procedures. Explicit consent should always be sought at the point of intervening, unless women antenatally insist otherwise. We caution against implied consent. However, if a woman does not give a conclusive response during labour and the stakes are high, care providers can move to clearly communicated opt-out consent. Our discussion is focused on episiotomies, but also provides a useful starting point for addressing the ethics of consent for other procedures during labour, as well as general time-critical medical procedures.","container-title":"Journal of Medical Ethics","DOI":"10.1136/jme-2022-108601","ISSN":"0306-6800, 1473-4257","issue":"9","journalAbbreviation":"J Med Ethics","language":"en","license":"© Author(s) (or their employer(s)) 2023.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Institute of Medical Ethics\nsection: Feature article\nPMID: 36717252","page":"611-617","source":"jme.bmj.com","title":"The ethics of consent during labour and birth: episiotomies","title-short":"The ethics of consent during labour and birth","volume":"49","author":[{"family":"Pijl","given":"Marit","non-dropping-particle":"van der"},{"family":"Verhoeven","given":"Corine"},{"family":"Hollander","given":"Martine"},{"family":"Jonge","given":"Ank","non-dropping-particle":"de"},{"family":"Kingma","given":"Elselijn"}],"issued":{"date-parts":[["2023"]]}}}],"schema":"https://github.com/citation-style-language/schema/raw/master/csl-citation.json"} </w:instrText>
      </w:r>
      <w:r w:rsidRPr="006A69F1">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(14)</w:t>
      </w:r>
      <w:r w:rsidRPr="006A69F1">
        <w:rPr>
          <w:rFonts w:ascii="Times New Roman" w:hAnsi="Times New Roman" w:cs="Times New Roman"/>
          <w:color w:val="000000" w:themeColor="text1"/>
        </w:rPr>
        <w:fldChar w:fldCharType="end"/>
      </w:r>
      <w:r w:rsidRPr="006A69F1">
        <w:rPr>
          <w:rFonts w:ascii="Times New Roman" w:hAnsi="Times New Roman" w:cs="Times New Roman"/>
          <w:color w:val="000000" w:themeColor="text1"/>
        </w:rPr>
        <w:t xml:space="preserve"> [see </w:t>
      </w:r>
      <w:r w:rsidRPr="006A69F1">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ZOTERO_ITEM CSL_CITATION {"citationID":"pJHqavv5","properties":{"formattedCitation":"(36\\uc0\\u8211{}43)","plainCitation":"(36–43)","noteIndex":0},"citationItems":[{"id":22805,"uris":["http://zotero.org/users/2051399/items/VN258AJY"],"itemData":{"id":22805,"type":"article-journal","abstract":"van der Pijl et al 1 argue that if ‘stakes are high’ and there is ‘clear conviction by the care provider’ that it is ‘necessary’, episiotomy may be given after ‘opt-out consent’. Here I caution against the applicability of their approach to vaginal examination (VE): another routine intervention in birth to which they suggest their discussion may apply. I highlight three concerns: first, the subjective and unjustified nature of assessments of ‘necessity’; second, the inadequacy of current consent practices in relation to VE; and third, the significant risk of perpetuating under-recognised harms associated with unwanted or unconsented VE. I argue that opt-out consent cannot be ethically justified for VE. Its use would result in further weakening of consent practices, circumvention of individuals’ autonomy, and greater harm for women and birthing people.\n\nAt the outset, it is important to recognise that the authors do not claim that their approach should be applied to VE, merely that their discussion may have relevance to consent for other interventions beyond episiotomy ‘where consent is also frequently lacking, and which are under-researched’, including VE.1 Nonetheless, it is easy to assume that episiotomy and VE are sufficiently similar that their analysis might be transferred wholesale. I disagree. There are similarities: both interventions are performed on ‘the most intimate and socially sensitive body parts’1; …","container-title":"Journal of Medical Ethics","DOI":"10.1136/jme-2023-109213","ISSN":"0306-6800, 1473-4257","issue":"9","journalAbbreviation":"J Med Ethics","language":"en","license":"© Author(s) (or their employer(s)) 2023. No commercial re-use. See rights and permissions. Published by BMJ.","note":"publisher: Institute of Medical Ethics\nsection: Commentary\nPMID: 37348930","page":"626-627","source":"jme.bmj.com","title":"Extending the ethics of episiotomy to vaginal examination: no place for opt-out consent","title-short":"Extending the ethics of episiotomy to vaginal examination","volume":"49","author":[{"family":"Brione","given":"Rebecca"}],"issued":{"date-parts":[["2023"]]}}},{"id":22715,"uris":["http://zotero.org/users/2051399/items/P7A5QMGW"],"itemData":{"id":22715,"type":"article-journal","abstract":"This issue considers the ethics of a healthcare provider intervening into a patient’s genitalia, whether by means of cutting or surgery or by ‘mere’ touching/examination. Authors argue that the permissibility of such actions in the absence of a relevant medical emergency does not primarily turn on third-party judgments of expected levels of physical harm versus benefit, or on related notions such as extensiveness or invasiveness; rather, it turns on the patient’s own consent. To bolster this argument, attention is drawn to the status of the genitals as ‘intimate’ anatomy—a status that is not fully erased by being in a medical context. In this editorial, we draw on the work of Talia Mae Bettcher on ‘intimate agency’ to explore why unconsented interventions into the genitalia may constitute a distinctive sort of personal violation compared to unconsented contact with various other parts of the human body.\n\nIn their feature article, Marit van der Pijl and colleagues1 argue it is unethical for healthcare providers to perform unconsented episiotomies on persons in labour. In particular, they suggest that, outside of certain rare emergencies in which, for example, the person giving birth is incapacitated1 and the procedure cannot be delayed until consent becomes possible without introducing a significant risk of serious harm (call these ‘medically necessary’2 procedures), ‘presumed consent’ is the incorrect standard to apply. Instead, they stress that, especially when a proposed intervention involves a person’s genital, sexual or reproductive organs, the need to obtain their explicit consent in advance of proceeding must be honoured.\n\nAs the authors note, the broader social significance of our genitalia—widely regarded as ‘private’ anatomy—is not erased by being in a medical context (see also 2–4). Boundaries must still be observed. Ethically, this ‘leaves a very small margin for error because invasion of these body parts …","container-title":"Journal of Medical Ethics","DOI":"10.1136/jme-2023-109465","ISSN":"0306-6800, 1473-4257","issue":"9","journalAbbreviation":"J Med Ethics","language":"en","license":"© Author(s) (or their employer(s)) 2023. No commercial re-use. See rights and permissions. Published by BMJ.","note":"publisher: Institute of Medical Ethics\nsection: Editorial\nPMID: 37648289","page":"591-593","source":"jme.bmj.com","title":"Medical necessity and consent for intimate procedures","volume":"49","author":[{"family":"Earp","given":"Brian D."},{"family":"Bruce","given":"Lori"}],"issued":{"date-parts":[["2023"]]}}},{"id":22808,"uris":["http://zotero.org/users/2051399/items/HDCWZFBB"],"itemData":{"id":22808,"type":"article-journal","abstract":"In ‘The ethics of consent during labour and birth: episiotomies,’ van der Pijl et al 1 respond to the prevalence of unconsented procedures during labour, proposing a set of necessary features for adequate consent to episiotomy. Their model emphasises information sharing, value exploration and trust between a pregnant person and their healthcare provider(s). While focused on consent to episiotomy, van der Pijl et al contend their approach may be applicable to consent for other procedures during labour and beyond pregnancy-related care.\n\nOne feature of their model for adequate informed consent is trust in the systems in which prenatal and labour and delivery care are provided. Yet, for some pregnant persons, mistrust in health systems is a reasonable sequela of experiences like racism and epistemic injustice. For a programme in which trust is central to adequate consent, it is important to identify—and counter—forms of mistrust toward pregnant persons within healthcare and acknowledge and rectify reasonable mistrust of pregnant persons toward healthcare.\n\nLike other kinds of healthcare disparities, van der Pijl et al note that ‘the burden of unconsented procedures is not evenly distributed over groups’ and tracks with ‘racial, socioeconomic and other disparities in maternity care’. They are drawing on data from a less diverse context than the one …","container-title":"Journal of Medical Ethics","DOI":"10.1136/jme-2023-109210","ISSN":"0306-6800, 1473-4257","issue":"9","journalAbbreviation":"J Med Ethics","language":"en","license":"© Author(s) (or their employer(s)) 2023. No commercial re-use. See rights and permissions. Published by BMJ.","note":"publisher: Institute of Medical Ethics\nsection: Commentary\nPMID: 37344202","page":"624-625","source":"jme.bmj.com","title":"Birth, trust and consent: reasonable mistrust and trauma-informed remedies","title-short":"Birth, trust and consent","volume":"49","author":[{"family":"Lanphier","given":"Elizabeth"},{"family":"Lomotey-Nakon","given":"Leah"}],"issued":{"date-parts":[["2023"]]}}},{"id":22811,"uris":["http://zotero.org/users/2051399/items/H7JTKAM7"],"itemData":{"id":22811,"type":"article-journal","abstract":"An episiotomy is ‘an intrapartum procedure that involves an incision to enlarge the vaginal orifice,’1 and is primarily justified as a way to prevent higher degrees of perineal trauma or to facilitate a faster birth in cases of suspected fetal distress. Yet the effectiveness of episiotomies is controversial, and many professional bodies recommend against the routine use of episiotomies. In any case, unconsented episiotomies are alarmingly common, and some care providers in obstetric settings often fail to see consent as necessary in context. In their article, ‘The ethics of consent during labour and birth: episiotomies,’ van der Pijl et al reiterate that consent is necessary for episiotomies. They specify, further, that the antenatal period is crucial for exchanging information, establishing trust between the birthing subject and provider, and exploring the birthing subject’s—rather than the care provider’s—values and preferences regarding episiotomies. They recommend an individualised approach, which would enable birthing subjects to choose how and when they want to give consent.\n\nI applaud van der Pijl et al on their practicable recommendations regarding consent for episiotomies. This is certainly a step in the right direction where respect for birthing subjects’ bodily autonomy and integrity is concerned. Still, we must be reminded that consent alone is not coextensive with autonomy. The conditions for securing informed consent in healthcare does not guarantee that one’s decision is truly reflective of their values. After all, even valid consent does not rule out ‘normatively significant external influence’.2 Consent acquisition for obstetric procedures present no …","container-title":"Journal of Medical Ethics","DOI":"10.1136/jme-2023-109156","ISSN":"0306-6800, 1473-4257","issue":"9","journalAbbreviation":"J Med Ethics","language":"en","license":"© Author(s) (or their employer(s)) 2023. No commercial re-use. See rights and permissions. Published by BMJ.","note":"publisher: Institute of Medical Ethics\nsection: Commentary\nPMID: 37344201","page":"618-619","source":"jme.bmj.com","title":"Consent and the problem of epistemic injustice in obstetric care","volume":"49","author":[{"family":"Lee","given":"J. Y."}],"issued":{"date-parts":[["2023"]]}}},{"id":22814,"uris":["http://zotero.org/users/2051399/items/GFH9EKBC"],"itemData":{"id":22814,"type":"article-journal","abstract":"The authors of the feature article argue against implied consent in all episiotomy cases, but allow that opt-out consent might be appropriate in limited circumstances.1 However, they do not indicate how clinicians should assess whether the pregnant person is capable of consenting in this way during an obstetric emergency. This commentary will focus on how capacity should be determined during these circumstances, suggest next steps for clinicians if capacity is deemed uncertain or absent, and discuss the appropriate role for opt-out consent in labour.\n\nPrevious studies investigating the extent to which pregnant persons retain decision-making capacity during labour have shown poor recall, a component of capacity, about consent processes during obstetric emergency procedures in 14%–49% of cases.1 2 As the feature article acknowledges, this does not mean that pregnant persons should be assumed to lack decision-making capacity during labour. Although pain, labour intensity, exhaustion and medications can make consenting processes during labour more difficult and it is possible that these factors will result in the impaired ability of the pregnant person to make informed and voluntary decisions about treatment options, this possibility of impaired capacity should not be taken as the expected outcome nor should it be used as an excuse to skip consenting procedures.1 2 The default to treat labouring patients as able to make their own decisions still stands, although signs that a person lacks …","container-title":"Journal of Medical Ethics","DOI":"10.1136/jme-2023-109211","ISSN":"0306-6800, 1473-4257","issue":"9","journalAbbreviation":"J Med Ethics","language":"en","license":"© Author(s) (or their employer(s)) 2023. No commercial re-use. See rights and permissions. Published by BMJ.","note":"publisher: Institute of Medical Ethics\nsection: Commentary\nPMID: 37419670","page":"620-621","source":"jme.bmj.com","title":"Capacity assessment during labour and the role of opt-out consent","volume":"49","author":[{"family":"Mumford","given":"Kelsey"}],"issued":{"date-parts":[["2023"]]}}},{"id":22818,"uris":["http://zotero.org/users/2051399/items/BJ6US2W2"],"itemData":{"id":22818,"type":"article-journal","abstract":"We agree with van der Pijl et al that the question of how to ensure consent is obtained for procedures which occur during labour and childbirth is vitally important, and worthy of greater attention.1 However, we argue that the modified opt-out approach to consent outlined in their paper may not do enough to protect the choice and agency of birthing people. Moreover, while their approach reflects a pragmatic attempt to facilitate legal clarity and certainty in this context, this is not necessarily responsive to the messy realities of decision-making during labour (and beyond). We outline some of our concerns with their proposals and demonstrate how these illuminate some broader, longstanding tensions around consent and medical law.\n\nThe authors place significant focus on the particularities of labour, outlining six ways in which maternity care is ‘unlike the usual healthcare setting’ (van der Pijl M et al,1p4). We support the need for attentiveness to these particularities and the problematic nature of consent in this context. Recent scholarly attention on the possible ‘political, ethical and theoretical implications and meanings of birthing embodiment’ (Chadwick R,2p2) has invited more nuanced conversation about consent, agency and decision-making during labour. However, while recognising the embodied particularities of labour, we must also avoid essentialising the differences of labouring bodies and thereby reinforcing exclusionary norms of consent.\n\nThis points to a long-standing tension in feminist theory between the universal and the particular; between recognising and responding to the powerlessness of individuals without …","container-title":"Journal of Medical Ethics","DOI":"10.1136/jme-2023-109205","ISSN":"0306-6800, 1473-4257","issue":"9","journalAbbreviation":"J Med Ethics","language":"en","license":"© Author(s) (or their employer(s)) 2023. No commercial re-use. See rights and permissions. Published by BMJ.","note":"publisher: Institute of Medical Ethics\nsection: Commentary\nPMID: 37348928","page":"622-623","source":"jme.bmj.com","title":"Episiotomies and the ethics of consent during labour and birth: thinking beyond the existing consent framework","title-short":"Episiotomies and the ethics of consent during labour and birth","volume":"49","author":[{"family":"Nelson","given":"Anna"},{"family":"Clough","given":"Beverley"}],"issued":{"date-parts":[["2023"]]}}},{"id":22824,"uris":["http://zotero.org/users/2051399/items/ZG8KAM6K"],"itemData":{"id":22824,"type":"article-journal","abstract":"The timely feature article by van der Pijl et al 1 highlights not only the widespread frequency with which unconsented episiotomies and other procedures during labour are reported by women but also that there is hardly any discussion in the literature on the ethics of consent for procedures in labour. Those national and international bodies with responsibility for midwifery and obstetric practice need not only to recognise but also act to remedy this unacceptable situation.\n\nThe studies quoted used the recollection of women in reporting consent or lack of it and, although this is an entirely appropriate measure, it gives no insight into what, if any, informed decision-making the care providers carried out. Such information would be useful to determine how better practice might be achieved. A study into the practice of episiotomies by Dutch midwives and obstetricians is referred to and is not reassuring.2 They frequently expressed surprise that consent should be necessary and women were minimally involved in the decision for performing episiotomy. This and other examples quoted of lack of valid consent have a corrosive effect on the fundamental but fragile trust and necessary trustworthiness of the relationship between the person being cared for …","container-title":"Journal of Medical Ethics","DOI":"10.1136/jme-2023-109193","ISSN":"0306-6800, 1473-4257","issue":"9","journalAbbreviation":"J Med Ethics","language":"en","license":"© Author(s) (or their employer(s)) 2023. No commercial re-use. See rights and permissions. Published by BMJ.","note":"publisher: Institute of Medical Ethics\nsection: Commentary\nPMID: 37364999","page":"630-631","source":"jme.bmj.com","title":"Informed decision-making in labour: action required","title-short":"Informed decision-making in labour","volume":"49","author":[{"family":"Stirrat","given":"Gordon M."}],"issued":{"date-parts":[["2023"]]}}},{"id":22796,"uris":["http://zotero.org/users/2051399/items/QJFZV89L"],"itemData":{"id":22796,"type":"article-journal","abstract":"We read commentaries on our feature article ‘The ethics of consent during labour and birth: episiotomies’1 with gratitude and interest. Nearly all commenting authors agree that consent for in-labour procedures is necessary and ideally given at the point of intervening.\n\nBoth Shalowitz &amp; Ralston and Stirrat note that this is already required by professional statements and guidelines in the USA2 and UK3, respectively, but also note that practice does not yet conform. The Americans authors helpfully emphasise the importance of multilevel institutional measures for closing this gap, including consent policies and reporting mechanisms, as well as ongoing education.2 The UK writer seconds the role for education within wider shared decision-making and informed choice approaches, and generously commends our paper for close study by all maternity care providers.\n\nOthers add a cautionary note. Lee applauds all our recommendations, but notes our proposals cannot fully secure autonomy because of, among others, epistemic injustice and other power differentials.4 Kumar-Hazard and Dahlen worry that opt-out consent is equal to substitute decision-making; weakens women’s rights; and is open to abuse.5 Nelson and Clough object to our willlingness to work within a flawed conceptual framework, which ought to be challenged.6 \n\nWe agree that there are limits to what our proposal can do. It cannot rectify unequal distributions of epistemic credibilities, either in general or in any particular interaction. Risk communication is never neutral;7 “even the most well-meaning healthcare professionals …","container-title":"Journal of Medical Ethics","DOI":"10.1136/jme-2023-109375","ISSN":"0306-6800, 1473-4257","issue":"9","journalAbbreviation":"J Med Ethics","language":"en","license":"© Author(s) (or their employer(s)) 2023. No commercial re-use. See rights and permissions. Published by BMJ.","note":"publisher: Institute of Medical Ethics\nsection: Commentary\nPMID: 37648288","page":"632-633","source":"jme.bmj.com","title":"Consent and episiotomies: do not let the perfect be the enemy of the good","title-short":"Consent and episiotomies","volume":"49","author":[{"family":"Kingma","given":"Elselijn"},{"family":"Pijl","given":"Marit","dropping-particle":"van der"},{"family":"Verhoeven","given":"Corine"},{"family":"Hollander","given":"Martine"},{"family":"Jonge","given":"Ank","dropping-particle":"de"}],"issued":{"date-parts":[["2023"]]}}}],"schema":"https://github.com/citation-style-language/schema/raw/master/csl-citation.json"} </w:instrText>
      </w:r>
      <w:r w:rsidRPr="006A69F1">
        <w:rPr>
          <w:rFonts w:ascii="Times New Roman" w:hAnsi="Times New Roman" w:cs="Times New Roman"/>
          <w:color w:val="000000" w:themeColor="text1"/>
        </w:rPr>
        <w:fldChar w:fldCharType="separate"/>
      </w:r>
      <w:r w:rsidRPr="000544DF">
        <w:rPr>
          <w:rFonts w:ascii="Times New Roman" w:hAnsi="Times New Roman" w:cs="Times New Roman"/>
          <w:color w:val="000000"/>
          <w:kern w:val="0"/>
        </w:rPr>
        <w:t>(36–43)</w:t>
      </w:r>
      <w:r w:rsidRPr="006A69F1">
        <w:rPr>
          <w:rFonts w:ascii="Times New Roman" w:hAnsi="Times New Roman" w:cs="Times New Roman"/>
          <w:color w:val="000000" w:themeColor="text1"/>
        </w:rPr>
        <w:fldChar w:fldCharType="end"/>
      </w:r>
      <w:r w:rsidRPr="006A69F1">
        <w:rPr>
          <w:rFonts w:ascii="Times New Roman" w:hAnsi="Times New Roman" w:cs="Times New Roman"/>
          <w:color w:val="000000" w:themeColor="text1"/>
        </w:rPr>
        <w:t xml:space="preserve"> for comments and replies]. As evidenced by patient testimony,</w:t>
      </w:r>
      <w:r w:rsidRPr="006A69F1">
        <w:rPr>
          <w:rFonts w:ascii="Times New Roman" w:hAnsi="Times New Roman" w:cs="Times New Roman"/>
        </w:rPr>
        <w:t xml:space="preserve"> many women who experience episiotomies—when done without their explicit consent—as intrusive, unwelcome, and even, in some cases, as a personal violation akin to sexual assault </w:t>
      </w:r>
      <w:r w:rsidRPr="006A69F1">
        <w:rPr>
          <w:rFonts w:ascii="Times New Roman" w:hAnsi="Times New Roman" w:cs="Times New Roman"/>
        </w:rPr>
        <w:fldChar w:fldCharType="begin"/>
      </w:r>
      <w:r>
        <w:rPr>
          <w:rFonts w:ascii="Times New Roman" w:hAnsi="Times New Roman" w:cs="Times New Roman"/>
        </w:rPr>
        <w:instrText xml:space="preserve"> ADDIN ZOTERO_ITEM CSL_CITATION {"citationID":"KQml5N10","properties":{"formattedCitation":"(13)","plainCitation":"(13)","noteIndex":0},"citationItems":[{"id":21818,"uris":["http://zotero.org/users/2051399/items/L64YCI2R"],"itemData":{"id":21818,"type":"article-journal","abstract":"How does the victimization of women’s bodies in medical interactions contribute to their experience of gendered violence? We answer this question by joining sexual assault and birth trauma literatures with the medical sociology conversation on the power of hospitals as organizations and the hierarchy of the doctor-patient relationship to analyze the interviews of 101 women who identify as having experienced a coerced, pressured, or forced labor or birth procedure. We find some respondents analogize their experiences to that of someone who has been sexually assaulted, and they and other respondents describe the aftermath effects in ways similar to those who have been victims of sexual assault. Our research demonstrates that clinicians and hospitals are harming patients, often through the normal application of established hospital protocols and behaviors, when women do not feel involved in decisions about their care.","container-title":"Social Problems","DOI":"10.1093/socpro/spab024","ISSN":"0037-7791","issue":"1","journalAbbreviation":"Soc Prob","page":"55-70","source":"Silverchair","title":"“Screaming, ‘no! No!’ it was literally like being raped”: connecting sexual assault trauma and coerced obstetric procedures","title-short":"“Screaming, ‘no! No!’ it was literally like being raped”","volume":"70","author":[{"family":"Morris","given":"Theresa"},{"family":"Robinson","given":"Joan H"},{"family":"Spiller","given":"Keridwyn"},{"family":"Gomez","given":"Amanda"}],"issued":{"date-parts":[["2023"]]}}}],"schema":"https://github.com/citation-style-language/schema/raw/master/csl-citation.json"} </w:instrText>
      </w:r>
      <w:r w:rsidRPr="006A69F1">
        <w:rPr>
          <w:rFonts w:ascii="Times New Roman" w:hAnsi="Times New Roman" w:cs="Times New Roman"/>
        </w:rPr>
        <w:fldChar w:fldCharType="separate"/>
      </w:r>
      <w:r>
        <w:rPr>
          <w:rFonts w:ascii="Times New Roman" w:hAnsi="Times New Roman" w:cs="Times New Roman"/>
          <w:noProof/>
        </w:rPr>
        <w:t>(13)</w:t>
      </w:r>
      <w:r w:rsidRPr="006A69F1">
        <w:rPr>
          <w:rFonts w:ascii="Times New Roman" w:hAnsi="Times New Roman" w:cs="Times New Roman"/>
        </w:rPr>
        <w:fldChar w:fldCharType="end"/>
      </w:r>
      <w:r w:rsidRPr="006A69F1">
        <w:rPr>
          <w:rFonts w:ascii="Times New Roman" w:hAnsi="Times New Roman" w:cs="Times New Roman"/>
        </w:rPr>
        <w:t xml:space="preserve">. The latter interpretation coheres with the aforementioned legal and ethical assumption that, with few exceptions, people ought to have the chance to give </w:t>
      </w:r>
      <w:r w:rsidRPr="006A69F1">
        <w:rPr>
          <w:rFonts w:ascii="Times New Roman" w:hAnsi="Times New Roman" w:cs="Times New Roman"/>
          <w:i/>
          <w:iCs/>
        </w:rPr>
        <w:t>or withhold</w:t>
      </w:r>
      <w:r w:rsidRPr="006A69F1">
        <w:rPr>
          <w:rFonts w:ascii="Times New Roman" w:hAnsi="Times New Roman" w:cs="Times New Roman"/>
        </w:rPr>
        <w:t xml:space="preserve"> their consent to others’ engagement with their bodies, particularly when it comes their genital or sexual anatomy—among other bodily features (e.g., </w:t>
      </w:r>
      <w:r w:rsidRPr="006A69F1">
        <w:rPr>
          <w:rFonts w:ascii="Times New Roman" w:hAnsi="Times New Roman" w:cs="Times New Roman"/>
        </w:rPr>
        <w:lastRenderedPageBreak/>
        <w:t xml:space="preserve">breasts or anus) that are widely considered to be especially intimate or private (see Box 1). </w:t>
      </w:r>
    </w:p>
    <w:p w14:paraId="2949923A" w14:textId="77777777" w:rsidR="004534D2" w:rsidRDefault="004534D2" w:rsidP="004534D2">
      <w:pPr>
        <w:ind w:left="1440"/>
        <w:rPr>
          <w:rFonts w:ascii="Times New Roman" w:hAnsi="Times New Roman" w:cs="Times New Roman"/>
        </w:rPr>
      </w:pPr>
    </w:p>
    <w:p w14:paraId="1EBF2D7B" w14:textId="77777777" w:rsidR="004534D2" w:rsidRPr="003C708C" w:rsidRDefault="004534D2" w:rsidP="004534D2">
      <w:pPr>
        <w:pStyle w:val="NormalWeb"/>
        <w:spacing w:before="0" w:beforeAutospacing="0" w:after="0" w:afterAutospacing="0" w:line="276" w:lineRule="auto"/>
        <w:ind w:left="1440" w:right="-279"/>
        <w:rPr>
          <w:rFonts w:eastAsiaTheme="minorHAnsi"/>
          <w:sz w:val="22"/>
          <w:szCs w:val="22"/>
        </w:rPr>
      </w:pPr>
      <w:r w:rsidRPr="003C708C">
        <w:rPr>
          <w:rFonts w:eastAsiaTheme="minorHAnsi"/>
          <w:b/>
          <w:bCs/>
          <w:sz w:val="22"/>
          <w:szCs w:val="22"/>
        </w:rPr>
        <w:t xml:space="preserve">Box 1. Why are some body parts but not others considered “intimate”? </w:t>
      </w:r>
      <w:r w:rsidRPr="003C708C">
        <w:rPr>
          <w:rFonts w:eastAsiaTheme="minorHAnsi"/>
          <w:sz w:val="22"/>
          <w:szCs w:val="22"/>
        </w:rPr>
        <w:t xml:space="preserve">Adapted from </w:t>
      </w:r>
      <w:r w:rsidRPr="003C708C">
        <w:rPr>
          <w:rFonts w:eastAsiaTheme="minorHAnsi"/>
          <w:sz w:val="22"/>
          <w:szCs w:val="22"/>
        </w:rPr>
        <w:fldChar w:fldCharType="begin"/>
      </w:r>
      <w:r>
        <w:rPr>
          <w:rFonts w:eastAsiaTheme="minorHAnsi"/>
          <w:sz w:val="22"/>
          <w:szCs w:val="22"/>
        </w:rPr>
        <w:instrText xml:space="preserve"> ADDIN ZOTERO_ITEM CSL_CITATION {"citationID":"kCsCTIGx","properties":{"formattedCitation":"(37)","plainCitation":"(37)","noteIndex":0},"citationItems":[{"id":22715,"uris":["http://zotero.org/users/2051399/items/P7A5QMGW"],"itemData":{"id":22715,"type":"article-journal","abstract":"This issue considers the ethics of a healthcare provider intervening into a patient’s genitalia, whether by means of cutting or surgery or by ‘mere’ touching/examination. Authors argue that the permissibility of such actions in the absence of a relevant medical emergency does not primarily turn on third-party judgments of expected levels of physical harm versus benefit, or on related notions such as extensiveness or invasiveness; rather, it turns on the patient’s own consent. To bolster this argument, attention is drawn to the status of the genitals as ‘intimate’ anatomy—a status that is not fully erased by being in a medical context. In this editorial, we draw on the work of Talia Mae Bettcher on ‘intimate agency’ to explore why unconsented interventions into the genitalia may constitute a distinctive sort of personal violation compared to unconsented contact with various other parts of the human body.\n\nIn their feature article, Marit van der Pijl and colleagues1 argue it is unethical for healthcare providers to perform unconsented episiotomies on persons in labour. In particular, they suggest that, outside of certain rare emergencies in which, for example, the person giving birth is incapacitated1 and the procedure cannot be delayed until consent becomes possible without introducing a significant risk of serious harm (call these ‘medically necessary’2 procedures), ‘presumed consent’ is the incorrect standard to apply. Instead, they stress that, especially when a proposed intervention involves a person’s genital, sexual or reproductive organs, the need to obtain their explicit consent in advance of proceeding must be honoured.\n\nAs the authors note, the broader social significance of our genitalia—widely regarded as ‘private’ anatomy—is not erased by being in a medical context (see also 2–4). Boundaries must still be observed. Ethically, this ‘leaves a very small margin for error because invasion of these body parts …","container-title":"Journal of Medical Ethics","DOI":"10.1136/jme-2023-109465","ISSN":"0306-6800, 1473-4257","issue":"9","journalAbbreviation":"J Med Ethics","language":"en","license":"© Author(s) (or their employer(s)) 2023. No commercial re-use. See rights and permissions. Published by BMJ.","note":"publisher: Institute of Medical Ethics\nsection: Editorial\nPMID: 37648289","page":"591-593","source":"jme.bmj.com","title":"Medical necessity and consent for intimate procedures","volume":"49","author":[{"family":"Earp","given":"Brian D."},{"family":"Bruce","given":"Lori"}],"issued":{"date-parts":[["2023"]]}}}],"schema":"https://github.com/citation-style-language/schema/raw/master/csl-citation.json"} </w:instrText>
      </w:r>
      <w:r w:rsidRPr="003C708C">
        <w:rPr>
          <w:rFonts w:eastAsiaTheme="minorHAnsi"/>
          <w:sz w:val="22"/>
          <w:szCs w:val="22"/>
        </w:rPr>
        <w:fldChar w:fldCharType="separate"/>
      </w:r>
      <w:r>
        <w:rPr>
          <w:rFonts w:eastAsiaTheme="minorHAnsi"/>
          <w:noProof/>
          <w:sz w:val="22"/>
          <w:szCs w:val="22"/>
        </w:rPr>
        <w:t>(37)</w:t>
      </w:r>
      <w:r w:rsidRPr="003C708C">
        <w:rPr>
          <w:rFonts w:eastAsiaTheme="minorHAnsi"/>
          <w:sz w:val="22"/>
          <w:szCs w:val="22"/>
        </w:rPr>
        <w:fldChar w:fldCharType="end"/>
      </w:r>
      <w:r w:rsidRPr="003C708C">
        <w:rPr>
          <w:rFonts w:eastAsiaTheme="minorHAnsi"/>
          <w:sz w:val="22"/>
          <w:szCs w:val="22"/>
        </w:rPr>
        <w:t>.</w:t>
      </w:r>
    </w:p>
    <w:p w14:paraId="27408D4B" w14:textId="77777777" w:rsidR="004534D2" w:rsidRPr="003C708C" w:rsidRDefault="004534D2" w:rsidP="004534D2">
      <w:pPr>
        <w:pStyle w:val="NormalWeb"/>
        <w:spacing w:before="0" w:beforeAutospacing="0" w:after="0" w:afterAutospacing="0" w:line="276" w:lineRule="auto"/>
        <w:ind w:left="1440" w:right="-279"/>
        <w:rPr>
          <w:rFonts w:eastAsiaTheme="minorHAnsi"/>
          <w:sz w:val="10"/>
          <w:szCs w:val="10"/>
        </w:rPr>
      </w:pPr>
    </w:p>
    <w:p w14:paraId="72794644" w14:textId="77777777" w:rsidR="004534D2" w:rsidRPr="003C708C" w:rsidRDefault="004534D2" w:rsidP="004534D2">
      <w:pPr>
        <w:pStyle w:val="NormalWeb"/>
        <w:spacing w:before="0" w:beforeAutospacing="0" w:after="0" w:afterAutospacing="0" w:line="276" w:lineRule="auto"/>
        <w:ind w:left="1440" w:right="-279"/>
        <w:rPr>
          <w:rFonts w:eastAsiaTheme="minorHAnsi"/>
          <w:sz w:val="22"/>
          <w:szCs w:val="22"/>
        </w:rPr>
      </w:pPr>
      <w:r w:rsidRPr="003C708C">
        <w:rPr>
          <w:rFonts w:eastAsiaTheme="minorHAnsi"/>
          <w:sz w:val="22"/>
          <w:szCs w:val="22"/>
        </w:rPr>
        <w:t xml:space="preserve">As philosopher Talia Mae </w:t>
      </w:r>
      <w:proofErr w:type="spellStart"/>
      <w:r w:rsidRPr="003C708C">
        <w:rPr>
          <w:rFonts w:eastAsiaTheme="minorHAnsi"/>
          <w:sz w:val="22"/>
          <w:szCs w:val="22"/>
        </w:rPr>
        <w:t>Bettcher</w:t>
      </w:r>
      <w:proofErr w:type="spellEnd"/>
      <w:r w:rsidRPr="003C708C">
        <w:rPr>
          <w:rFonts w:eastAsiaTheme="minorHAnsi"/>
          <w:sz w:val="22"/>
          <w:szCs w:val="22"/>
        </w:rPr>
        <w:t xml:space="preserve"> argues, there is a reason that grabbing someone’s genitals (or breasts, etc.) without their consent, versus grabbing their hand without their consent, is usually a more serious wrong. There is a distinctive sort of violation involved in the former that is not involved in the latter. This violation has to do with the relationship between </w:t>
      </w:r>
      <w:r w:rsidRPr="003C708C">
        <w:rPr>
          <w:rFonts w:eastAsiaTheme="minorHAnsi"/>
          <w:i/>
          <w:iCs/>
          <w:sz w:val="22"/>
          <w:szCs w:val="22"/>
        </w:rPr>
        <w:t>selective, voluntary</w:t>
      </w:r>
      <w:r w:rsidRPr="003C708C">
        <w:rPr>
          <w:rFonts w:eastAsiaTheme="minorHAnsi"/>
          <w:sz w:val="22"/>
          <w:szCs w:val="22"/>
        </w:rPr>
        <w:t xml:space="preserve"> exposure of our genitals (etc.) under certain conditions—i.e., based on a personal decision to “open ourselves up” to others’ engagement with those normally hidden body parts—and the very possibility of certain kinds of human intimacy </w:t>
      </w:r>
      <w:r w:rsidRPr="003C708C">
        <w:rPr>
          <w:rFonts w:eastAsiaTheme="minorHAnsi"/>
          <w:sz w:val="22"/>
          <w:szCs w:val="22"/>
        </w:rPr>
        <w:fldChar w:fldCharType="begin"/>
      </w:r>
      <w:r>
        <w:rPr>
          <w:rFonts w:eastAsiaTheme="minorHAnsi"/>
          <w:sz w:val="22"/>
          <w:szCs w:val="22"/>
        </w:rPr>
        <w:instrText xml:space="preserve"> ADDIN ZOTERO_ITEM CSL_CITATION {"citationID":"Xt2Y21ct","properties":{"formattedCitation":"(44)","plainCitation":"(44)","noteIndex":0},"citationItems":[{"id":21994,"uris":["http://zotero.org/users/2051399/items/RYLTAMLC"],"itemData":{"id":21994,"type":"article-journal","abstract":"This essay engages with Cressida Heyes’s Anaesthetics of Existence (2020) on two points. First, it raises worries about Heyes’s apparent association of anaesthetic time with feminist resistance. Second, it reconsiders Heyes’s account of the specific harm involved in raping unconscious individuals, as well as her account of the sort of agency nullified by rape more generally, by appealing to the notion of interpersonal spatiality.","container-title":"Feminist Philosophy Quarterly","ISSN":"2371-2570","issue":"2","journalAbbreviation":"Fem Philos Q","language":"en","license":"Copyright (c) 2023 Talia Mae Bettcher","note":"number: 2","page":"1-6","source":"ojs.lib.uwo.ca","title":"Phenomenology, agency, and rape","title-short":"Phenomenology, agency, and rape","volume":"9","author":[{"family":"Bettcher","given":"Talia Mae"}],"issued":{"date-parts":[["2023"]]}}}],"schema":"https://github.com/citation-style-language/schema/raw/master/csl-citation.json"} </w:instrText>
      </w:r>
      <w:r w:rsidRPr="003C708C">
        <w:rPr>
          <w:rFonts w:eastAsiaTheme="minorHAnsi"/>
          <w:sz w:val="22"/>
          <w:szCs w:val="22"/>
        </w:rPr>
        <w:fldChar w:fldCharType="separate"/>
      </w:r>
      <w:r>
        <w:rPr>
          <w:rFonts w:eastAsiaTheme="minorHAnsi"/>
          <w:noProof/>
          <w:sz w:val="22"/>
          <w:szCs w:val="22"/>
        </w:rPr>
        <w:t>(44)</w:t>
      </w:r>
      <w:r w:rsidRPr="003C708C">
        <w:rPr>
          <w:rFonts w:eastAsiaTheme="minorHAnsi"/>
          <w:sz w:val="22"/>
          <w:szCs w:val="22"/>
        </w:rPr>
        <w:fldChar w:fldCharType="end"/>
      </w:r>
      <w:r w:rsidRPr="003C708C">
        <w:rPr>
          <w:rFonts w:eastAsiaTheme="minorHAnsi"/>
          <w:sz w:val="22"/>
          <w:szCs w:val="22"/>
        </w:rPr>
        <w:t xml:space="preserve">. </w:t>
      </w:r>
    </w:p>
    <w:p w14:paraId="31899E9B" w14:textId="77777777" w:rsidR="004534D2" w:rsidRPr="00EF1260" w:rsidRDefault="004534D2" w:rsidP="004534D2">
      <w:pPr>
        <w:pStyle w:val="NormalWeb"/>
        <w:spacing w:before="0" w:beforeAutospacing="0" w:after="0" w:afterAutospacing="0" w:line="276" w:lineRule="auto"/>
        <w:ind w:left="1440" w:right="-279"/>
        <w:rPr>
          <w:rFonts w:eastAsiaTheme="minorHAnsi"/>
          <w:sz w:val="12"/>
          <w:szCs w:val="12"/>
        </w:rPr>
      </w:pPr>
    </w:p>
    <w:p w14:paraId="07967C8D" w14:textId="77777777" w:rsidR="004534D2" w:rsidRDefault="004534D2" w:rsidP="004534D2">
      <w:pPr>
        <w:pStyle w:val="NormalWeb"/>
        <w:spacing w:before="0" w:beforeAutospacing="0" w:after="0" w:afterAutospacing="0" w:line="276" w:lineRule="auto"/>
        <w:ind w:left="1440" w:right="-279"/>
        <w:rPr>
          <w:rFonts w:eastAsiaTheme="minorHAnsi"/>
          <w:sz w:val="22"/>
          <w:szCs w:val="22"/>
        </w:rPr>
      </w:pPr>
      <w:r w:rsidRPr="003C708C">
        <w:rPr>
          <w:rFonts w:eastAsiaTheme="minorHAnsi"/>
          <w:sz w:val="22"/>
          <w:szCs w:val="22"/>
        </w:rPr>
        <w:t xml:space="preserve">As </w:t>
      </w:r>
      <w:proofErr w:type="spellStart"/>
      <w:r w:rsidRPr="003C708C">
        <w:rPr>
          <w:rFonts w:eastAsiaTheme="minorHAnsi"/>
          <w:sz w:val="22"/>
          <w:szCs w:val="22"/>
        </w:rPr>
        <w:t>Bettcher</w:t>
      </w:r>
      <w:proofErr w:type="spellEnd"/>
      <w:r w:rsidRPr="003C708C">
        <w:rPr>
          <w:rFonts w:eastAsiaTheme="minorHAnsi"/>
          <w:sz w:val="22"/>
          <w:szCs w:val="22"/>
        </w:rPr>
        <w:t xml:space="preserve"> acknowledges, when </w:t>
      </w:r>
      <w:r>
        <w:rPr>
          <w:rFonts w:eastAsiaTheme="minorHAnsi"/>
          <w:sz w:val="22"/>
          <w:szCs w:val="22"/>
        </w:rPr>
        <w:t>clinicians gain</w:t>
      </w:r>
      <w:r w:rsidRPr="003C708C">
        <w:rPr>
          <w:rFonts w:eastAsiaTheme="minorHAnsi"/>
          <w:sz w:val="22"/>
          <w:szCs w:val="22"/>
        </w:rPr>
        <w:t xml:space="preserve"> intimate access to our bodies for medical purposes, “the pursuit of intimacy is not the aim.” Rather, “health is, and the traversal of sensory boundaries may be </w:t>
      </w:r>
      <w:r w:rsidRPr="003C708C">
        <w:rPr>
          <w:rFonts w:eastAsiaTheme="minorHAnsi"/>
          <w:i/>
          <w:iCs/>
          <w:sz w:val="22"/>
          <w:szCs w:val="22"/>
        </w:rPr>
        <w:t>necessary</w:t>
      </w:r>
      <w:r w:rsidRPr="003C708C">
        <w:rPr>
          <w:rFonts w:eastAsiaTheme="minorHAnsi"/>
          <w:sz w:val="22"/>
          <w:szCs w:val="22"/>
        </w:rPr>
        <w:t xml:space="preserve"> for medical purposes” </w:t>
      </w:r>
      <w:r w:rsidRPr="003C708C">
        <w:rPr>
          <w:rFonts w:eastAsiaTheme="minorHAnsi"/>
          <w:sz w:val="22"/>
          <w:szCs w:val="22"/>
        </w:rPr>
        <w:fldChar w:fldCharType="begin"/>
      </w:r>
      <w:r>
        <w:rPr>
          <w:rFonts w:eastAsiaTheme="minorHAnsi"/>
          <w:sz w:val="22"/>
          <w:szCs w:val="22"/>
        </w:rPr>
        <w:instrText xml:space="preserve"> ADDIN ZOTERO_ITEM CSL_CITATION {"citationID":"V2Fltb95","properties":{"formattedCitation":"(44)","plainCitation":"(44)","noteIndex":0},"citationItems":[{"id":21994,"uris":["http://zotero.org/users/2051399/items/RYLTAMLC"],"itemData":{"id":21994,"type":"article-journal","abstract":"This essay engages with Cressida Heyes’s Anaesthetics of Existence (2020) on two points. First, it raises worries about Heyes’s apparent association of anaesthetic time with feminist resistance. Second, it reconsiders Heyes’s account of the specific harm involved in raping unconscious individuals, as well as her account of the sort of agency nullified by rape more generally, by appealing to the notion of interpersonal spatiality.","container-title":"Feminist Philosophy Quarterly","ISSN":"2371-2570","issue":"2","journalAbbreviation":"Fem Philos Q","language":"en","license":"Copyright (c) 2023 Talia Mae Bettcher","note":"number: 2","page":"1-6","source":"ojs.lib.uwo.ca","title":"Phenomenology, agency, and rape","title-short":"Phenomenology, agency, and rape","volume":"9","author":[{"family":"Bettcher","given":"Talia Mae"}],"issued":{"date-parts":[["2023"]]}}}],"schema":"https://github.com/citation-style-language/schema/raw/master/csl-citation.json"} </w:instrText>
      </w:r>
      <w:r w:rsidRPr="003C708C">
        <w:rPr>
          <w:rFonts w:eastAsiaTheme="minorHAnsi"/>
          <w:sz w:val="22"/>
          <w:szCs w:val="22"/>
        </w:rPr>
        <w:fldChar w:fldCharType="separate"/>
      </w:r>
      <w:r>
        <w:rPr>
          <w:rFonts w:eastAsiaTheme="minorHAnsi"/>
          <w:noProof/>
          <w:sz w:val="22"/>
          <w:szCs w:val="22"/>
        </w:rPr>
        <w:t>(44)</w:t>
      </w:r>
      <w:r w:rsidRPr="003C708C">
        <w:rPr>
          <w:rFonts w:eastAsiaTheme="minorHAnsi"/>
          <w:sz w:val="22"/>
          <w:szCs w:val="22"/>
        </w:rPr>
        <w:fldChar w:fldCharType="end"/>
      </w:r>
      <w:r w:rsidRPr="003C708C">
        <w:rPr>
          <w:rFonts w:eastAsiaTheme="minorHAnsi"/>
          <w:sz w:val="22"/>
          <w:szCs w:val="22"/>
        </w:rPr>
        <w:t xml:space="preserve"> (p. 6, emphasis added). If it is not necessary, however—and we have also not consented—the background conditions for appropriate traversal have not been met. Our boundaries have been violated. Which is to say, the very boundaries that make certain forms of intimacy possible in our lives, including sexual intimacy with chosen romantic partners, may be degraded by such unconsented traversals. </w:t>
      </w:r>
    </w:p>
    <w:p w14:paraId="3334D157" w14:textId="77777777" w:rsidR="004534D2" w:rsidRPr="009F3156" w:rsidRDefault="004534D2" w:rsidP="004534D2">
      <w:pPr>
        <w:pStyle w:val="NormalWeb"/>
        <w:spacing w:before="0" w:beforeAutospacing="0" w:after="0" w:afterAutospacing="0" w:line="276" w:lineRule="auto"/>
        <w:ind w:left="1440" w:right="-279"/>
        <w:rPr>
          <w:rFonts w:eastAsiaTheme="minorHAnsi"/>
          <w:sz w:val="14"/>
          <w:szCs w:val="14"/>
        </w:rPr>
      </w:pPr>
    </w:p>
    <w:p w14:paraId="0C4FBF37" w14:textId="77777777" w:rsidR="004534D2" w:rsidRPr="003C708C" w:rsidRDefault="004534D2" w:rsidP="004534D2">
      <w:pPr>
        <w:pStyle w:val="NormalWeb"/>
        <w:spacing w:line="276" w:lineRule="auto"/>
        <w:ind w:left="1440" w:right="-279"/>
        <w:rPr>
          <w:rFonts w:eastAsiaTheme="minorHAnsi"/>
          <w:sz w:val="22"/>
          <w:szCs w:val="22"/>
        </w:rPr>
      </w:pPr>
      <w:r w:rsidRPr="00E56473">
        <w:rPr>
          <w:rFonts w:eastAsiaTheme="minorHAnsi"/>
          <w:sz w:val="22"/>
          <w:szCs w:val="22"/>
        </w:rPr>
        <w:t xml:space="preserve">Patients </w:t>
      </w:r>
      <w:r>
        <w:rPr>
          <w:rFonts w:eastAsiaTheme="minorHAnsi"/>
          <w:sz w:val="22"/>
          <w:szCs w:val="22"/>
        </w:rPr>
        <w:t xml:space="preserve">generally </w:t>
      </w:r>
      <w:r w:rsidRPr="00E56473">
        <w:rPr>
          <w:rFonts w:eastAsiaTheme="minorHAnsi"/>
          <w:sz w:val="22"/>
          <w:szCs w:val="22"/>
        </w:rPr>
        <w:t>agree on the social significance of genitals</w:t>
      </w:r>
      <w:r>
        <w:rPr>
          <w:rFonts w:eastAsiaTheme="minorHAnsi"/>
          <w:sz w:val="22"/>
          <w:szCs w:val="22"/>
        </w:rPr>
        <w:t>, as distinct from other parts of the body</w:t>
      </w:r>
      <w:r w:rsidRPr="00E56473">
        <w:rPr>
          <w:rFonts w:eastAsiaTheme="minorHAnsi"/>
          <w:sz w:val="22"/>
          <w:szCs w:val="22"/>
        </w:rPr>
        <w:t>. Pelvic exams are often considered by patients to be "particularly threatening” and sometimes perceived as fearful, anxiety-provoking, embarrassing, humiliating, or disempowering</w:t>
      </w:r>
      <w:r>
        <w:rPr>
          <w:rFonts w:eastAsiaTheme="minorHAnsi"/>
          <w:sz w:val="22"/>
          <w:szCs w:val="22"/>
        </w:rPr>
        <w:t>. P</w:t>
      </w:r>
      <w:r w:rsidRPr="00E56473">
        <w:rPr>
          <w:rFonts w:eastAsiaTheme="minorHAnsi"/>
          <w:sz w:val="22"/>
          <w:szCs w:val="22"/>
        </w:rPr>
        <w:t>rostate exams are</w:t>
      </w:r>
      <w:r>
        <w:rPr>
          <w:rFonts w:eastAsiaTheme="minorHAnsi"/>
          <w:sz w:val="22"/>
          <w:szCs w:val="22"/>
        </w:rPr>
        <w:t xml:space="preserve"> often</w:t>
      </w:r>
      <w:r w:rsidRPr="00E56473">
        <w:rPr>
          <w:rFonts w:eastAsiaTheme="minorHAnsi"/>
          <w:sz w:val="22"/>
          <w:szCs w:val="22"/>
        </w:rPr>
        <w:t xml:space="preserve"> viewed similarly, with patients sometimes experiencing shame and mistrust</w:t>
      </w:r>
      <w:r>
        <w:rPr>
          <w:rFonts w:eastAsiaTheme="minorHAnsi"/>
          <w:sz w:val="22"/>
          <w:szCs w:val="22"/>
        </w:rPr>
        <w:t>. A</w:t>
      </w:r>
      <w:r w:rsidRPr="00E56473">
        <w:rPr>
          <w:rFonts w:eastAsiaTheme="minorHAnsi"/>
          <w:sz w:val="22"/>
          <w:szCs w:val="22"/>
        </w:rPr>
        <w:t>nd yet</w:t>
      </w:r>
      <w:r>
        <w:rPr>
          <w:rFonts w:eastAsiaTheme="minorHAnsi"/>
          <w:sz w:val="22"/>
          <w:szCs w:val="22"/>
        </w:rPr>
        <w:t>,</w:t>
      </w:r>
      <w:r w:rsidRPr="00E56473">
        <w:rPr>
          <w:rFonts w:eastAsiaTheme="minorHAnsi"/>
          <w:sz w:val="22"/>
          <w:szCs w:val="22"/>
        </w:rPr>
        <w:t xml:space="preserve"> there is no known literature about patients’ similar feelings for, say, an eye or shoulder exam (4).</w:t>
      </w:r>
    </w:p>
    <w:p w14:paraId="6A6754D4" w14:textId="77777777" w:rsidR="004534D2" w:rsidRPr="00EF1260" w:rsidRDefault="004534D2" w:rsidP="004534D2">
      <w:pPr>
        <w:pStyle w:val="NormalWeb"/>
        <w:spacing w:before="0" w:beforeAutospacing="0" w:after="0" w:afterAutospacing="0" w:line="276" w:lineRule="auto"/>
        <w:ind w:left="1440" w:right="-279"/>
        <w:rPr>
          <w:rFonts w:eastAsiaTheme="minorHAnsi"/>
          <w:sz w:val="14"/>
          <w:szCs w:val="14"/>
        </w:rPr>
      </w:pPr>
    </w:p>
    <w:p w14:paraId="192E3D88" w14:textId="77777777" w:rsidR="004534D2" w:rsidRPr="003C708C" w:rsidRDefault="004534D2" w:rsidP="004534D2">
      <w:pPr>
        <w:pStyle w:val="NormalWeb"/>
        <w:spacing w:line="276" w:lineRule="auto"/>
        <w:ind w:left="1440" w:right="-279"/>
        <w:rPr>
          <w:rFonts w:eastAsiaTheme="minorHAnsi"/>
        </w:rPr>
      </w:pPr>
      <w:r w:rsidRPr="003C708C">
        <w:rPr>
          <w:rFonts w:eastAsiaTheme="minorHAnsi"/>
          <w:sz w:val="22"/>
          <w:szCs w:val="22"/>
        </w:rPr>
        <w:t xml:space="preserve">This is not to suggest that what is considered intimate or private about the body is the same for every person in every situation. Even what it means to give valid consent in a medical setting may be subject to sociocultural variation. Understandings of what is medically “necessary” may also differ </w:t>
      </w:r>
      <w:r w:rsidRPr="003C708C">
        <w:rPr>
          <w:sz w:val="22"/>
          <w:szCs w:val="22"/>
        </w:rPr>
        <w:fldChar w:fldCharType="begin"/>
      </w:r>
      <w:r>
        <w:rPr>
          <w:rFonts w:eastAsiaTheme="minorHAnsi"/>
          <w:sz w:val="22"/>
          <w:szCs w:val="22"/>
        </w:rPr>
        <w:instrText xml:space="preserve"> ADDIN ZOTERO_ITEM CSL_CITATION {"citationID":"bDkhQubQ","properties":{"formattedCitation":"(45)","plainCitation":"(45)","noteIndex":0},"citationItems":[{"id":22069,"uris":["http://zotero.org/users/2051399/items/YYFH58KM"],"itemData":{"id":22069,"type":"article-journal","abstract":"The concept of medical necessity is often used to explain or justify certain decisions—for example, which treatments should be allowed under certain conditions—as though it had an obvious, agreed-upon meaning as well as an inherent normative force. In introducing this special issue of Clinical Ethics on medical necessity, we argue that the term, as used in various discourses, generally lacks a definition that is clear, non-circular, conceptually plausible, and fit for purpose. We propose that future work on this concept should address three main questions: what medical necessity is (i.e., what makes something medically necessary, as opposed to something else); what the concept does (what ‘work’ is it doing when invoked in different settings); and what should follow, normatively, from the fact that something is indeed medically necessary (on some plausible conception).","container-title":"Clinical Ethics","DOI":"10.1177/14777509231188830","ISSN":"1477-7509","language":"en","note":"publisher: SAGE Publications","page":"online ahead of print","source":"SAGE Journals","title":"The paradox of medical necessity","author":[{"family":"Godwin","given":"Samantha"},{"family":"Earp","given":"Brian D"}],"issued":{"date-parts":[["2023"]]}}}],"schema":"https://github.com/citation-style-language/schema/raw/master/csl-citation.json"} </w:instrText>
      </w:r>
      <w:r w:rsidRPr="003C708C">
        <w:rPr>
          <w:sz w:val="22"/>
          <w:szCs w:val="22"/>
        </w:rPr>
        <w:fldChar w:fldCharType="separate"/>
      </w:r>
      <w:r>
        <w:rPr>
          <w:rFonts w:eastAsiaTheme="minorHAnsi"/>
          <w:noProof/>
          <w:sz w:val="22"/>
          <w:szCs w:val="22"/>
        </w:rPr>
        <w:t>(45)</w:t>
      </w:r>
      <w:r w:rsidRPr="003C708C">
        <w:rPr>
          <w:sz w:val="22"/>
          <w:szCs w:val="22"/>
        </w:rPr>
        <w:fldChar w:fldCharType="end"/>
      </w:r>
      <w:r w:rsidRPr="003C708C">
        <w:rPr>
          <w:rFonts w:eastAsiaTheme="minorHAnsi"/>
          <w:sz w:val="22"/>
          <w:szCs w:val="22"/>
        </w:rPr>
        <w:t>. But there are some widely shared background norms within Western medicine as it is currently practiced in liberal democracies of the Global North</w:t>
      </w:r>
      <w:r>
        <w:rPr>
          <w:rFonts w:eastAsiaTheme="minorHAnsi"/>
          <w:sz w:val="22"/>
          <w:szCs w:val="22"/>
        </w:rPr>
        <w:t>, such as England or the United States</w:t>
      </w:r>
      <w:r w:rsidRPr="003C708C">
        <w:rPr>
          <w:rFonts w:eastAsiaTheme="minorHAnsi"/>
          <w:sz w:val="22"/>
          <w:szCs w:val="22"/>
        </w:rPr>
        <w:t xml:space="preserve"> </w:t>
      </w:r>
      <w:r w:rsidRPr="003C708C">
        <w:rPr>
          <w:sz w:val="22"/>
          <w:szCs w:val="22"/>
        </w:rPr>
        <w:fldChar w:fldCharType="begin"/>
      </w:r>
      <w:r>
        <w:rPr>
          <w:rFonts w:eastAsiaTheme="minorHAnsi"/>
          <w:sz w:val="22"/>
          <w:szCs w:val="22"/>
        </w:rPr>
        <w:instrText xml:space="preserve"> ADDIN ZOTERO_ITEM CSL_CITATION {"citationID":"WJyWBABM","properties":{"formattedCitation":"(46)","plainCitation":"(46)","noteIndex":0},"citationItems":[{"id":3256,"uris":["http://zotero.org/users/2051399/items/2HQFU7AQ"],"itemData":{"id":3256,"type":"article-journal","container-title":"Journal of Pediatric Ethics","DOI":"https://www.researchgate.net/publication/316527603","issue":"1","journalAbbreviation":"J Pediatr Ethics","page":"8-26","title":"Cultural bias in American medicine: the case of infant male circumcision","volume":"1","author":[{"family":"Earp","given":"Brian D."},{"family":"Shaw","given":"David M."}],"issued":{"date-parts":[["2017"]]}}}],"schema":"https://github.com/citation-style-language/schema/raw/master/csl-citation.json"} </w:instrText>
      </w:r>
      <w:r w:rsidRPr="003C708C">
        <w:rPr>
          <w:sz w:val="22"/>
          <w:szCs w:val="22"/>
        </w:rPr>
        <w:fldChar w:fldCharType="separate"/>
      </w:r>
      <w:r>
        <w:rPr>
          <w:rFonts w:eastAsiaTheme="minorHAnsi"/>
          <w:noProof/>
          <w:sz w:val="22"/>
          <w:szCs w:val="22"/>
        </w:rPr>
        <w:t>(46)</w:t>
      </w:r>
      <w:r w:rsidRPr="003C708C">
        <w:rPr>
          <w:sz w:val="22"/>
          <w:szCs w:val="22"/>
        </w:rPr>
        <w:fldChar w:fldCharType="end"/>
      </w:r>
      <w:r w:rsidRPr="003C708C">
        <w:rPr>
          <w:rFonts w:eastAsiaTheme="minorHAnsi"/>
          <w:sz w:val="22"/>
          <w:szCs w:val="22"/>
        </w:rPr>
        <w:t xml:space="preserve">. That is the assumed context of this review. Yet insofar as similar notions of consent, bodily integrity, and sexual intimacy do carry normative force beyond </w:t>
      </w:r>
      <w:r>
        <w:rPr>
          <w:rFonts w:eastAsiaTheme="minorHAnsi"/>
          <w:sz w:val="22"/>
          <w:szCs w:val="22"/>
        </w:rPr>
        <w:t>this</w:t>
      </w:r>
      <w:r w:rsidRPr="003C708C">
        <w:rPr>
          <w:rFonts w:eastAsiaTheme="minorHAnsi"/>
          <w:sz w:val="22"/>
          <w:szCs w:val="22"/>
        </w:rPr>
        <w:t xml:space="preserve"> </w:t>
      </w:r>
      <w:r w:rsidRPr="003C708C">
        <w:rPr>
          <w:rFonts w:eastAsiaTheme="minorHAnsi"/>
          <w:sz w:val="22"/>
          <w:szCs w:val="22"/>
        </w:rPr>
        <w:t xml:space="preserve">context, the arguments reviewed herein may have wider purchase.    </w:t>
      </w:r>
    </w:p>
    <w:p w14:paraId="1DFB4F31" w14:textId="77777777" w:rsidR="004534D2" w:rsidRPr="00EF1260" w:rsidRDefault="004534D2" w:rsidP="004534D2">
      <w:pPr>
        <w:spacing w:line="276" w:lineRule="auto"/>
        <w:rPr>
          <w:rFonts w:ascii="Times New Roman" w:hAnsi="Times New Roman" w:cs="Times New Roman"/>
          <w:sz w:val="18"/>
          <w:szCs w:val="18"/>
        </w:rPr>
      </w:pPr>
    </w:p>
    <w:p w14:paraId="1862E8A4" w14:textId="77777777" w:rsidR="007C13BC" w:rsidRPr="007C13BC" w:rsidRDefault="007C13BC" w:rsidP="007C13BC">
      <w:pPr>
        <w:ind w:left="720" w:firstLine="720"/>
        <w:rPr>
          <w:rFonts w:ascii="Times New Roman" w:eastAsiaTheme="minorHAnsi" w:hAnsi="Times New Roman" w:cs="Times New Roman"/>
          <w:color w:val="000000" w:themeColor="text1"/>
          <w:kern w:val="0"/>
          <w:sz w:val="22"/>
          <w:szCs w:val="22"/>
          <w:highlight w:val="cyan"/>
          <w:lang w:val="en-US" w:eastAsia="en-US"/>
          <w14:ligatures w14:val="none"/>
        </w:rPr>
      </w:pPr>
    </w:p>
    <w:p w14:paraId="20C86FF4" w14:textId="1425F99E" w:rsidR="00807F48" w:rsidRDefault="00807F48">
      <w:pPr>
        <w:rPr>
          <w:lang w:val="en-US"/>
        </w:rPr>
      </w:pPr>
      <w:r>
        <w:rPr>
          <w:lang w:val="en-US"/>
        </w:rPr>
        <w:t>And we have also, per your suggestion, called attention to the doctor’s own embodied experience and (variable, context-sensitive) representation(s) of patient corporeality</w:t>
      </w:r>
      <w:r w:rsidR="003C6950">
        <w:rPr>
          <w:lang w:val="en-US"/>
        </w:rPr>
        <w:t xml:space="preserve">: </w:t>
      </w:r>
    </w:p>
    <w:p w14:paraId="32DEEB5A" w14:textId="77777777" w:rsidR="00D71729" w:rsidRDefault="00D71729">
      <w:pPr>
        <w:rPr>
          <w:lang w:val="en-US"/>
        </w:rPr>
      </w:pPr>
    </w:p>
    <w:p w14:paraId="3615F947" w14:textId="77777777" w:rsidR="00D71729" w:rsidRDefault="00D71729">
      <w:pPr>
        <w:rPr>
          <w:lang w:val="en-US"/>
        </w:rPr>
      </w:pPr>
    </w:p>
    <w:p w14:paraId="375A335C" w14:textId="77777777" w:rsidR="004534D2" w:rsidRPr="003C708C" w:rsidRDefault="004534D2" w:rsidP="004534D2">
      <w:pPr>
        <w:spacing w:line="276" w:lineRule="auto"/>
        <w:ind w:left="1440"/>
        <w:rPr>
          <w:rFonts w:ascii="Times New Roman" w:hAnsi="Times New Roman" w:cs="Times New Roman"/>
        </w:rPr>
      </w:pPr>
      <w:r w:rsidRPr="003C708C">
        <w:rPr>
          <w:rFonts w:ascii="Times New Roman" w:hAnsi="Times New Roman" w:cs="Times New Roman"/>
        </w:rPr>
        <w:lastRenderedPageBreak/>
        <w:t xml:space="preserve">The latter response may initially seem callous. However, it must be remembered that </w:t>
      </w:r>
      <w:r>
        <w:rPr>
          <w:rFonts w:ascii="Times New Roman" w:hAnsi="Times New Roman" w:cs="Times New Roman"/>
        </w:rPr>
        <w:t xml:space="preserve">these </w:t>
      </w:r>
      <w:r w:rsidRPr="003C708C">
        <w:rPr>
          <w:rFonts w:ascii="Times New Roman" w:hAnsi="Times New Roman" w:cs="Times New Roman"/>
        </w:rPr>
        <w:t xml:space="preserve">physicians </w:t>
      </w:r>
      <w:r>
        <w:rPr>
          <w:rFonts w:ascii="Times New Roman" w:hAnsi="Times New Roman" w:cs="Times New Roman"/>
        </w:rPr>
        <w:t>bring</w:t>
      </w:r>
      <w:r w:rsidRPr="003C708C">
        <w:rPr>
          <w:rFonts w:ascii="Times New Roman" w:hAnsi="Times New Roman" w:cs="Times New Roman"/>
        </w:rPr>
        <w:t xml:space="preserve"> their own embodied experiences to patient encounters that are rooted in a particular history. As a part of their training, for example, </w:t>
      </w:r>
      <w:r>
        <w:rPr>
          <w:rFonts w:ascii="Times New Roman" w:hAnsi="Times New Roman" w:cs="Times New Roman"/>
        </w:rPr>
        <w:t>physicians</w:t>
      </w:r>
      <w:r w:rsidRPr="003C708C">
        <w:rPr>
          <w:rFonts w:ascii="Times New Roman" w:hAnsi="Times New Roman" w:cs="Times New Roman"/>
        </w:rPr>
        <w:t xml:space="preserve"> </w:t>
      </w:r>
      <w:r w:rsidRPr="003C708C">
        <w:rPr>
          <w:rFonts w:ascii="Times New Roman" w:hAnsi="Times New Roman" w:cs="Times New Roman"/>
        </w:rPr>
        <w:t>must get used to certain ways of interacting with people’s bodies (touching them, cutting into them, and so on) that would be highly transgressive in a non-medical context. Thus, the felt significance of certain body parts in a clinical setting</w:t>
      </w:r>
      <w:r>
        <w:rPr>
          <w:rFonts w:ascii="Times New Roman" w:hAnsi="Times New Roman" w:cs="Times New Roman"/>
        </w:rPr>
        <w:t xml:space="preserve">, and/or the goals and intentions one has in relation to those parts (e.g., seeking training versus receiving treatment), </w:t>
      </w:r>
      <w:r w:rsidRPr="003C708C">
        <w:rPr>
          <w:rFonts w:ascii="Times New Roman" w:hAnsi="Times New Roman" w:cs="Times New Roman"/>
        </w:rPr>
        <w:t>may differ for many physicians compared to non-physicians at an intuitive level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ZOTERO_ITEM CSL_CITATION {"citationID":"p0bO0fVx","properties":{"formattedCitation":"(71)","plainCitation":"(71)","noteIndex":0},"citationItems":[{"id":23333,"uris":["http://zotero.org/users/2051399/items/QPGQLX67"],"itemData":{"id":23333,"type":"article-journal","abstract":"Objective: We explore whether the completion of an obstetrics/gynecology clerkship is associated with a decline in the importance that students place on seeking permission from the patient before conducting a pelvic examination while she is anesthetized. Study design: Students at five Philadelphia area medical schools (n = 401 students) were asked how important it would be for a patient to be told that a medical student will perform a pelvic examination while she is anesthetized. We examined associations between the completion of an obstetrics/gynecology clerkship and attitudes toward consent with the use of linear regression to adjust for gender and the total amount of clerkship experience. Results: After the data were controlled for gender and the total number of clerkships that had been completed, we found that students who had completed an obstetrics/gynecology clerkship thought that consent was significantly less important than did those students who had not completed a clerkship (P = .01). Conclusion: To avoid this decline in attitudes toward seeking consent, clerkship directors should ensure that students perform examinations only after patients have given consent explicitly. (Am J Obstet Gynecol 2003;188:575-9.)","container-title":"American Journal of Obstetrics and Gynecology","DOI":"10.1067/mob.2003.85","ISSN":"0002-9378","issue":"2","journalAbbreviation":"Am J Obstet Gynecol","page":"575-579","source":"ScienceDirect","title":"Don't ask, don't tell: A change in medical student attitudes after obstetrics/gynecology clerkships toward seeking consent for pelvic examinations on an anesthetized patient","title-short":"Don't ask, don't tell","volume":"188","author":[{"family":"Ubel","given":"Peter A."},{"family":"Jepson","given":"Christopher"},{"family":"Silver-Isenstadt","given":"Ari"}],"issued":{"date-parts":[["2003"]]}}}],"schema":"https://github.com/citation-style-language/schema/raw/master/csl-citation.json"}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(71)</w:t>
      </w:r>
      <w:r>
        <w:rPr>
          <w:rFonts w:ascii="Times New Roman" w:hAnsi="Times New Roman" w:cs="Times New Roman"/>
        </w:rPr>
        <w:fldChar w:fldCharType="end"/>
      </w:r>
      <w:r>
        <w:rPr>
          <w:rFonts w:ascii="Times New Roman" w:hAnsi="Times New Roman" w:cs="Times New Roman"/>
        </w:rPr>
        <w:t>.</w:t>
      </w:r>
    </w:p>
    <w:p w14:paraId="7074CF60" w14:textId="77777777" w:rsidR="004534D2" w:rsidRDefault="004534D2" w:rsidP="004534D2">
      <w:pPr>
        <w:spacing w:line="276" w:lineRule="auto"/>
        <w:ind w:left="1440"/>
        <w:rPr>
          <w:rFonts w:ascii="Times New Roman" w:hAnsi="Times New Roman" w:cs="Times New Roman"/>
        </w:rPr>
      </w:pPr>
    </w:p>
    <w:p w14:paraId="1A71131C" w14:textId="41839841" w:rsidR="004534D2" w:rsidRPr="003C708C" w:rsidRDefault="004534D2" w:rsidP="004534D2">
      <w:pPr>
        <w:spacing w:line="276" w:lineRule="auto"/>
        <w:ind w:left="1440"/>
        <w:rPr>
          <w:rFonts w:ascii="Times New Roman" w:hAnsi="Times New Roman" w:cs="Times New Roman"/>
        </w:rPr>
      </w:pPr>
      <w:r w:rsidRPr="003C708C">
        <w:rPr>
          <w:rFonts w:ascii="Times New Roman" w:hAnsi="Times New Roman" w:cs="Times New Roman"/>
        </w:rPr>
        <w:t xml:space="preserve">Thus, as Davis notes: “defining the offense as a sexual one is understandably distressing to physicians, who have gone to great lengths to define pelvic (and mammary) exams in nonsexual ways” </w:t>
      </w:r>
      <w:r w:rsidRPr="003C708C">
        <w:rPr>
          <w:rFonts w:ascii="Times New Roman" w:hAnsi="Times New Roman" w:cs="Times New Roman"/>
        </w:rPr>
        <w:fldChar w:fldCharType="begin"/>
      </w:r>
      <w:r>
        <w:rPr>
          <w:rFonts w:ascii="Times New Roman" w:hAnsi="Times New Roman" w:cs="Times New Roman"/>
        </w:rPr>
        <w:instrText xml:space="preserve"> ADDIN ZOTERO_ITEM CSL_CITATION {"citationID":"CSYJWwAd","properties":{"formattedCitation":"(27)","plainCitation":"(27)","noteIndex":0},"citationItems":[{"id":22006,"uris":["http://zotero.org/users/2051399/items/DENQHQB9"],"itemData":{"id":22006,"type":"article-journal","container-title":"AMA Journal of Ethics","DOI":"10.1001/virtualmentor.2003.5.5.oped1-0305","ISSN":"2376-6980","issue":"5","journalAbbreviation":"AMA J Ethics","note":"publisher: American Medical Association","page":"193-194","source":"journalofethics.ama-assn.org","title":"Pelvic exams performed on anesthetized women","volume":"5","author":[{"family":"Davis","given":"Dena S."}],"issued":{"date-parts":[["2003"]]}}}],"schema":"https://github.com/citation-style-language/schema/raw/master/csl-citation.json"} </w:instrText>
      </w:r>
      <w:r w:rsidRPr="003C708C">
        <w:rPr>
          <w:rFonts w:ascii="Times New Roman" w:hAnsi="Times New Roman" w:cs="Times New Roman"/>
        </w:rPr>
        <w:fldChar w:fldCharType="separate"/>
      </w:r>
      <w:r>
        <w:rPr>
          <w:rFonts w:ascii="Times New Roman" w:hAnsi="Times New Roman" w:cs="Times New Roman"/>
          <w:noProof/>
        </w:rPr>
        <w:t>(27)</w:t>
      </w:r>
      <w:r w:rsidRPr="003C708C">
        <w:rPr>
          <w:rFonts w:ascii="Times New Roman" w:hAnsi="Times New Roman" w:cs="Times New Roman"/>
        </w:rPr>
        <w:fldChar w:fldCharType="end"/>
      </w:r>
      <w:r w:rsidRPr="003C708C">
        <w:rPr>
          <w:rFonts w:ascii="Times New Roman" w:hAnsi="Times New Roman" w:cs="Times New Roman"/>
        </w:rPr>
        <w:t xml:space="preserve"> (p. 194). The same lesson applies to clinicians who engage in medically unnecessary genital procedures in infants and children. From their vantage point, </w:t>
      </w:r>
      <w:r>
        <w:rPr>
          <w:rFonts w:ascii="Times New Roman" w:hAnsi="Times New Roman" w:cs="Times New Roman"/>
        </w:rPr>
        <w:t xml:space="preserve">presumably, </w:t>
      </w:r>
      <w:r w:rsidRPr="003C708C">
        <w:rPr>
          <w:rFonts w:ascii="Times New Roman" w:hAnsi="Times New Roman" w:cs="Times New Roman"/>
        </w:rPr>
        <w:t xml:space="preserve">an intervention into a patient’s genitalia or other </w:t>
      </w:r>
      <w:r>
        <w:rPr>
          <w:rFonts w:ascii="Times New Roman" w:hAnsi="Times New Roman" w:cs="Times New Roman"/>
        </w:rPr>
        <w:t>intimate</w:t>
      </w:r>
      <w:r w:rsidRPr="003C708C">
        <w:rPr>
          <w:rFonts w:ascii="Times New Roman" w:hAnsi="Times New Roman" w:cs="Times New Roman"/>
        </w:rPr>
        <w:t xml:space="preserve"> anatomy could only appropriately be considered a </w:t>
      </w:r>
      <w:r w:rsidRPr="003C708C">
        <w:rPr>
          <w:rFonts w:ascii="Times New Roman" w:hAnsi="Times New Roman" w:cs="Times New Roman"/>
          <w:i/>
          <w:iCs/>
        </w:rPr>
        <w:t>sexual</w:t>
      </w:r>
      <w:r w:rsidRPr="003C708C">
        <w:rPr>
          <w:rFonts w:ascii="Times New Roman" w:hAnsi="Times New Roman" w:cs="Times New Roman"/>
        </w:rPr>
        <w:t xml:space="preserve"> violation if the physician undertaking the intervention had a sexual intent. </w:t>
      </w:r>
    </w:p>
    <w:p w14:paraId="6670A119" w14:textId="306F4296" w:rsidR="00D71729" w:rsidRPr="005D78C7" w:rsidRDefault="00D71729" w:rsidP="004534D2">
      <w:pPr>
        <w:ind w:left="709"/>
        <w:rPr>
          <w:rFonts w:ascii="Times New Roman" w:hAnsi="Times New Roman" w:cs="Times New Roman"/>
          <w:lang w:val="en-US"/>
        </w:rPr>
      </w:pPr>
    </w:p>
    <w:sectPr w:rsidR="00D71729" w:rsidRPr="005D78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B7D85" w14:textId="77777777" w:rsidR="00114DD3" w:rsidRDefault="00114DD3" w:rsidP="007C13BC">
      <w:r>
        <w:separator/>
      </w:r>
    </w:p>
  </w:endnote>
  <w:endnote w:type="continuationSeparator" w:id="0">
    <w:p w14:paraId="4B27C07E" w14:textId="77777777" w:rsidR="00114DD3" w:rsidRDefault="00114DD3" w:rsidP="007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5E8B1" w14:textId="77777777" w:rsidR="00114DD3" w:rsidRDefault="00114DD3" w:rsidP="007C13BC">
      <w:r>
        <w:separator/>
      </w:r>
    </w:p>
  </w:footnote>
  <w:footnote w:type="continuationSeparator" w:id="0">
    <w:p w14:paraId="6B4FAEB6" w14:textId="77777777" w:rsidR="00114DD3" w:rsidRDefault="00114DD3" w:rsidP="007C13BC">
      <w:r>
        <w:continuationSeparator/>
      </w:r>
    </w:p>
  </w:footnote>
  <w:footnote w:id="1">
    <w:p w14:paraId="1AA39243" w14:textId="77777777" w:rsidR="004534D2" w:rsidRPr="009D288B" w:rsidRDefault="004534D2" w:rsidP="004534D2">
      <w:pPr>
        <w:pStyle w:val="FootnoteText"/>
        <w:rPr>
          <w:rFonts w:ascii="Times New Roman" w:hAnsi="Times New Roman" w:cs="Times New Roman"/>
          <w:lang w:val="en-GB"/>
        </w:rPr>
      </w:pPr>
      <w:r w:rsidRPr="009D288B">
        <w:rPr>
          <w:rStyle w:val="FootnoteReference"/>
          <w:rFonts w:ascii="Times New Roman" w:hAnsi="Times New Roman" w:cs="Times New Roman"/>
        </w:rPr>
        <w:footnoteRef/>
      </w:r>
      <w:r w:rsidRPr="009D288B">
        <w:rPr>
          <w:rFonts w:ascii="Times New Roman" w:hAnsi="Times New Roman" w:cs="Times New Roman"/>
        </w:rPr>
        <w:t xml:space="preserve"> </w:t>
      </w:r>
      <w:r w:rsidRPr="009D288B">
        <w:rPr>
          <w:rFonts w:ascii="Times New Roman" w:hAnsi="Times New Roman" w:cs="Times New Roman"/>
          <w:color w:val="000000" w:themeColor="text1"/>
        </w:rPr>
        <w:t xml:space="preserve">Incisions into the perineum to widen the vaginal opening. </w:t>
      </w:r>
      <w:r w:rsidRPr="009D288B">
        <w:rPr>
          <w:rFonts w:ascii="Times New Roman" w:hAnsi="Times New Roman" w:cs="Times New Roman"/>
        </w:rPr>
        <w:t xml:space="preserve">Other procedures related to birth and labor that have recently been argued to require explicit consent include “amniotomy, operative vaginal delivery, placement of fetal scalp electrodes or intrauterine pressure catheters, and cervical examination” </w:t>
      </w:r>
      <w:r w:rsidRPr="009D288B">
        <w:rPr>
          <w:rFonts w:ascii="Times New Roman" w:hAnsi="Times New Roman" w:cs="Times New Roman"/>
        </w:rPr>
        <w:fldChar w:fldCharType="begin"/>
      </w:r>
      <w:r>
        <w:rPr>
          <w:rFonts w:ascii="Times New Roman" w:hAnsi="Times New Roman" w:cs="Times New Roman"/>
        </w:rPr>
        <w:instrText xml:space="preserve"> ADDIN ZOTERO_ITEM CSL_CITATION {"citationID":"jd3m7BMx","properties":{"formattedCitation":"(35)","plainCitation":"(35)","noteIndex":5},"citationItems":[{"id":22821,"uris":["http://zotero.org/users/2051399/items/3U7BST6L"],"itemData":{"id":22821,"type":"article-journal","abstract":"Van der Pijl et al outline data suggesting an alarmingly high incidence of violation of the bodily integrity of patients in labour, including episiotomies performed without patients’ consent, or over their explicit objection.1 Similar data have been reported from the USA and Canada.2 The authors appropriately conclude that explicit consent is required at the time of all invasive obstetrical procedures, including episiotomy. Commonsense adjustments to the duration and detail of consent under conditions of clinical urgency are appropriate and should be familiar to any clinician involved in perinatal care, as well as non-obstetric proceduralists caring for acutely ill patients. However, complete omission of consent for any of these procedures is both disrespectful to patients’ autonomy and strongly associated with morbidity from birth-related psychosocial trauma.3–5 \n\nThe true incidence of obstetrical procedures performed without patients’ consent is difficult to determine for multiple reasons, including sample selection, recall bias and patients’ reluctance to reengage with traumatic experiences; however, …","container-title":"Journal of Medical Ethics","DOI":"10.1136/jme-2023-109212","ISSN":"0306-6800, 1473-4257","issue":"9","journalAbbreviation":"J Med Ethics","language":"en","license":"© Author(s) (or their employer(s)) 2023. No commercial re-use. See rights and permissions. Published by BMJ.","note":"publisher: Institute of Medical Ethics\nsection: Commentary\nPMID: 37344200","page":"628-629","source":"jme.bmj.com","title":"Safeguards for procedural consent in obstetric care","volume":"49","author":[{"family":"Shalowitz","given":"David I."},{"family":"Ralston","given":"Steven J."}],"issued":{"date-parts":[["2023"]]}}}],"schema":"https://github.com/citation-style-language/schema/raw/master/csl-citation.json"} </w:instrText>
      </w:r>
      <w:r w:rsidRPr="009D288B">
        <w:rPr>
          <w:rFonts w:ascii="Times New Roman" w:hAnsi="Times New Roman" w:cs="Times New Roman"/>
        </w:rPr>
        <w:fldChar w:fldCharType="separate"/>
      </w:r>
      <w:r w:rsidRPr="009D288B">
        <w:rPr>
          <w:rFonts w:ascii="Times New Roman" w:hAnsi="Times New Roman" w:cs="Times New Roman"/>
          <w:noProof/>
        </w:rPr>
        <w:t>(35)</w:t>
      </w:r>
      <w:r w:rsidRPr="009D288B">
        <w:rPr>
          <w:rFonts w:ascii="Times New Roman" w:hAnsi="Times New Roman" w:cs="Times New Roman"/>
        </w:rPr>
        <w:fldChar w:fldCharType="end"/>
      </w:r>
      <w:r w:rsidRPr="009D288B">
        <w:rPr>
          <w:rFonts w:ascii="Times New Roman" w:hAnsi="Times New Roman" w:cs="Times New Roman"/>
        </w:rPr>
        <w:t xml:space="preserve"> (p. 628).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71"/>
    <w:rsid w:val="00114DD3"/>
    <w:rsid w:val="00143963"/>
    <w:rsid w:val="001D3A67"/>
    <w:rsid w:val="00255371"/>
    <w:rsid w:val="00364C67"/>
    <w:rsid w:val="003708B3"/>
    <w:rsid w:val="003C6950"/>
    <w:rsid w:val="004534D2"/>
    <w:rsid w:val="00485074"/>
    <w:rsid w:val="005D78C7"/>
    <w:rsid w:val="006A021C"/>
    <w:rsid w:val="007C13BC"/>
    <w:rsid w:val="00807F48"/>
    <w:rsid w:val="0092534E"/>
    <w:rsid w:val="00D7172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C10BB1C"/>
  <w15:chartTrackingRefBased/>
  <w15:docId w15:val="{D764C8D8-BF40-F34C-A643-F214ABD2F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A021C"/>
  </w:style>
  <w:style w:type="paragraph" w:styleId="NormalWeb">
    <w:name w:val="Normal (Web)"/>
    <w:basedOn w:val="Normal"/>
    <w:uiPriority w:val="99"/>
    <w:unhideWhenUsed/>
    <w:rsid w:val="00807F48"/>
    <w:pPr>
      <w:spacing w:before="100" w:beforeAutospacing="1" w:after="100" w:afterAutospacing="1"/>
    </w:pPr>
    <w:rPr>
      <w:rFonts w:ascii="Times New Roman" w:eastAsia="Times New Roman" w:hAnsi="Times New Roman" w:cs="Times New Roman"/>
      <w:kern w:val="0"/>
      <w:lang w:val="en-US" w:eastAsia="en-US"/>
      <w14:ligatures w14:val="none"/>
    </w:rPr>
  </w:style>
  <w:style w:type="paragraph" w:styleId="FootnoteText">
    <w:name w:val="footnote text"/>
    <w:basedOn w:val="Normal"/>
    <w:link w:val="FootnoteTextChar"/>
    <w:uiPriority w:val="99"/>
    <w:unhideWhenUsed/>
    <w:rsid w:val="007C13BC"/>
    <w:rPr>
      <w:rFonts w:eastAsiaTheme="minorHAnsi"/>
      <w:kern w:val="0"/>
      <w:sz w:val="20"/>
      <w:szCs w:val="20"/>
      <w:lang w:val="en-US" w:eastAsia="en-US"/>
      <w14:ligatures w14:val="none"/>
    </w:rPr>
  </w:style>
  <w:style w:type="character" w:customStyle="1" w:styleId="FootnoteTextChar">
    <w:name w:val="Footnote Text Char"/>
    <w:basedOn w:val="DefaultParagraphFont"/>
    <w:link w:val="FootnoteText"/>
    <w:uiPriority w:val="99"/>
    <w:rsid w:val="007C13BC"/>
    <w:rPr>
      <w:rFonts w:eastAsiaTheme="minorHAnsi"/>
      <w:kern w:val="0"/>
      <w:sz w:val="20"/>
      <w:szCs w:val="20"/>
      <w:lang w:val="en-US" w:eastAsia="en-US"/>
      <w14:ligatures w14:val="none"/>
    </w:rPr>
  </w:style>
  <w:style w:type="character" w:styleId="FootnoteReference">
    <w:name w:val="footnote reference"/>
    <w:basedOn w:val="DefaultParagraphFont"/>
    <w:uiPriority w:val="99"/>
    <w:semiHidden/>
    <w:unhideWhenUsed/>
    <w:rsid w:val="007C13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4474">
      <w:bodyDiv w:val="1"/>
      <w:marLeft w:val="0"/>
      <w:marRight w:val="0"/>
      <w:marTop w:val="0"/>
      <w:marBottom w:val="0"/>
      <w:divBdr>
        <w:top w:val="none" w:sz="0" w:space="0" w:color="auto"/>
        <w:left w:val="none" w:sz="0" w:space="0" w:color="auto"/>
        <w:bottom w:val="none" w:sz="0" w:space="0" w:color="auto"/>
        <w:right w:val="none" w:sz="0" w:space="0" w:color="auto"/>
      </w:divBdr>
      <w:divsChild>
        <w:div w:id="574633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556">
              <w:marLeft w:val="0"/>
              <w:marRight w:val="0"/>
              <w:marTop w:val="0"/>
              <w:marBottom w:val="0"/>
              <w:divBdr>
                <w:top w:val="none" w:sz="0" w:space="0" w:color="auto"/>
                <w:left w:val="none" w:sz="0" w:space="0" w:color="auto"/>
                <w:bottom w:val="none" w:sz="0" w:space="0" w:color="auto"/>
                <w:right w:val="none" w:sz="0" w:space="0" w:color="auto"/>
              </w:divBdr>
              <w:divsChild>
                <w:div w:id="1419328279">
                  <w:marLeft w:val="0"/>
                  <w:marRight w:val="0"/>
                  <w:marTop w:val="0"/>
                  <w:marBottom w:val="0"/>
                  <w:divBdr>
                    <w:top w:val="none" w:sz="0" w:space="0" w:color="auto"/>
                    <w:left w:val="none" w:sz="0" w:space="0" w:color="auto"/>
                    <w:bottom w:val="none" w:sz="0" w:space="0" w:color="auto"/>
                    <w:right w:val="none" w:sz="0" w:space="0" w:color="auto"/>
                  </w:divBdr>
                  <w:divsChild>
                    <w:div w:id="18613607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4702223">
                          <w:marLeft w:val="0"/>
                          <w:marRight w:val="0"/>
                          <w:marTop w:val="0"/>
                          <w:marBottom w:val="0"/>
                          <w:divBdr>
                            <w:top w:val="none" w:sz="0" w:space="0" w:color="auto"/>
                            <w:left w:val="none" w:sz="0" w:space="0" w:color="auto"/>
                            <w:bottom w:val="none" w:sz="0" w:space="0" w:color="auto"/>
                            <w:right w:val="none" w:sz="0" w:space="0" w:color="auto"/>
                          </w:divBdr>
                          <w:divsChild>
                            <w:div w:id="20936419">
                              <w:marLeft w:val="0"/>
                              <w:marRight w:val="0"/>
                              <w:marTop w:val="0"/>
                              <w:marBottom w:val="0"/>
                              <w:divBdr>
                                <w:top w:val="none" w:sz="0" w:space="0" w:color="auto"/>
                                <w:left w:val="none" w:sz="0" w:space="0" w:color="auto"/>
                                <w:bottom w:val="none" w:sz="0" w:space="0" w:color="auto"/>
                                <w:right w:val="none" w:sz="0" w:space="0" w:color="auto"/>
                              </w:divBdr>
                              <w:divsChild>
                                <w:div w:id="1700935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4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898002">
      <w:bodyDiv w:val="1"/>
      <w:marLeft w:val="0"/>
      <w:marRight w:val="0"/>
      <w:marTop w:val="0"/>
      <w:marBottom w:val="0"/>
      <w:divBdr>
        <w:top w:val="none" w:sz="0" w:space="0" w:color="auto"/>
        <w:left w:val="none" w:sz="0" w:space="0" w:color="auto"/>
        <w:bottom w:val="none" w:sz="0" w:space="0" w:color="auto"/>
        <w:right w:val="none" w:sz="0" w:space="0" w:color="auto"/>
      </w:divBdr>
      <w:divsChild>
        <w:div w:id="1792942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046750">
              <w:marLeft w:val="0"/>
              <w:marRight w:val="0"/>
              <w:marTop w:val="0"/>
              <w:marBottom w:val="0"/>
              <w:divBdr>
                <w:top w:val="none" w:sz="0" w:space="0" w:color="auto"/>
                <w:left w:val="none" w:sz="0" w:space="0" w:color="auto"/>
                <w:bottom w:val="none" w:sz="0" w:space="0" w:color="auto"/>
                <w:right w:val="none" w:sz="0" w:space="0" w:color="auto"/>
              </w:divBdr>
              <w:divsChild>
                <w:div w:id="75590929">
                  <w:marLeft w:val="0"/>
                  <w:marRight w:val="0"/>
                  <w:marTop w:val="0"/>
                  <w:marBottom w:val="0"/>
                  <w:divBdr>
                    <w:top w:val="none" w:sz="0" w:space="0" w:color="auto"/>
                    <w:left w:val="none" w:sz="0" w:space="0" w:color="auto"/>
                    <w:bottom w:val="none" w:sz="0" w:space="0" w:color="auto"/>
                    <w:right w:val="none" w:sz="0" w:space="0" w:color="auto"/>
                  </w:divBdr>
                  <w:divsChild>
                    <w:div w:id="21242241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8563931">
                          <w:marLeft w:val="0"/>
                          <w:marRight w:val="0"/>
                          <w:marTop w:val="0"/>
                          <w:marBottom w:val="0"/>
                          <w:divBdr>
                            <w:top w:val="none" w:sz="0" w:space="0" w:color="auto"/>
                            <w:left w:val="none" w:sz="0" w:space="0" w:color="auto"/>
                            <w:bottom w:val="none" w:sz="0" w:space="0" w:color="auto"/>
                            <w:right w:val="none" w:sz="0" w:space="0" w:color="auto"/>
                          </w:divBdr>
                          <w:divsChild>
                            <w:div w:id="297229580">
                              <w:marLeft w:val="0"/>
                              <w:marRight w:val="0"/>
                              <w:marTop w:val="0"/>
                              <w:marBottom w:val="0"/>
                              <w:divBdr>
                                <w:top w:val="none" w:sz="0" w:space="0" w:color="auto"/>
                                <w:left w:val="none" w:sz="0" w:space="0" w:color="auto"/>
                                <w:bottom w:val="none" w:sz="0" w:space="0" w:color="auto"/>
                                <w:right w:val="none" w:sz="0" w:space="0" w:color="auto"/>
                              </w:divBdr>
                              <w:divsChild>
                                <w:div w:id="194599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6733</Words>
  <Characters>36161</Characters>
  <Application>Microsoft Office Word</Application>
  <DocSecurity>0</DocSecurity>
  <Lines>539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2023-09-09T22:10:00Z</dcterms:created>
  <dcterms:modified xsi:type="dcterms:W3CDTF">2023-10-03T20:58:00Z</dcterms:modified>
</cp:coreProperties>
</file>