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90BCE" w14:textId="77777777" w:rsidR="00134353" w:rsidRPr="00E82E09" w:rsidRDefault="00134353" w:rsidP="00134353">
      <w:pPr>
        <w:spacing w:line="480" w:lineRule="auto"/>
        <w:ind w:firstLine="0"/>
        <w:jc w:val="center"/>
        <w:rPr>
          <w:rFonts w:asciiTheme="minorHAnsi" w:hAnsiTheme="minorHAnsi" w:cstheme="minorHAnsi"/>
          <w:b/>
          <w:sz w:val="28"/>
          <w:szCs w:val="28"/>
        </w:rPr>
      </w:pPr>
      <w:r w:rsidRPr="00E82E09">
        <w:rPr>
          <w:rFonts w:asciiTheme="minorHAnsi" w:hAnsiTheme="minorHAnsi" w:cstheme="minorHAnsi"/>
          <w:b/>
          <w:sz w:val="28"/>
          <w:szCs w:val="28"/>
        </w:rPr>
        <w:t>SUPPLEMENTARY MATERIAL</w:t>
      </w:r>
    </w:p>
    <w:p w14:paraId="1F62488A" w14:textId="77777777" w:rsidR="00405BD2" w:rsidRDefault="00405BD2" w:rsidP="00405BD2">
      <w:pPr>
        <w:spacing w:after="0" w:line="480" w:lineRule="auto"/>
        <w:ind w:firstLine="0"/>
        <w:mirrorIndents/>
        <w:jc w:val="center"/>
        <w:rPr>
          <w:rFonts w:asciiTheme="minorHAnsi" w:hAnsiTheme="minorHAnsi" w:cstheme="minorHAnsi"/>
          <w:b/>
          <w:bCs/>
          <w:sz w:val="24"/>
        </w:rPr>
      </w:pPr>
      <w:r>
        <w:rPr>
          <w:rFonts w:asciiTheme="minorHAnsi" w:hAnsiTheme="minorHAnsi" w:cstheme="minorHAnsi"/>
          <w:b/>
          <w:bCs/>
          <w:sz w:val="24"/>
        </w:rPr>
        <w:t xml:space="preserve">Improving the long-term stability of </w:t>
      </w:r>
      <w:proofErr w:type="spellStart"/>
      <w:r>
        <w:rPr>
          <w:rFonts w:asciiTheme="minorHAnsi" w:hAnsiTheme="minorHAnsi" w:cstheme="minorHAnsi"/>
          <w:b/>
          <w:bCs/>
          <w:i/>
          <w:iCs/>
          <w:sz w:val="24"/>
        </w:rPr>
        <w:t>Dunaliella</w:t>
      </w:r>
      <w:proofErr w:type="spellEnd"/>
      <w:r>
        <w:rPr>
          <w:rFonts w:asciiTheme="minorHAnsi" w:hAnsiTheme="minorHAnsi" w:cstheme="minorHAnsi"/>
          <w:b/>
          <w:bCs/>
          <w:i/>
          <w:iCs/>
          <w:sz w:val="24"/>
        </w:rPr>
        <w:t xml:space="preserve"> </w:t>
      </w:r>
      <w:proofErr w:type="spellStart"/>
      <w:r>
        <w:rPr>
          <w:rFonts w:asciiTheme="minorHAnsi" w:hAnsiTheme="minorHAnsi" w:cstheme="minorHAnsi"/>
          <w:b/>
          <w:bCs/>
          <w:i/>
          <w:iCs/>
          <w:sz w:val="24"/>
        </w:rPr>
        <w:t>salina</w:t>
      </w:r>
      <w:proofErr w:type="spellEnd"/>
      <w:r>
        <w:rPr>
          <w:rFonts w:asciiTheme="minorHAnsi" w:hAnsiTheme="minorHAnsi" w:cstheme="minorHAnsi"/>
          <w:b/>
          <w:bCs/>
          <w:sz w:val="24"/>
        </w:rPr>
        <w:t xml:space="preserve"> supercritical fluid extracts with a new cryo-stirring liposomal nano-encapsulation</w:t>
      </w:r>
    </w:p>
    <w:p w14:paraId="01031742" w14:textId="5CF2B175" w:rsidR="00E36AB7" w:rsidRPr="00D02A15" w:rsidRDefault="00E36AB7" w:rsidP="009D7D49">
      <w:pPr>
        <w:spacing w:after="0" w:line="240" w:lineRule="auto"/>
        <w:ind w:firstLine="0"/>
        <w:mirrorIndents/>
        <w:jc w:val="center"/>
        <w:rPr>
          <w:rFonts w:asciiTheme="minorHAnsi" w:hAnsiTheme="minorHAnsi" w:cstheme="minorHAnsi"/>
          <w:sz w:val="22"/>
          <w:lang w:val="es-ES"/>
        </w:rPr>
      </w:pPr>
      <w:r w:rsidRPr="00D02A15">
        <w:rPr>
          <w:rFonts w:asciiTheme="minorHAnsi" w:hAnsiTheme="minorHAnsi" w:cstheme="minorHAnsi"/>
          <w:sz w:val="22"/>
          <w:lang w:val="es-ES"/>
        </w:rPr>
        <w:t>Victor M. Amador-Luna, Miguel Herrero, Pablo Mendoza-Orbaneja, Elena Ibáñez, Lidia Montero</w:t>
      </w:r>
      <w:r w:rsidRPr="00D02A15">
        <w:rPr>
          <w:rFonts w:asciiTheme="minorHAnsi" w:hAnsiTheme="minorHAnsi" w:cstheme="minorHAnsi"/>
          <w:sz w:val="22"/>
          <w:vertAlign w:val="superscript"/>
          <w:lang w:val="es-ES"/>
        </w:rPr>
        <w:t>*</w:t>
      </w:r>
      <w:r w:rsidRPr="00D02A15">
        <w:rPr>
          <w:rFonts w:asciiTheme="minorHAnsi" w:hAnsiTheme="minorHAnsi" w:cstheme="minorHAnsi"/>
          <w:sz w:val="22"/>
          <w:lang w:val="es-ES"/>
        </w:rPr>
        <w:t>.</w:t>
      </w:r>
    </w:p>
    <w:p w14:paraId="34E38333" w14:textId="77777777" w:rsidR="009D7D49" w:rsidRPr="00D02A15" w:rsidRDefault="009D7D49" w:rsidP="009D7D49">
      <w:pPr>
        <w:spacing w:after="0" w:line="240" w:lineRule="auto"/>
        <w:ind w:firstLine="0"/>
        <w:mirrorIndents/>
        <w:jc w:val="center"/>
        <w:rPr>
          <w:rFonts w:asciiTheme="minorHAnsi" w:hAnsiTheme="minorHAnsi" w:cstheme="minorHAnsi"/>
          <w:sz w:val="22"/>
          <w:lang w:val="es-ES"/>
        </w:rPr>
      </w:pPr>
    </w:p>
    <w:p w14:paraId="6E9FF021" w14:textId="3C529295" w:rsidR="00E36AB7" w:rsidRPr="00E82E09" w:rsidRDefault="00E36AB7" w:rsidP="009D7D49">
      <w:pPr>
        <w:spacing w:after="0" w:line="240" w:lineRule="auto"/>
        <w:ind w:firstLine="0"/>
        <w:mirrorIndents/>
        <w:rPr>
          <w:rFonts w:asciiTheme="minorHAnsi" w:hAnsiTheme="minorHAnsi" w:cstheme="minorHAnsi"/>
          <w:i/>
          <w:iCs/>
          <w:sz w:val="22"/>
        </w:rPr>
      </w:pPr>
      <w:r w:rsidRPr="00E82E09">
        <w:rPr>
          <w:rFonts w:asciiTheme="minorHAnsi" w:hAnsiTheme="minorHAnsi" w:cstheme="minorHAnsi"/>
          <w:i/>
          <w:iCs/>
          <w:sz w:val="22"/>
        </w:rPr>
        <w:t xml:space="preserve">Laboratory of </w:t>
      </w:r>
      <w:proofErr w:type="spellStart"/>
      <w:r w:rsidRPr="00E82E09">
        <w:rPr>
          <w:rFonts w:asciiTheme="minorHAnsi" w:hAnsiTheme="minorHAnsi" w:cstheme="minorHAnsi"/>
          <w:i/>
          <w:iCs/>
          <w:sz w:val="22"/>
        </w:rPr>
        <w:t>Foodomics</w:t>
      </w:r>
      <w:proofErr w:type="spellEnd"/>
      <w:r w:rsidRPr="00E82E09">
        <w:rPr>
          <w:rFonts w:asciiTheme="minorHAnsi" w:hAnsiTheme="minorHAnsi" w:cstheme="minorHAnsi"/>
          <w:i/>
          <w:iCs/>
          <w:sz w:val="22"/>
        </w:rPr>
        <w:t>, Institute of Food Science Research, CIAL, CSIC Nicolas Cabrera 9, 28049 Madrid, Spain</w:t>
      </w:r>
    </w:p>
    <w:p w14:paraId="709316FA" w14:textId="77777777" w:rsidR="00E36AB7" w:rsidRPr="00E82E09" w:rsidRDefault="00E36AB7" w:rsidP="00E36AB7">
      <w:pPr>
        <w:spacing w:after="0" w:line="480" w:lineRule="auto"/>
        <w:ind w:firstLine="0"/>
        <w:mirrorIndents/>
        <w:rPr>
          <w:rFonts w:asciiTheme="minorHAnsi" w:hAnsiTheme="minorHAnsi" w:cstheme="minorHAnsi"/>
          <w:i/>
          <w:iCs/>
          <w:sz w:val="22"/>
          <w:lang w:val="en-GB"/>
        </w:rPr>
      </w:pPr>
    </w:p>
    <w:p w14:paraId="55E56ECD" w14:textId="4FAE2496" w:rsidR="00E36AB7" w:rsidRPr="00E82E09" w:rsidRDefault="00E36AB7" w:rsidP="009D7D49">
      <w:pPr>
        <w:spacing w:after="0" w:line="240" w:lineRule="auto"/>
        <w:ind w:firstLine="0"/>
        <w:mirrorIndents/>
        <w:rPr>
          <w:rFonts w:asciiTheme="minorHAnsi" w:hAnsiTheme="minorHAnsi" w:cstheme="minorHAnsi"/>
          <w:i/>
          <w:iCs/>
          <w:sz w:val="22"/>
          <w:lang w:val="en-GB"/>
        </w:rPr>
      </w:pPr>
      <w:r w:rsidRPr="00E82E09">
        <w:rPr>
          <w:rFonts w:asciiTheme="minorHAnsi" w:hAnsiTheme="minorHAnsi" w:cstheme="minorHAnsi"/>
          <w:i/>
          <w:iCs/>
          <w:sz w:val="22"/>
          <w:lang w:val="en-GB"/>
        </w:rPr>
        <w:t>*</w:t>
      </w:r>
      <w:r w:rsidRPr="00E82E09">
        <w:rPr>
          <w:rFonts w:asciiTheme="minorHAnsi" w:hAnsiTheme="minorHAnsi" w:cstheme="minorHAnsi"/>
          <w:i/>
          <w:iCs/>
          <w:sz w:val="22"/>
          <w:vertAlign w:val="superscript"/>
          <w:lang w:val="en-GB"/>
        </w:rPr>
        <w:t xml:space="preserve"> </w:t>
      </w:r>
      <w:r w:rsidRPr="00E82E09">
        <w:rPr>
          <w:rFonts w:asciiTheme="minorHAnsi" w:hAnsiTheme="minorHAnsi" w:cstheme="minorHAnsi"/>
          <w:i/>
          <w:iCs/>
          <w:sz w:val="22"/>
          <w:lang w:val="en-GB"/>
        </w:rPr>
        <w:t xml:space="preserve">Corresponding author </w:t>
      </w:r>
      <w:r w:rsidRPr="00E82E09">
        <w:rPr>
          <w:rFonts w:asciiTheme="minorHAnsi" w:hAnsiTheme="minorHAnsi" w:cstheme="minorHAnsi"/>
          <w:iCs/>
          <w:sz w:val="22"/>
          <w:lang w:val="en-GB"/>
        </w:rPr>
        <w:t>(L. Montero)</w:t>
      </w:r>
    </w:p>
    <w:p w14:paraId="5B0887A9" w14:textId="77777777" w:rsidR="00E36AB7" w:rsidRPr="00E82E09" w:rsidRDefault="00E36AB7" w:rsidP="009D7D49">
      <w:pPr>
        <w:spacing w:after="0" w:line="240" w:lineRule="auto"/>
        <w:ind w:firstLine="0"/>
        <w:mirrorIndents/>
        <w:rPr>
          <w:rFonts w:asciiTheme="minorHAnsi" w:hAnsiTheme="minorHAnsi" w:cstheme="minorHAnsi"/>
          <w:iCs/>
          <w:sz w:val="22"/>
        </w:rPr>
      </w:pPr>
      <w:r w:rsidRPr="00E82E09">
        <w:rPr>
          <w:rFonts w:asciiTheme="minorHAnsi" w:hAnsiTheme="minorHAnsi" w:cstheme="minorHAnsi"/>
          <w:iCs/>
          <w:sz w:val="22"/>
        </w:rPr>
        <w:t xml:space="preserve">e-mail: </w:t>
      </w:r>
      <w:hyperlink r:id="rId10" w:history="1">
        <w:r w:rsidRPr="00E82E09">
          <w:rPr>
            <w:rStyle w:val="Hipervnculo"/>
            <w:rFonts w:asciiTheme="minorHAnsi" w:hAnsiTheme="minorHAnsi" w:cstheme="minorHAnsi"/>
            <w:iCs/>
            <w:sz w:val="22"/>
          </w:rPr>
          <w:t>lidia.montero@csic.es</w:t>
        </w:r>
      </w:hyperlink>
    </w:p>
    <w:p w14:paraId="714933E3" w14:textId="77777777" w:rsidR="00E36AB7" w:rsidRPr="00E82E09" w:rsidRDefault="00E36AB7" w:rsidP="00E36AB7">
      <w:pPr>
        <w:spacing w:after="0" w:line="480" w:lineRule="auto"/>
        <w:ind w:firstLine="0"/>
        <w:mirrorIndents/>
        <w:rPr>
          <w:rFonts w:asciiTheme="minorHAnsi" w:hAnsiTheme="minorHAnsi" w:cstheme="minorHAnsi"/>
          <w:iCs/>
          <w:sz w:val="22"/>
        </w:rPr>
      </w:pPr>
      <w:r w:rsidRPr="00E82E09">
        <w:rPr>
          <w:rFonts w:asciiTheme="minorHAnsi" w:hAnsiTheme="minorHAnsi" w:cstheme="minorHAnsi"/>
          <w:iCs/>
          <w:sz w:val="22"/>
        </w:rPr>
        <w:t>Tel: +34 910 017 954</w:t>
      </w:r>
    </w:p>
    <w:p w14:paraId="4FB8D87F" w14:textId="77777777" w:rsidR="00F944D1" w:rsidRPr="00E82E09" w:rsidRDefault="00F944D1" w:rsidP="00204913">
      <w:pPr>
        <w:spacing w:before="240" w:line="480" w:lineRule="auto"/>
        <w:ind w:firstLine="0"/>
        <w:rPr>
          <w:rFonts w:asciiTheme="minorHAnsi" w:hAnsiTheme="minorHAnsi" w:cstheme="minorHAnsi"/>
          <w:b/>
          <w:bCs/>
          <w:sz w:val="22"/>
        </w:rPr>
      </w:pPr>
      <w:r w:rsidRPr="00E82E09">
        <w:rPr>
          <w:rFonts w:asciiTheme="minorHAnsi" w:hAnsiTheme="minorHAnsi" w:cstheme="minorHAnsi"/>
          <w:b/>
          <w:bCs/>
          <w:sz w:val="22"/>
        </w:rPr>
        <w:t>Content</w:t>
      </w:r>
    </w:p>
    <w:p w14:paraId="3EE77031" w14:textId="77777777" w:rsidR="002A50CB" w:rsidRPr="00E82E09" w:rsidRDefault="002A50CB" w:rsidP="002A50CB">
      <w:pPr>
        <w:spacing w:line="480" w:lineRule="auto"/>
        <w:ind w:firstLine="502"/>
        <w:rPr>
          <w:rFonts w:asciiTheme="minorHAnsi" w:hAnsiTheme="minorHAnsi" w:cstheme="minorHAnsi"/>
          <w:sz w:val="22"/>
        </w:rPr>
      </w:pPr>
      <w:r w:rsidRPr="00E82E09">
        <w:rPr>
          <w:rFonts w:asciiTheme="minorHAnsi" w:hAnsiTheme="minorHAnsi" w:cstheme="minorHAnsi"/>
          <w:b/>
          <w:sz w:val="22"/>
        </w:rPr>
        <w:t xml:space="preserve">S1. </w:t>
      </w:r>
      <w:r w:rsidRPr="00E82E09">
        <w:rPr>
          <w:rFonts w:asciiTheme="minorHAnsi" w:hAnsiTheme="minorHAnsi" w:cstheme="minorHAnsi"/>
          <w:sz w:val="22"/>
        </w:rPr>
        <w:t>Disruption of the encapsulated product</w:t>
      </w:r>
    </w:p>
    <w:p w14:paraId="4FC7D221" w14:textId="77777777" w:rsidR="002A50CB" w:rsidRPr="00E82E09" w:rsidRDefault="002A50CB" w:rsidP="002A50CB">
      <w:pPr>
        <w:pStyle w:val="Prrafodelista"/>
        <w:spacing w:line="480" w:lineRule="auto"/>
        <w:ind w:left="502" w:firstLine="0"/>
        <w:rPr>
          <w:rFonts w:asciiTheme="minorHAnsi" w:hAnsiTheme="minorHAnsi" w:cstheme="minorHAnsi"/>
          <w:sz w:val="22"/>
        </w:rPr>
      </w:pPr>
      <w:r w:rsidRPr="00E82E09">
        <w:rPr>
          <w:rFonts w:asciiTheme="minorHAnsi" w:hAnsiTheme="minorHAnsi" w:cstheme="minorHAnsi"/>
          <w:b/>
          <w:bCs/>
          <w:sz w:val="22"/>
        </w:rPr>
        <w:t xml:space="preserve">S2. </w:t>
      </w:r>
      <w:r w:rsidRPr="00E82E09">
        <w:rPr>
          <w:rFonts w:asciiTheme="minorHAnsi" w:hAnsiTheme="minorHAnsi" w:cstheme="minorHAnsi"/>
          <w:bCs/>
          <w:sz w:val="22"/>
        </w:rPr>
        <w:t>Encapsulation efficiency of the total terpene content</w:t>
      </w:r>
    </w:p>
    <w:p w14:paraId="3FD51D05" w14:textId="77777777" w:rsidR="002A50CB" w:rsidRPr="00EF52D0" w:rsidRDefault="002A50CB" w:rsidP="002A50CB">
      <w:pPr>
        <w:spacing w:line="480" w:lineRule="auto"/>
        <w:ind w:firstLine="502"/>
        <w:rPr>
          <w:rFonts w:asciiTheme="minorHAnsi" w:hAnsiTheme="minorHAnsi" w:cstheme="minorHAnsi"/>
          <w:bCs/>
          <w:sz w:val="22"/>
        </w:rPr>
      </w:pPr>
      <w:r w:rsidRPr="00E82E09">
        <w:rPr>
          <w:rFonts w:asciiTheme="minorHAnsi" w:hAnsiTheme="minorHAnsi" w:cstheme="minorHAnsi"/>
          <w:b/>
          <w:bCs/>
          <w:sz w:val="22"/>
        </w:rPr>
        <w:t xml:space="preserve">S3. </w:t>
      </w:r>
      <w:r w:rsidRPr="00EF52D0">
        <w:rPr>
          <w:rFonts w:asciiTheme="minorHAnsi" w:hAnsiTheme="minorHAnsi" w:cstheme="minorHAnsi"/>
          <w:bCs/>
          <w:sz w:val="22"/>
        </w:rPr>
        <w:t xml:space="preserve">Encapsulation efficiency of the total carotenoid content </w:t>
      </w:r>
    </w:p>
    <w:p w14:paraId="194D8553" w14:textId="12B3A9D6" w:rsidR="00805C60" w:rsidRDefault="00805C60" w:rsidP="00EF52D0">
      <w:pPr>
        <w:spacing w:line="480" w:lineRule="auto"/>
        <w:ind w:firstLine="502"/>
        <w:rPr>
          <w:rFonts w:asciiTheme="minorHAnsi" w:hAnsiTheme="minorHAnsi" w:cstheme="minorHAnsi"/>
          <w:b/>
          <w:sz w:val="22"/>
        </w:rPr>
      </w:pPr>
      <w:r>
        <w:rPr>
          <w:rFonts w:asciiTheme="minorHAnsi" w:hAnsiTheme="minorHAnsi" w:cstheme="minorHAnsi"/>
          <w:b/>
          <w:sz w:val="22"/>
        </w:rPr>
        <w:t xml:space="preserve">S4. </w:t>
      </w:r>
      <w:r w:rsidRPr="00805C60">
        <w:rPr>
          <w:rFonts w:asciiTheme="minorHAnsi" w:hAnsiTheme="minorHAnsi" w:cstheme="minorHAnsi"/>
          <w:sz w:val="22"/>
        </w:rPr>
        <w:t>GC-MS analysis</w:t>
      </w:r>
    </w:p>
    <w:p w14:paraId="19C6A939" w14:textId="13BC977D" w:rsidR="00805C60" w:rsidRPr="00805C60" w:rsidRDefault="00805C60" w:rsidP="00EF52D0">
      <w:pPr>
        <w:spacing w:line="480" w:lineRule="auto"/>
        <w:ind w:firstLine="502"/>
        <w:rPr>
          <w:rFonts w:asciiTheme="minorHAnsi" w:hAnsiTheme="minorHAnsi" w:cstheme="minorHAnsi"/>
          <w:sz w:val="22"/>
        </w:rPr>
      </w:pPr>
      <w:r>
        <w:rPr>
          <w:rFonts w:asciiTheme="minorHAnsi" w:hAnsiTheme="minorHAnsi" w:cstheme="minorHAnsi"/>
          <w:b/>
          <w:sz w:val="22"/>
        </w:rPr>
        <w:t xml:space="preserve">S5. </w:t>
      </w:r>
      <w:r w:rsidRPr="00805C60">
        <w:rPr>
          <w:rFonts w:asciiTheme="minorHAnsi" w:hAnsiTheme="minorHAnsi" w:cstheme="minorHAnsi"/>
          <w:sz w:val="22"/>
        </w:rPr>
        <w:t>LC-DAD-MS analysis</w:t>
      </w:r>
    </w:p>
    <w:p w14:paraId="7C003C59" w14:textId="6C3BEEF5" w:rsidR="00EF52D0" w:rsidRPr="00EF52D0" w:rsidRDefault="00EF52D0" w:rsidP="00EF52D0">
      <w:pPr>
        <w:spacing w:line="480" w:lineRule="auto"/>
        <w:ind w:firstLine="502"/>
        <w:rPr>
          <w:rFonts w:asciiTheme="minorHAnsi" w:eastAsiaTheme="minorEastAsia" w:hAnsiTheme="minorHAnsi" w:cstheme="minorHAnsi"/>
          <w:sz w:val="22"/>
        </w:rPr>
      </w:pPr>
      <w:r w:rsidRPr="00EF52D0">
        <w:rPr>
          <w:rFonts w:asciiTheme="minorHAnsi" w:hAnsiTheme="minorHAnsi" w:cstheme="minorHAnsi"/>
          <w:b/>
          <w:sz w:val="22"/>
        </w:rPr>
        <w:t>S</w:t>
      </w:r>
      <w:r w:rsidR="00606D4D">
        <w:rPr>
          <w:rFonts w:asciiTheme="minorHAnsi" w:hAnsiTheme="minorHAnsi" w:cstheme="minorHAnsi"/>
          <w:b/>
          <w:sz w:val="22"/>
        </w:rPr>
        <w:t>6</w:t>
      </w:r>
      <w:r w:rsidRPr="00EF52D0">
        <w:rPr>
          <w:rFonts w:asciiTheme="minorHAnsi" w:hAnsiTheme="minorHAnsi" w:cstheme="minorHAnsi"/>
          <w:b/>
          <w:sz w:val="22"/>
        </w:rPr>
        <w:t>.</w:t>
      </w:r>
      <w:r w:rsidRPr="00EF52D0">
        <w:rPr>
          <w:rFonts w:asciiTheme="minorHAnsi" w:hAnsiTheme="minorHAnsi" w:cstheme="minorHAnsi"/>
          <w:sz w:val="22"/>
        </w:rPr>
        <w:t xml:space="preserve"> Bioactivity assays of the extract and the encapsulation samples</w:t>
      </w:r>
      <w:r w:rsidRPr="00EF52D0">
        <w:rPr>
          <w:rFonts w:asciiTheme="minorHAnsi" w:eastAsiaTheme="minorEastAsia" w:hAnsiTheme="minorHAnsi" w:cstheme="minorHAnsi"/>
          <w:sz w:val="22"/>
        </w:rPr>
        <w:t xml:space="preserve"> S4 </w:t>
      </w:r>
    </w:p>
    <w:p w14:paraId="79E71011" w14:textId="77777777" w:rsidR="002A50CB" w:rsidRPr="00EF52D0" w:rsidRDefault="002A50CB" w:rsidP="002A50CB">
      <w:pPr>
        <w:spacing w:line="480" w:lineRule="auto"/>
        <w:ind w:firstLine="502"/>
        <w:rPr>
          <w:rFonts w:asciiTheme="minorHAnsi" w:hAnsiTheme="minorHAnsi" w:cstheme="minorHAnsi"/>
          <w:sz w:val="22"/>
        </w:rPr>
      </w:pPr>
      <w:r w:rsidRPr="00EF52D0">
        <w:rPr>
          <w:rFonts w:asciiTheme="minorHAnsi" w:hAnsiTheme="minorHAnsi" w:cstheme="minorHAnsi"/>
          <w:b/>
          <w:sz w:val="22"/>
        </w:rPr>
        <w:t>Figure S1.</w:t>
      </w:r>
      <w:r w:rsidRPr="00EF52D0">
        <w:rPr>
          <w:rFonts w:asciiTheme="minorHAnsi" w:hAnsiTheme="minorHAnsi" w:cstheme="minorHAnsi"/>
          <w:sz w:val="22"/>
        </w:rPr>
        <w:t xml:space="preserve"> LC-DAD chromatogram of the carotenoids </w:t>
      </w:r>
      <w:proofErr w:type="gramStart"/>
      <w:r w:rsidRPr="00EF52D0">
        <w:rPr>
          <w:rFonts w:asciiTheme="minorHAnsi" w:hAnsiTheme="minorHAnsi" w:cstheme="minorHAnsi"/>
          <w:sz w:val="22"/>
        </w:rPr>
        <w:t>prese</w:t>
      </w:r>
      <w:bookmarkStart w:id="0" w:name="_GoBack"/>
      <w:bookmarkEnd w:id="0"/>
      <w:r w:rsidRPr="00EF52D0">
        <w:rPr>
          <w:rFonts w:asciiTheme="minorHAnsi" w:hAnsiTheme="minorHAnsi" w:cstheme="minorHAnsi"/>
          <w:sz w:val="22"/>
        </w:rPr>
        <w:t>nt</w:t>
      </w:r>
      <w:proofErr w:type="gramEnd"/>
      <w:r w:rsidRPr="00EF52D0">
        <w:rPr>
          <w:rFonts w:asciiTheme="minorHAnsi" w:hAnsiTheme="minorHAnsi" w:cstheme="minorHAnsi"/>
          <w:sz w:val="22"/>
        </w:rPr>
        <w:t xml:space="preserve"> in the samples</w:t>
      </w:r>
    </w:p>
    <w:p w14:paraId="30605B2E" w14:textId="77777777" w:rsidR="002A50CB" w:rsidRPr="00EF52D0" w:rsidRDefault="002A50CB" w:rsidP="002A50CB">
      <w:pPr>
        <w:spacing w:line="480" w:lineRule="auto"/>
        <w:ind w:firstLine="502"/>
        <w:rPr>
          <w:rFonts w:asciiTheme="minorHAnsi" w:hAnsiTheme="minorHAnsi" w:cstheme="minorHAnsi"/>
          <w:sz w:val="22"/>
        </w:rPr>
      </w:pPr>
      <w:r w:rsidRPr="00EF52D0">
        <w:rPr>
          <w:rFonts w:asciiTheme="minorHAnsi" w:hAnsiTheme="minorHAnsi" w:cstheme="minorHAnsi"/>
          <w:b/>
          <w:sz w:val="22"/>
        </w:rPr>
        <w:t>Figure S2.</w:t>
      </w:r>
      <w:r w:rsidRPr="00EF52D0">
        <w:rPr>
          <w:rFonts w:asciiTheme="minorHAnsi" w:hAnsiTheme="minorHAnsi" w:cstheme="minorHAnsi"/>
          <w:sz w:val="22"/>
        </w:rPr>
        <w:t xml:space="preserve"> GC composition of the starting extract and final products</w:t>
      </w:r>
    </w:p>
    <w:p w14:paraId="7B96C90D" w14:textId="77777777" w:rsidR="002A50CB" w:rsidRPr="00EF52D0" w:rsidRDefault="002A50CB" w:rsidP="002A50CB">
      <w:pPr>
        <w:spacing w:line="480" w:lineRule="auto"/>
        <w:ind w:left="567" w:hanging="65"/>
        <w:rPr>
          <w:rFonts w:asciiTheme="minorHAnsi" w:hAnsiTheme="minorHAnsi" w:cstheme="minorHAnsi"/>
          <w:sz w:val="22"/>
        </w:rPr>
      </w:pPr>
      <w:r w:rsidRPr="00EF52D0">
        <w:rPr>
          <w:rFonts w:asciiTheme="minorHAnsi" w:hAnsiTheme="minorHAnsi" w:cstheme="minorHAnsi"/>
          <w:b/>
          <w:sz w:val="22"/>
        </w:rPr>
        <w:t>Figure S3.</w:t>
      </w:r>
      <w:r w:rsidRPr="00EF52D0">
        <w:rPr>
          <w:rFonts w:asciiTheme="minorHAnsi" w:hAnsiTheme="minorHAnsi" w:cstheme="minorHAnsi"/>
          <w:sz w:val="22"/>
        </w:rPr>
        <w:t xml:space="preserve"> Effect of the different encapsulation steps on the volatile fraction</w:t>
      </w:r>
    </w:p>
    <w:p w14:paraId="62ABF3A7" w14:textId="77777777" w:rsidR="002A50CB" w:rsidRPr="00EF52D0" w:rsidRDefault="002A50CB" w:rsidP="002A50CB">
      <w:pPr>
        <w:spacing w:line="480" w:lineRule="auto"/>
        <w:ind w:firstLine="502"/>
        <w:rPr>
          <w:rFonts w:asciiTheme="minorHAnsi" w:hAnsiTheme="minorHAnsi" w:cstheme="minorHAnsi"/>
          <w:b/>
          <w:sz w:val="22"/>
        </w:rPr>
      </w:pPr>
      <w:r w:rsidRPr="00EF52D0">
        <w:rPr>
          <w:rFonts w:asciiTheme="minorHAnsi" w:hAnsiTheme="minorHAnsi" w:cstheme="minorHAnsi"/>
          <w:b/>
          <w:sz w:val="22"/>
        </w:rPr>
        <w:t>References</w:t>
      </w:r>
    </w:p>
    <w:p w14:paraId="4F137F3D" w14:textId="77777777" w:rsidR="002A50CB" w:rsidRPr="00EF52D0" w:rsidRDefault="002A50CB" w:rsidP="002A50CB">
      <w:pPr>
        <w:spacing w:line="480" w:lineRule="auto"/>
        <w:ind w:firstLine="0"/>
        <w:rPr>
          <w:rFonts w:asciiTheme="minorHAnsi" w:hAnsiTheme="minorHAnsi" w:cstheme="minorHAnsi"/>
          <w:b/>
          <w:bCs/>
          <w:sz w:val="22"/>
        </w:rPr>
      </w:pPr>
      <w:r w:rsidRPr="00EF52D0">
        <w:rPr>
          <w:rFonts w:asciiTheme="minorHAnsi" w:hAnsiTheme="minorHAnsi" w:cstheme="minorHAnsi"/>
          <w:b/>
          <w:bCs/>
          <w:sz w:val="22"/>
        </w:rPr>
        <w:t>S1. Disruption of the encapsulated product</w:t>
      </w:r>
    </w:p>
    <w:p w14:paraId="3A052A37" w14:textId="77777777" w:rsidR="002A50CB" w:rsidRPr="00EF52D0" w:rsidRDefault="002A50CB" w:rsidP="00C75D74">
      <w:pPr>
        <w:spacing w:after="0" w:line="480" w:lineRule="auto"/>
        <w:ind w:firstLine="0"/>
        <w:rPr>
          <w:rFonts w:asciiTheme="minorHAnsi" w:hAnsiTheme="minorHAnsi" w:cstheme="minorHAnsi"/>
          <w:sz w:val="22"/>
        </w:rPr>
      </w:pPr>
      <w:r w:rsidRPr="00EF52D0">
        <w:rPr>
          <w:rFonts w:asciiTheme="minorHAnsi" w:hAnsiTheme="minorHAnsi" w:cstheme="minorHAnsi"/>
          <w:sz w:val="22"/>
        </w:rPr>
        <w:lastRenderedPageBreak/>
        <w:t xml:space="preserve">To calculate the encapsulation efficiency, the starting </w:t>
      </w:r>
      <w:r w:rsidRPr="00EF52D0">
        <w:rPr>
          <w:rFonts w:asciiTheme="minorHAnsi" w:hAnsiTheme="minorHAnsi" w:cstheme="minorHAnsi"/>
          <w:i/>
          <w:iCs/>
          <w:sz w:val="22"/>
        </w:rPr>
        <w:t>D. salina</w:t>
      </w:r>
      <w:r w:rsidRPr="00EF52D0">
        <w:rPr>
          <w:rFonts w:asciiTheme="minorHAnsi" w:hAnsiTheme="minorHAnsi" w:cstheme="minorHAnsi"/>
          <w:sz w:val="22"/>
        </w:rPr>
        <w:t xml:space="preserve"> UHP-SFE extract was used as control (100% efficiency). Considering that the final encapsulated product was formed by an encapsulated/encapsulant ratio 1:10 (</w:t>
      </w:r>
      <w:r w:rsidRPr="00EF52D0">
        <w:rPr>
          <w:rFonts w:asciiTheme="minorHAnsi" w:hAnsiTheme="minorHAnsi" w:cstheme="minorHAnsi"/>
          <w:i/>
          <w:iCs/>
          <w:sz w:val="22"/>
        </w:rPr>
        <w:t>w/w</w:t>
      </w:r>
      <w:r w:rsidRPr="00EF52D0">
        <w:rPr>
          <w:rFonts w:asciiTheme="minorHAnsi" w:hAnsiTheme="minorHAnsi" w:cstheme="minorHAnsi"/>
          <w:sz w:val="22"/>
        </w:rPr>
        <w:t xml:space="preserve">), to maintain the real proportion of compounds between the starting and the encapsulated samples, the weighted quantity of the final encapsulated product was 10 times higher than the starting </w:t>
      </w:r>
      <w:r w:rsidRPr="00EF52D0">
        <w:rPr>
          <w:rFonts w:asciiTheme="minorHAnsi" w:hAnsiTheme="minorHAnsi" w:cstheme="minorHAnsi"/>
          <w:i/>
          <w:iCs/>
          <w:sz w:val="22"/>
        </w:rPr>
        <w:t>D. salina</w:t>
      </w:r>
      <w:r w:rsidRPr="00EF52D0">
        <w:rPr>
          <w:rFonts w:asciiTheme="minorHAnsi" w:hAnsiTheme="minorHAnsi" w:cstheme="minorHAnsi"/>
          <w:sz w:val="22"/>
        </w:rPr>
        <w:t xml:space="preserve"> extract for the efficiency measurements </w:t>
      </w:r>
    </w:p>
    <w:p w14:paraId="7F039240" w14:textId="77777777" w:rsidR="002A50CB" w:rsidRPr="00EF52D0" w:rsidRDefault="002A50CB" w:rsidP="002A50CB">
      <w:pPr>
        <w:pStyle w:val="Bibliografa"/>
        <w:spacing w:line="480" w:lineRule="auto"/>
        <w:ind w:left="0" w:firstLine="0"/>
        <w:jc w:val="both"/>
        <w:rPr>
          <w:rFonts w:cstheme="minorHAnsi"/>
          <w:lang w:val="en-US"/>
        </w:rPr>
      </w:pPr>
      <w:r w:rsidRPr="00EF52D0">
        <w:rPr>
          <w:rFonts w:cstheme="minorHAnsi"/>
          <w:lang w:val="en-US"/>
        </w:rPr>
        <w:t>Then, the encapsulated product was destabilized to extract the encapsulated fraction. To this end, 2 mL ethanol were mixed with the encapsulated product and this mixture was homogenized using a glass Potter-</w:t>
      </w:r>
      <w:proofErr w:type="spellStart"/>
      <w:r w:rsidRPr="00EF52D0">
        <w:rPr>
          <w:rFonts w:cstheme="minorHAnsi"/>
          <w:lang w:val="en-US"/>
        </w:rPr>
        <w:t>Elvehjem</w:t>
      </w:r>
      <w:proofErr w:type="spellEnd"/>
      <w:r w:rsidRPr="00EF52D0">
        <w:rPr>
          <w:rFonts w:cstheme="minorHAnsi"/>
          <w:lang w:val="en-US"/>
        </w:rPr>
        <w:t xml:space="preserve"> type manual homogenizer with a Teflon stem to break the encapsulation (Figure 2I). After this, it was centrifuged at 5500 G for 5 minutes at 4 °C to precipitate the encapsulant phosphatidylcholine, which is insoluble in ethanol. The supernatant (encapsulated extract) was taken and used in the following tests.</w:t>
      </w:r>
    </w:p>
    <w:p w14:paraId="1F66C528" w14:textId="77777777" w:rsidR="002A50CB" w:rsidRPr="00EF52D0" w:rsidRDefault="002A50CB" w:rsidP="00C75D74">
      <w:pPr>
        <w:spacing w:before="240" w:line="480" w:lineRule="auto"/>
        <w:ind w:firstLine="0"/>
        <w:rPr>
          <w:rFonts w:asciiTheme="minorHAnsi" w:hAnsiTheme="minorHAnsi" w:cstheme="minorHAnsi"/>
          <w:b/>
          <w:sz w:val="22"/>
        </w:rPr>
      </w:pPr>
      <w:r w:rsidRPr="00EF52D0">
        <w:rPr>
          <w:rFonts w:asciiTheme="minorHAnsi" w:hAnsiTheme="minorHAnsi" w:cstheme="minorHAnsi"/>
          <w:b/>
          <w:sz w:val="22"/>
        </w:rPr>
        <w:t>S2. Encapsulation efficiency of the total terpenoid content</w:t>
      </w:r>
    </w:p>
    <w:p w14:paraId="5110E449" w14:textId="0635269A" w:rsidR="00432E67" w:rsidRPr="00EF52D0" w:rsidRDefault="002A50CB" w:rsidP="002A50CB">
      <w:pPr>
        <w:pStyle w:val="Bibliografa"/>
        <w:spacing w:line="480" w:lineRule="auto"/>
        <w:ind w:left="0" w:firstLine="0"/>
        <w:jc w:val="both"/>
        <w:rPr>
          <w:rFonts w:cstheme="minorHAnsi"/>
          <w:lang w:val="en-US"/>
        </w:rPr>
      </w:pPr>
      <w:r w:rsidRPr="00EF52D0">
        <w:rPr>
          <w:rFonts w:cstheme="minorHAnsi"/>
          <w:lang w:val="en-US"/>
        </w:rPr>
        <w:t xml:space="preserve">The encapsulation efficiency of the total terpenes was obtained using the following formula (Equation </w:t>
      </w:r>
      <w:r w:rsidR="00C75D74" w:rsidRPr="00EF52D0">
        <w:rPr>
          <w:rFonts w:cstheme="minorHAnsi"/>
          <w:lang w:val="en-US"/>
        </w:rPr>
        <w:t>SM</w:t>
      </w:r>
      <w:r w:rsidRPr="00EF52D0">
        <w:rPr>
          <w:rFonts w:cstheme="minorHAnsi"/>
          <w:lang w:val="en-US"/>
        </w:rPr>
        <w:t>1).</w:t>
      </w:r>
    </w:p>
    <w:p w14:paraId="1012B391" w14:textId="4B6480F2" w:rsidR="00432E67" w:rsidRPr="00EF52D0" w:rsidRDefault="00432E67" w:rsidP="009D7D49">
      <w:pPr>
        <w:pStyle w:val="Bibliografa"/>
        <w:spacing w:line="480" w:lineRule="auto"/>
        <w:ind w:left="0" w:firstLine="0"/>
        <w:jc w:val="both"/>
        <w:rPr>
          <w:rFonts w:cstheme="minorHAnsi"/>
          <w:lang w:val="en-US"/>
        </w:rPr>
      </w:pPr>
      <m:oMath>
        <m:r>
          <m:rPr>
            <m:sty m:val="p"/>
          </m:rPr>
          <w:rPr>
            <w:rFonts w:ascii="Cambria Math" w:hAnsi="Cambria Math" w:cstheme="minorHAnsi"/>
            <w:lang w:val="en-US"/>
          </w:rPr>
          <m:t>EE</m:t>
        </m:r>
        <m:r>
          <m:rPr>
            <m:nor/>
          </m:rPr>
          <w:rPr>
            <w:rFonts w:cstheme="minorHAnsi"/>
            <w:lang w:val="en-US"/>
          </w:rPr>
          <m:t>TTC</m:t>
        </m:r>
        <m:r>
          <m:rPr>
            <m:sty m:val="p"/>
          </m:rPr>
          <w:rPr>
            <w:rFonts w:ascii="Cambria Math" w:hAnsi="Cambria Math" w:cstheme="minorHAnsi"/>
            <w:lang w:val="en-US"/>
          </w:rPr>
          <m:t xml:space="preserve"> </m:t>
        </m:r>
        <m:d>
          <m:dPr>
            <m:ctrlPr>
              <w:rPr>
                <w:rFonts w:ascii="Cambria Math" w:hAnsi="Cambria Math" w:cstheme="minorHAnsi"/>
              </w:rPr>
            </m:ctrlPr>
          </m:dPr>
          <m:e>
            <m:r>
              <m:rPr>
                <m:sty m:val="p"/>
              </m:rPr>
              <w:rPr>
                <w:rFonts w:ascii="Cambria Math" w:hAnsi="Cambria Math" w:cstheme="minorHAnsi"/>
                <w:lang w:val="en-US"/>
              </w:rPr>
              <m:t>%</m:t>
            </m:r>
          </m:e>
        </m:d>
        <m:r>
          <m:rPr>
            <m:sty m:val="p"/>
          </m:rPr>
          <w:rPr>
            <w:rFonts w:ascii="Cambria Math" w:hAnsi="Cambria Math" w:cstheme="minorHAnsi"/>
            <w:lang w:val="en-US"/>
          </w:rPr>
          <m:t>=1-</m:t>
        </m:r>
        <m:f>
          <m:fPr>
            <m:ctrlPr>
              <w:rPr>
                <w:rFonts w:ascii="Cambria Math" w:hAnsi="Cambria Math" w:cstheme="minorHAnsi"/>
              </w:rPr>
            </m:ctrlPr>
          </m:fPr>
          <m:num>
            <m:sSub>
              <m:sSubPr>
                <m:ctrlPr>
                  <w:rPr>
                    <w:rFonts w:ascii="Cambria Math" w:hAnsi="Cambria Math" w:cstheme="minorHAnsi"/>
                  </w:rPr>
                </m:ctrlPr>
              </m:sSubPr>
              <m:e>
                <m:r>
                  <m:rPr>
                    <m:sty m:val="p"/>
                  </m:rPr>
                  <w:rPr>
                    <w:rFonts w:ascii="Cambria Math" w:hAnsi="Cambria Math" w:cstheme="minorHAnsi"/>
                    <w:lang w:val="en-US"/>
                  </w:rPr>
                  <m:t>A</m:t>
                </m:r>
              </m:e>
              <m:sub>
                <m:r>
                  <m:rPr>
                    <m:sty m:val="p"/>
                  </m:rPr>
                  <w:rPr>
                    <w:rFonts w:ascii="Cambria Math" w:hAnsi="Cambria Math" w:cstheme="minorHAnsi"/>
                    <w:lang w:val="en-US"/>
                  </w:rPr>
                  <m:t>i</m:t>
                </m:r>
              </m:sub>
            </m:sSub>
            <m:r>
              <m:rPr>
                <m:sty m:val="p"/>
              </m:rPr>
              <w:rPr>
                <w:rFonts w:ascii="Cambria Math" w:hAnsi="Cambria Math" w:cstheme="minorHAnsi"/>
                <w:lang w:val="en-US"/>
              </w:rPr>
              <m:t>-</m:t>
            </m:r>
            <m:sSub>
              <m:sSubPr>
                <m:ctrlPr>
                  <w:rPr>
                    <w:rFonts w:ascii="Cambria Math" w:hAnsi="Cambria Math" w:cstheme="minorHAnsi"/>
                  </w:rPr>
                </m:ctrlPr>
              </m:sSubPr>
              <m:e>
                <m:r>
                  <m:rPr>
                    <m:sty m:val="p"/>
                  </m:rPr>
                  <w:rPr>
                    <w:rFonts w:ascii="Cambria Math" w:hAnsi="Cambria Math" w:cstheme="minorHAnsi"/>
                    <w:lang w:val="en-US"/>
                  </w:rPr>
                  <m:t>A</m:t>
                </m:r>
              </m:e>
              <m:sub>
                <m:r>
                  <m:rPr>
                    <m:sty m:val="p"/>
                  </m:rPr>
                  <w:rPr>
                    <w:rFonts w:ascii="Cambria Math" w:hAnsi="Cambria Math" w:cstheme="minorHAnsi"/>
                    <w:lang w:val="en-US"/>
                  </w:rPr>
                  <m:t>f</m:t>
                </m:r>
              </m:sub>
            </m:sSub>
          </m:num>
          <m:den>
            <m:sSub>
              <m:sSubPr>
                <m:ctrlPr>
                  <w:rPr>
                    <w:rFonts w:ascii="Cambria Math" w:hAnsi="Cambria Math" w:cstheme="minorHAnsi"/>
                  </w:rPr>
                </m:ctrlPr>
              </m:sSubPr>
              <m:e>
                <m:r>
                  <m:rPr>
                    <m:sty m:val="p"/>
                  </m:rPr>
                  <w:rPr>
                    <w:rFonts w:ascii="Cambria Math" w:hAnsi="Cambria Math" w:cstheme="minorHAnsi"/>
                    <w:lang w:val="en-US"/>
                  </w:rPr>
                  <m:t>A</m:t>
                </m:r>
              </m:e>
              <m:sub>
                <m:r>
                  <m:rPr>
                    <m:sty m:val="p"/>
                  </m:rPr>
                  <w:rPr>
                    <w:rFonts w:ascii="Cambria Math" w:hAnsi="Cambria Math" w:cstheme="minorHAnsi"/>
                    <w:lang w:val="en-US"/>
                  </w:rPr>
                  <m:t>i</m:t>
                </m:r>
              </m:sub>
            </m:sSub>
          </m:den>
        </m:f>
        <m:r>
          <m:rPr>
            <m:sty m:val="p"/>
          </m:rPr>
          <w:rPr>
            <w:rFonts w:ascii="Cambria Math" w:hAnsi="Cambria Math" w:cstheme="minorHAnsi"/>
            <w:lang w:val="en-US"/>
          </w:rPr>
          <m:t>·100%</m:t>
        </m:r>
      </m:oMath>
      <w:r w:rsidRPr="00EF52D0">
        <w:rPr>
          <w:rFonts w:cstheme="minorHAnsi"/>
          <w:lang w:val="en-US"/>
        </w:rPr>
        <w:t xml:space="preserve"> </w:t>
      </w:r>
      <w:r w:rsidRPr="00EF52D0">
        <w:rPr>
          <w:rFonts w:cstheme="minorHAnsi"/>
          <w:lang w:val="en-US"/>
        </w:rPr>
        <w:tab/>
        <w:t>(E</w:t>
      </w:r>
      <w:r w:rsidR="00E36AB7" w:rsidRPr="00EF52D0">
        <w:rPr>
          <w:rFonts w:cstheme="minorHAnsi"/>
          <w:lang w:val="en-US"/>
        </w:rPr>
        <w:t xml:space="preserve">quation </w:t>
      </w:r>
      <w:r w:rsidR="00C75D74" w:rsidRPr="00EF52D0">
        <w:rPr>
          <w:rFonts w:cstheme="minorHAnsi"/>
          <w:lang w:val="en-US"/>
        </w:rPr>
        <w:t>SM</w:t>
      </w:r>
      <w:r w:rsidR="00E36AB7" w:rsidRPr="00EF52D0">
        <w:rPr>
          <w:rFonts w:cstheme="minorHAnsi"/>
          <w:lang w:val="en-US"/>
        </w:rPr>
        <w:t>1</w:t>
      </w:r>
      <w:r w:rsidRPr="00EF52D0">
        <w:rPr>
          <w:rFonts w:cstheme="minorHAnsi"/>
          <w:lang w:val="en-US"/>
        </w:rPr>
        <w:t>)</w:t>
      </w:r>
    </w:p>
    <w:p w14:paraId="0DD7DE2B" w14:textId="7E295946" w:rsidR="00432E67" w:rsidRPr="00EF52D0" w:rsidRDefault="00C61AEE" w:rsidP="009D7D49">
      <w:pPr>
        <w:pStyle w:val="Bibliografa"/>
        <w:spacing w:line="480" w:lineRule="auto"/>
        <w:ind w:left="0" w:firstLine="0"/>
        <w:jc w:val="both"/>
        <w:rPr>
          <w:rFonts w:cstheme="minorHAnsi"/>
          <w:lang w:val="en-US"/>
        </w:rPr>
      </w:pPr>
      <w:r w:rsidRPr="00EF52D0">
        <w:rPr>
          <w:rFonts w:cstheme="minorHAnsi"/>
          <w:lang w:val="en-US"/>
        </w:rPr>
        <w:t>Where,</w:t>
      </w:r>
      <w:r w:rsidR="00870929" w:rsidRPr="00EF52D0">
        <w:rPr>
          <w:rFonts w:cstheme="minorHAnsi"/>
          <w:lang w:val="en-US"/>
        </w:rPr>
        <w:t xml:space="preserve"> </w:t>
      </w:r>
      <w:r w:rsidR="00432E67" w:rsidRPr="00EF52D0">
        <w:rPr>
          <w:rFonts w:cstheme="minorHAnsi"/>
          <w:lang w:val="en-US"/>
        </w:rPr>
        <w:t>Ai</w:t>
      </w:r>
      <w:r w:rsidRPr="00EF52D0">
        <w:rPr>
          <w:rFonts w:cstheme="minorHAnsi"/>
          <w:lang w:val="en-US"/>
        </w:rPr>
        <w:t xml:space="preserve"> is the </w:t>
      </w:r>
      <w:r w:rsidR="00432E67" w:rsidRPr="00EF52D0">
        <w:rPr>
          <w:rFonts w:cstheme="minorHAnsi"/>
          <w:lang w:val="en-US"/>
        </w:rPr>
        <w:t xml:space="preserve">TTC </w:t>
      </w:r>
      <w:r w:rsidR="00653A11" w:rsidRPr="00EF52D0">
        <w:rPr>
          <w:rFonts w:cstheme="minorHAnsi"/>
          <w:lang w:val="en-US"/>
        </w:rPr>
        <w:t>value</w:t>
      </w:r>
      <w:r w:rsidR="00432E67" w:rsidRPr="00EF52D0">
        <w:rPr>
          <w:rFonts w:cstheme="minorHAnsi"/>
          <w:lang w:val="en-US"/>
        </w:rPr>
        <w:t xml:space="preserve"> in the </w:t>
      </w:r>
      <w:r w:rsidR="003560B4" w:rsidRPr="00EF52D0">
        <w:rPr>
          <w:rFonts w:cstheme="minorHAnsi"/>
          <w:lang w:val="en-US"/>
        </w:rPr>
        <w:t xml:space="preserve">starting </w:t>
      </w:r>
      <w:r w:rsidR="00E36AB7" w:rsidRPr="00EF52D0">
        <w:rPr>
          <w:rFonts w:cstheme="minorHAnsi"/>
          <w:lang w:val="en-US"/>
        </w:rPr>
        <w:t xml:space="preserve">UHP-SFE </w:t>
      </w:r>
      <w:r w:rsidR="00432E67" w:rsidRPr="00EF52D0">
        <w:rPr>
          <w:rFonts w:cstheme="minorHAnsi"/>
          <w:lang w:val="en-US"/>
        </w:rPr>
        <w:t>extract</w:t>
      </w:r>
      <w:r w:rsidRPr="00EF52D0">
        <w:rPr>
          <w:rFonts w:cstheme="minorHAnsi"/>
          <w:lang w:val="en-US"/>
        </w:rPr>
        <w:t xml:space="preserve">, and </w:t>
      </w:r>
      <w:proofErr w:type="spellStart"/>
      <w:r w:rsidR="00432E67" w:rsidRPr="00EF52D0">
        <w:rPr>
          <w:rFonts w:cstheme="minorHAnsi"/>
          <w:lang w:val="en-US"/>
        </w:rPr>
        <w:t>Af</w:t>
      </w:r>
      <w:proofErr w:type="spellEnd"/>
      <w:r w:rsidRPr="00EF52D0">
        <w:rPr>
          <w:rFonts w:cstheme="minorHAnsi"/>
          <w:lang w:val="en-US"/>
        </w:rPr>
        <w:t xml:space="preserve"> is the</w:t>
      </w:r>
      <w:r w:rsidR="00432E67" w:rsidRPr="00EF52D0">
        <w:rPr>
          <w:rFonts w:cstheme="minorHAnsi"/>
          <w:lang w:val="en-US"/>
        </w:rPr>
        <w:t xml:space="preserve"> TTC </w:t>
      </w:r>
      <w:r w:rsidR="00653A11" w:rsidRPr="00EF52D0">
        <w:rPr>
          <w:rFonts w:cstheme="minorHAnsi"/>
          <w:lang w:val="en-US"/>
        </w:rPr>
        <w:t>value</w:t>
      </w:r>
      <w:r w:rsidR="00432E67" w:rsidRPr="00EF52D0">
        <w:rPr>
          <w:rFonts w:cstheme="minorHAnsi"/>
          <w:lang w:val="en-US"/>
        </w:rPr>
        <w:t xml:space="preserve"> in the encapsulate</w:t>
      </w:r>
      <w:r w:rsidR="00E36AB7" w:rsidRPr="00EF52D0">
        <w:rPr>
          <w:rFonts w:cstheme="minorHAnsi"/>
          <w:lang w:val="en-US"/>
        </w:rPr>
        <w:t>d extract</w:t>
      </w:r>
      <w:r w:rsidR="00432E67" w:rsidRPr="00EF52D0">
        <w:rPr>
          <w:rFonts w:cstheme="minorHAnsi"/>
          <w:lang w:val="en-US"/>
        </w:rPr>
        <w:t>.</w:t>
      </w:r>
    </w:p>
    <w:p w14:paraId="0DB7D17B" w14:textId="23FFADB8" w:rsidR="002A50CB" w:rsidRPr="00EF52D0" w:rsidRDefault="002A50CB" w:rsidP="002A50CB">
      <w:pPr>
        <w:spacing w:line="480" w:lineRule="auto"/>
        <w:ind w:firstLine="0"/>
        <w:rPr>
          <w:rFonts w:asciiTheme="minorHAnsi" w:eastAsiaTheme="minorEastAsia" w:hAnsiTheme="minorHAnsi" w:cstheme="minorHAnsi"/>
          <w:sz w:val="22"/>
        </w:rPr>
      </w:pPr>
      <w:r w:rsidRPr="00EF52D0">
        <w:rPr>
          <w:rFonts w:asciiTheme="minorHAnsi" w:eastAsiaTheme="minorEastAsia" w:hAnsiTheme="minorHAnsi" w:cstheme="minorHAnsi"/>
          <w:sz w:val="22"/>
        </w:rPr>
        <w:t>The values of the TTC evaluation are expressed as mg-eq limonene g</w:t>
      </w:r>
      <w:r w:rsidRPr="00EF52D0">
        <w:rPr>
          <w:rFonts w:asciiTheme="minorHAnsi" w:eastAsiaTheme="minorEastAsia" w:hAnsiTheme="minorHAnsi" w:cstheme="minorHAnsi"/>
          <w:sz w:val="22"/>
          <w:vertAlign w:val="superscript"/>
        </w:rPr>
        <w:t>-1</w:t>
      </w:r>
      <w:r w:rsidRPr="00EF52D0">
        <w:rPr>
          <w:rFonts w:asciiTheme="minorHAnsi" w:eastAsiaTheme="minorEastAsia" w:hAnsiTheme="minorHAnsi" w:cstheme="minorHAnsi"/>
          <w:sz w:val="22"/>
        </w:rPr>
        <w:t xml:space="preserve"> extract because a monoterpene is used as standard (limonene). However, the main terpenes present in the </w:t>
      </w:r>
      <w:r w:rsidRPr="00EF52D0">
        <w:rPr>
          <w:rFonts w:asciiTheme="minorHAnsi" w:eastAsiaTheme="minorEastAsia" w:hAnsiTheme="minorHAnsi" w:cstheme="minorHAnsi"/>
          <w:i/>
          <w:iCs/>
          <w:sz w:val="22"/>
        </w:rPr>
        <w:t>D. salina</w:t>
      </w:r>
      <w:r w:rsidRPr="00EF52D0">
        <w:rPr>
          <w:rFonts w:asciiTheme="minorHAnsi" w:eastAsiaTheme="minorEastAsia" w:hAnsiTheme="minorHAnsi" w:cstheme="minorHAnsi"/>
          <w:sz w:val="22"/>
        </w:rPr>
        <w:t xml:space="preserve"> extracts were carotenoids, which are tetraterpenes. Since the TCC protocol consists of a hydrolysis of all the terpenes till monoterpenes, tetraterpenes contain four isoprene units, which means that the value for each tetraterpenes is four times the monoterpene. For this reason, the results of TCC in most cases are higher than 1000 mg mg-eq limonene g</w:t>
      </w:r>
      <w:r w:rsidRPr="00EF52D0">
        <w:rPr>
          <w:rFonts w:asciiTheme="minorHAnsi" w:eastAsiaTheme="minorEastAsia" w:hAnsiTheme="minorHAnsi" w:cstheme="minorHAnsi"/>
          <w:sz w:val="22"/>
          <w:vertAlign w:val="superscript"/>
        </w:rPr>
        <w:t>-1</w:t>
      </w:r>
      <w:r w:rsidRPr="00EF52D0">
        <w:rPr>
          <w:rFonts w:asciiTheme="minorHAnsi" w:eastAsiaTheme="minorEastAsia" w:hAnsiTheme="minorHAnsi" w:cstheme="minorHAnsi"/>
          <w:sz w:val="22"/>
        </w:rPr>
        <w:t>.</w:t>
      </w:r>
    </w:p>
    <w:p w14:paraId="57E183EE" w14:textId="77777777" w:rsidR="002A50CB" w:rsidRPr="00EF52D0" w:rsidRDefault="002A50CB" w:rsidP="002A50CB">
      <w:pPr>
        <w:spacing w:line="480" w:lineRule="auto"/>
        <w:ind w:firstLine="0"/>
        <w:rPr>
          <w:rFonts w:asciiTheme="minorHAnsi" w:hAnsiTheme="minorHAnsi" w:cstheme="minorHAnsi"/>
          <w:b/>
          <w:sz w:val="22"/>
        </w:rPr>
      </w:pPr>
      <w:r w:rsidRPr="00EF52D0">
        <w:rPr>
          <w:rFonts w:asciiTheme="minorHAnsi" w:hAnsiTheme="minorHAnsi" w:cstheme="minorHAnsi"/>
          <w:b/>
          <w:sz w:val="22"/>
        </w:rPr>
        <w:t xml:space="preserve">S3. Encapsulation efficiency of the total carotenoid content </w:t>
      </w:r>
    </w:p>
    <w:p w14:paraId="08EAE887" w14:textId="140F72FE" w:rsidR="002A50CB" w:rsidRPr="00EF52D0" w:rsidRDefault="00C75D74" w:rsidP="002A50CB">
      <w:pPr>
        <w:spacing w:line="480" w:lineRule="auto"/>
        <w:ind w:firstLine="0"/>
        <w:rPr>
          <w:rFonts w:asciiTheme="minorHAnsi" w:hAnsiTheme="minorHAnsi" w:cstheme="minorHAnsi"/>
          <w:sz w:val="22"/>
        </w:rPr>
      </w:pPr>
      <w:r w:rsidRPr="00EF52D0">
        <w:rPr>
          <w:rFonts w:asciiTheme="minorHAnsi" w:hAnsiTheme="minorHAnsi" w:cstheme="minorHAnsi"/>
          <w:sz w:val="22"/>
        </w:rPr>
        <w:lastRenderedPageBreak/>
        <w:t>The TCC encapsulation efficiency was calculated by Equation SM</w:t>
      </w:r>
      <w:r w:rsidR="00077EEE" w:rsidRPr="00EF52D0">
        <w:rPr>
          <w:rFonts w:asciiTheme="minorHAnsi" w:hAnsiTheme="minorHAnsi" w:cstheme="minorHAnsi"/>
          <w:sz w:val="22"/>
        </w:rPr>
        <w:t>2.</w:t>
      </w:r>
    </w:p>
    <w:p w14:paraId="2C588808" w14:textId="0D06AB64" w:rsidR="00B66C3D" w:rsidRPr="00EF52D0" w:rsidRDefault="00A14D29" w:rsidP="009D7D49">
      <w:pPr>
        <w:pStyle w:val="Bibliografa"/>
        <w:spacing w:line="480" w:lineRule="auto"/>
        <w:ind w:left="0" w:firstLine="0"/>
        <w:jc w:val="both"/>
        <w:rPr>
          <w:rFonts w:cstheme="minorHAnsi"/>
          <w:lang w:val="en-US"/>
        </w:rPr>
      </w:pPr>
      <m:oMath>
        <m:r>
          <m:rPr>
            <m:sty m:val="p"/>
          </m:rPr>
          <w:rPr>
            <w:rFonts w:ascii="Cambria Math" w:hAnsi="Cambria Math" w:cstheme="minorHAnsi"/>
            <w:lang w:val="en-US"/>
          </w:rPr>
          <m:t>EE</m:t>
        </m:r>
        <m:r>
          <m:rPr>
            <m:nor/>
          </m:rPr>
          <w:rPr>
            <w:rFonts w:cstheme="minorHAnsi"/>
            <w:lang w:val="en-US"/>
          </w:rPr>
          <m:t>TCC</m:t>
        </m:r>
        <m:r>
          <m:rPr>
            <m:sty m:val="p"/>
          </m:rPr>
          <w:rPr>
            <w:rFonts w:ascii="Cambria Math" w:hAnsi="Cambria Math" w:cstheme="minorHAnsi"/>
            <w:lang w:val="en-US"/>
          </w:rPr>
          <m:t xml:space="preserve"> </m:t>
        </m:r>
        <m:d>
          <m:dPr>
            <m:ctrlPr>
              <w:rPr>
                <w:rFonts w:ascii="Cambria Math" w:hAnsi="Cambria Math" w:cstheme="minorHAnsi"/>
              </w:rPr>
            </m:ctrlPr>
          </m:dPr>
          <m:e>
            <m:r>
              <m:rPr>
                <m:sty m:val="p"/>
              </m:rPr>
              <w:rPr>
                <w:rFonts w:ascii="Cambria Math" w:hAnsi="Cambria Math" w:cstheme="minorHAnsi"/>
                <w:lang w:val="en-US"/>
              </w:rPr>
              <m:t>%</m:t>
            </m:r>
          </m:e>
        </m:d>
        <m:r>
          <m:rPr>
            <m:sty m:val="p"/>
          </m:rPr>
          <w:rPr>
            <w:rFonts w:ascii="Cambria Math" w:hAnsi="Cambria Math" w:cstheme="minorHAnsi"/>
            <w:lang w:val="en-US"/>
          </w:rPr>
          <m:t>=1-</m:t>
        </m:r>
        <m:f>
          <m:fPr>
            <m:ctrlPr>
              <w:rPr>
                <w:rFonts w:ascii="Cambria Math" w:hAnsi="Cambria Math" w:cstheme="minorHAnsi"/>
              </w:rPr>
            </m:ctrlPr>
          </m:fPr>
          <m:num>
            <m:r>
              <m:rPr>
                <m:sty m:val="p"/>
              </m:rPr>
              <w:rPr>
                <w:rFonts w:ascii="Cambria Math" w:hAnsi="Cambria Math" w:cstheme="minorHAnsi"/>
                <w:lang w:val="en-US"/>
              </w:rPr>
              <m:t xml:space="preserve">TC extract-TC encapsultation </m:t>
            </m:r>
          </m:num>
          <m:den>
            <m:r>
              <w:rPr>
                <w:rFonts w:ascii="Cambria Math" w:hAnsi="Cambria Math" w:cstheme="minorHAnsi"/>
              </w:rPr>
              <m:t>TC</m:t>
            </m:r>
            <m:r>
              <m:rPr>
                <m:sty m:val="p"/>
              </m:rPr>
              <w:rPr>
                <w:rFonts w:ascii="Cambria Math" w:hAnsi="Cambria Math" w:cstheme="minorHAnsi"/>
                <w:lang w:val="en-US"/>
              </w:rPr>
              <m:t xml:space="preserve"> </m:t>
            </m:r>
            <m:r>
              <w:rPr>
                <w:rFonts w:ascii="Cambria Math" w:hAnsi="Cambria Math" w:cstheme="minorHAnsi"/>
              </w:rPr>
              <m:t>extract</m:t>
            </m:r>
          </m:den>
        </m:f>
        <m:r>
          <m:rPr>
            <m:sty m:val="p"/>
          </m:rPr>
          <w:rPr>
            <w:rFonts w:ascii="Cambria Math" w:hAnsi="Cambria Math" w:cstheme="minorHAnsi"/>
            <w:lang w:val="en-US"/>
          </w:rPr>
          <m:t>·100%</m:t>
        </m:r>
      </m:oMath>
      <w:r w:rsidRPr="00EF52D0">
        <w:rPr>
          <w:rFonts w:cstheme="minorHAnsi"/>
          <w:lang w:val="en-US"/>
        </w:rPr>
        <w:t xml:space="preserve"> </w:t>
      </w:r>
      <w:r w:rsidRPr="00EF52D0">
        <w:rPr>
          <w:rFonts w:cstheme="minorHAnsi"/>
          <w:lang w:val="en-US"/>
        </w:rPr>
        <w:tab/>
      </w:r>
      <w:r w:rsidRPr="00EF52D0">
        <w:rPr>
          <w:rFonts w:cstheme="minorHAnsi"/>
          <w:lang w:val="en-US"/>
        </w:rPr>
        <w:tab/>
        <w:t>(</w:t>
      </w:r>
      <w:r w:rsidR="00C75D74" w:rsidRPr="00EF52D0">
        <w:rPr>
          <w:rFonts w:cstheme="minorHAnsi"/>
          <w:lang w:val="en-US"/>
        </w:rPr>
        <w:t>E</w:t>
      </w:r>
      <w:r w:rsidRPr="00EF52D0">
        <w:rPr>
          <w:rFonts w:cstheme="minorHAnsi"/>
          <w:lang w:val="en-US"/>
        </w:rPr>
        <w:t xml:space="preserve">quation </w:t>
      </w:r>
      <w:r w:rsidR="00C75D74" w:rsidRPr="00EF52D0">
        <w:rPr>
          <w:rFonts w:cstheme="minorHAnsi"/>
          <w:lang w:val="en-US"/>
        </w:rPr>
        <w:t>SM</w:t>
      </w:r>
      <w:r w:rsidR="00077EEE" w:rsidRPr="00EF52D0">
        <w:rPr>
          <w:rFonts w:cstheme="minorHAnsi"/>
          <w:lang w:val="en-US"/>
        </w:rPr>
        <w:t>2</w:t>
      </w:r>
      <w:r w:rsidRPr="00EF52D0">
        <w:rPr>
          <w:rFonts w:cstheme="minorHAnsi"/>
          <w:lang w:val="en-US"/>
        </w:rPr>
        <w:t>)</w:t>
      </w:r>
    </w:p>
    <w:p w14:paraId="0E3B0772" w14:textId="77777777" w:rsidR="00EF52D0" w:rsidRPr="00EF52D0" w:rsidRDefault="00EF52D0" w:rsidP="00EF52D0">
      <w:pPr>
        <w:rPr>
          <w:rFonts w:asciiTheme="minorHAnsi" w:hAnsiTheme="minorHAnsi" w:cstheme="minorHAnsi"/>
          <w:sz w:val="22"/>
          <w:lang w:eastAsia="es-ES"/>
        </w:rPr>
      </w:pPr>
    </w:p>
    <w:p w14:paraId="31386069" w14:textId="1E5A78F0" w:rsidR="00805C60" w:rsidRDefault="00805C60" w:rsidP="00EF52D0">
      <w:pPr>
        <w:spacing w:line="480" w:lineRule="auto"/>
        <w:ind w:firstLine="0"/>
        <w:rPr>
          <w:rFonts w:asciiTheme="minorHAnsi" w:hAnsiTheme="minorHAnsi" w:cstheme="minorHAnsi"/>
          <w:b/>
          <w:bCs/>
          <w:sz w:val="22"/>
        </w:rPr>
      </w:pPr>
      <w:r>
        <w:rPr>
          <w:rFonts w:asciiTheme="minorHAnsi" w:hAnsiTheme="minorHAnsi" w:cstheme="minorHAnsi"/>
          <w:b/>
          <w:bCs/>
          <w:sz w:val="22"/>
        </w:rPr>
        <w:t>S4. GC-MS analysis</w:t>
      </w:r>
    </w:p>
    <w:p w14:paraId="1D11B40E" w14:textId="77777777" w:rsidR="00805C60" w:rsidRPr="00EF52D0" w:rsidRDefault="00805C60" w:rsidP="00805C60">
      <w:pPr>
        <w:spacing w:line="480" w:lineRule="auto"/>
        <w:ind w:firstLine="0"/>
        <w:rPr>
          <w:rFonts w:asciiTheme="minorHAnsi" w:hAnsiTheme="minorHAnsi" w:cstheme="minorHAnsi"/>
          <w:sz w:val="22"/>
        </w:rPr>
      </w:pPr>
      <w:bookmarkStart w:id="1" w:name="_Hlk133774952"/>
      <w:bookmarkStart w:id="2" w:name="_Hlk134107657"/>
      <w:r w:rsidRPr="00EF52D0">
        <w:rPr>
          <w:rFonts w:asciiTheme="minorHAnsi" w:eastAsiaTheme="minorEastAsia" w:hAnsiTheme="minorHAnsi" w:cstheme="minorHAnsi"/>
          <w:sz w:val="22"/>
        </w:rPr>
        <w:t xml:space="preserve">GC-MS analyses were performed using a QP2010 Plus system (Shimadzu Corporation, Kyoto, Japan) with a GC column </w:t>
      </w:r>
      <w:proofErr w:type="spellStart"/>
      <w:r w:rsidRPr="00EF52D0">
        <w:rPr>
          <w:rFonts w:asciiTheme="minorHAnsi" w:eastAsiaTheme="minorEastAsia" w:hAnsiTheme="minorHAnsi" w:cstheme="minorHAnsi"/>
          <w:sz w:val="22"/>
        </w:rPr>
        <w:t>Zebrom</w:t>
      </w:r>
      <w:proofErr w:type="spellEnd"/>
      <w:r w:rsidRPr="00EF52D0">
        <w:rPr>
          <w:rFonts w:asciiTheme="minorHAnsi" w:eastAsiaTheme="minorEastAsia" w:hAnsiTheme="minorHAnsi" w:cstheme="minorHAnsi"/>
          <w:sz w:val="22"/>
        </w:rPr>
        <w:t xml:space="preserve"> ZB-5Plus (30 m × 250 </w:t>
      </w:r>
      <w:proofErr w:type="spellStart"/>
      <w:r w:rsidRPr="00EF52D0">
        <w:rPr>
          <w:rFonts w:asciiTheme="minorHAnsi" w:eastAsiaTheme="minorEastAsia" w:hAnsiTheme="minorHAnsi" w:cstheme="minorHAnsi"/>
          <w:sz w:val="22"/>
        </w:rPr>
        <w:t>μm</w:t>
      </w:r>
      <w:proofErr w:type="spellEnd"/>
      <w:r w:rsidRPr="00EF52D0">
        <w:rPr>
          <w:rFonts w:asciiTheme="minorHAnsi" w:eastAsiaTheme="minorEastAsia" w:hAnsiTheme="minorHAnsi" w:cstheme="minorHAnsi"/>
          <w:sz w:val="22"/>
        </w:rPr>
        <w:t xml:space="preserve"> </w:t>
      </w:r>
      <w:proofErr w:type="spellStart"/>
      <w:r w:rsidRPr="00EF52D0">
        <w:rPr>
          <w:rFonts w:asciiTheme="minorHAnsi" w:eastAsiaTheme="minorEastAsia" w:hAnsiTheme="minorHAnsi" w:cstheme="minorHAnsi"/>
          <w:sz w:val="22"/>
        </w:rPr>
        <w:t>i.D</w:t>
      </w:r>
      <w:proofErr w:type="spellEnd"/>
      <w:r w:rsidRPr="00EF52D0">
        <w:rPr>
          <w:rFonts w:asciiTheme="minorHAnsi" w:eastAsiaTheme="minorEastAsia" w:hAnsiTheme="minorHAnsi" w:cstheme="minorHAnsi"/>
          <w:sz w:val="22"/>
        </w:rPr>
        <w:t xml:space="preserve"> × 0.25 </w:t>
      </w:r>
      <w:proofErr w:type="spellStart"/>
      <w:r w:rsidRPr="00EF52D0">
        <w:rPr>
          <w:rFonts w:asciiTheme="minorHAnsi" w:eastAsiaTheme="minorEastAsia" w:hAnsiTheme="minorHAnsi" w:cstheme="minorHAnsi"/>
          <w:sz w:val="22"/>
        </w:rPr>
        <w:t>μm</w:t>
      </w:r>
      <w:proofErr w:type="spellEnd"/>
      <w:r w:rsidRPr="00EF52D0">
        <w:rPr>
          <w:rFonts w:asciiTheme="minorHAnsi" w:eastAsiaTheme="minorEastAsia" w:hAnsiTheme="minorHAnsi" w:cstheme="minorHAnsi"/>
          <w:sz w:val="22"/>
        </w:rPr>
        <w:t>) (Phenomenex, Torrance, CA). Helium was used as carrier gas with a linear velocity of 32.5 cm s</w:t>
      </w:r>
      <w:r w:rsidRPr="00EF52D0">
        <w:rPr>
          <w:rFonts w:asciiTheme="minorHAnsi" w:eastAsiaTheme="minorEastAsia" w:hAnsiTheme="minorHAnsi" w:cstheme="minorHAnsi"/>
          <w:sz w:val="22"/>
          <w:vertAlign w:val="superscript"/>
        </w:rPr>
        <w:t>-1</w:t>
      </w:r>
      <w:r w:rsidRPr="00EF52D0">
        <w:rPr>
          <w:rFonts w:asciiTheme="minorHAnsi" w:eastAsiaTheme="minorEastAsia" w:hAnsiTheme="minorHAnsi" w:cstheme="minorHAnsi"/>
          <w:sz w:val="22"/>
        </w:rPr>
        <w:t>. The</w:t>
      </w:r>
      <w:r w:rsidRPr="00EF52D0">
        <w:rPr>
          <w:rFonts w:asciiTheme="minorHAnsi" w:hAnsiTheme="minorHAnsi" w:cstheme="minorHAnsi"/>
          <w:sz w:val="22"/>
        </w:rPr>
        <w:t xml:space="preserve"> injection was performed at 250 </w:t>
      </w:r>
      <w:r w:rsidRPr="00A129F7">
        <w:rPr>
          <w:rFonts w:ascii="Times New Roman" w:hAnsi="Times New Roman" w:cs="Times New Roman"/>
          <w:sz w:val="22"/>
        </w:rPr>
        <w:t>º</w:t>
      </w:r>
      <w:r w:rsidRPr="00EF52D0">
        <w:rPr>
          <w:rFonts w:asciiTheme="minorHAnsi" w:hAnsiTheme="minorHAnsi" w:cstheme="minorHAnsi"/>
          <w:sz w:val="22"/>
        </w:rPr>
        <w:t>C with a sample time of 1.5 min with an injection volume was 1 µL in split mode.</w:t>
      </w:r>
      <w:bookmarkEnd w:id="1"/>
      <w:r w:rsidRPr="00EF52D0">
        <w:rPr>
          <w:rFonts w:asciiTheme="minorHAnsi" w:hAnsiTheme="minorHAnsi" w:cstheme="minorHAnsi"/>
          <w:sz w:val="22"/>
        </w:rPr>
        <w:t xml:space="preserve"> </w:t>
      </w:r>
      <w:bookmarkEnd w:id="2"/>
      <w:r w:rsidRPr="00EF52D0">
        <w:rPr>
          <w:rFonts w:asciiTheme="minorHAnsi" w:hAnsiTheme="minorHAnsi" w:cstheme="minorHAnsi"/>
          <w:sz w:val="22"/>
        </w:rPr>
        <w:t xml:space="preserve">The column temperature gradient started at 45 </w:t>
      </w:r>
      <w:r w:rsidRPr="00A129F7">
        <w:rPr>
          <w:rFonts w:ascii="Times New Roman" w:hAnsi="Times New Roman" w:cs="Times New Roman"/>
          <w:sz w:val="22"/>
        </w:rPr>
        <w:t>º</w:t>
      </w:r>
      <w:r w:rsidRPr="00EF52D0">
        <w:rPr>
          <w:rFonts w:asciiTheme="minorHAnsi" w:hAnsiTheme="minorHAnsi" w:cstheme="minorHAnsi"/>
          <w:sz w:val="22"/>
        </w:rPr>
        <w:t xml:space="preserve">C for 1 min; then, it increased at a rate of 10 </w:t>
      </w:r>
      <w:r w:rsidRPr="00A129F7">
        <w:rPr>
          <w:rFonts w:ascii="Times New Roman" w:hAnsi="Times New Roman" w:cs="Times New Roman"/>
          <w:sz w:val="22"/>
        </w:rPr>
        <w:t>º</w:t>
      </w:r>
      <w:r w:rsidRPr="00EF52D0">
        <w:rPr>
          <w:rFonts w:asciiTheme="minorHAnsi" w:hAnsiTheme="minorHAnsi" w:cstheme="minorHAnsi"/>
          <w:sz w:val="22"/>
        </w:rPr>
        <w:t>C min</w:t>
      </w:r>
      <w:r w:rsidRPr="00EF52D0">
        <w:rPr>
          <w:rFonts w:asciiTheme="minorHAnsi" w:hAnsiTheme="minorHAnsi" w:cstheme="minorHAnsi"/>
          <w:sz w:val="22"/>
          <w:vertAlign w:val="superscript"/>
        </w:rPr>
        <w:t>-1</w:t>
      </w:r>
      <w:r w:rsidRPr="00EF52D0">
        <w:rPr>
          <w:rFonts w:asciiTheme="minorHAnsi" w:hAnsiTheme="minorHAnsi" w:cstheme="minorHAnsi"/>
          <w:sz w:val="22"/>
        </w:rPr>
        <w:t xml:space="preserve"> to 290 </w:t>
      </w:r>
      <w:r w:rsidRPr="00A129F7">
        <w:rPr>
          <w:rFonts w:ascii="Times New Roman" w:hAnsi="Times New Roman" w:cs="Times New Roman"/>
          <w:sz w:val="22"/>
        </w:rPr>
        <w:t>º</w:t>
      </w:r>
      <w:r w:rsidRPr="00EF52D0">
        <w:rPr>
          <w:rFonts w:asciiTheme="minorHAnsi" w:hAnsiTheme="minorHAnsi" w:cstheme="minorHAnsi"/>
          <w:sz w:val="22"/>
        </w:rPr>
        <w:t xml:space="preserve">C followed by an increase up to 325 </w:t>
      </w:r>
      <w:r w:rsidRPr="00A129F7">
        <w:rPr>
          <w:rFonts w:ascii="Times New Roman" w:hAnsi="Times New Roman" w:cs="Times New Roman"/>
          <w:sz w:val="22"/>
        </w:rPr>
        <w:t>º</w:t>
      </w:r>
      <w:r w:rsidRPr="00EF52D0">
        <w:rPr>
          <w:rFonts w:asciiTheme="minorHAnsi" w:hAnsiTheme="minorHAnsi" w:cstheme="minorHAnsi"/>
          <w:sz w:val="22"/>
        </w:rPr>
        <w:t xml:space="preserve">C at 5 </w:t>
      </w:r>
      <w:r w:rsidRPr="00A129F7">
        <w:rPr>
          <w:rFonts w:ascii="Times New Roman" w:hAnsi="Times New Roman" w:cs="Times New Roman"/>
          <w:sz w:val="22"/>
        </w:rPr>
        <w:t>º</w:t>
      </w:r>
      <w:r w:rsidRPr="00EF52D0">
        <w:rPr>
          <w:rFonts w:asciiTheme="minorHAnsi" w:hAnsiTheme="minorHAnsi" w:cstheme="minorHAnsi"/>
          <w:sz w:val="22"/>
        </w:rPr>
        <w:t>C min</w:t>
      </w:r>
      <w:r w:rsidRPr="00EF52D0">
        <w:rPr>
          <w:rFonts w:asciiTheme="minorHAnsi" w:hAnsiTheme="minorHAnsi" w:cstheme="minorHAnsi"/>
          <w:sz w:val="22"/>
          <w:vertAlign w:val="superscript"/>
        </w:rPr>
        <w:t>-1</w:t>
      </w:r>
      <w:r w:rsidRPr="00EF52D0">
        <w:rPr>
          <w:rFonts w:asciiTheme="minorHAnsi" w:hAnsiTheme="minorHAnsi" w:cstheme="minorHAnsi"/>
          <w:sz w:val="22"/>
        </w:rPr>
        <w:t xml:space="preserve"> and this temperature was held for 10 min. The MS detector operated using an electronic impact source at a temperature of 250 </w:t>
      </w:r>
      <w:r w:rsidRPr="00A129F7">
        <w:rPr>
          <w:rFonts w:ascii="Times New Roman" w:hAnsi="Times New Roman" w:cs="Times New Roman"/>
          <w:sz w:val="22"/>
        </w:rPr>
        <w:t>º</w:t>
      </w:r>
      <w:r w:rsidRPr="00EF52D0">
        <w:rPr>
          <w:rFonts w:asciiTheme="minorHAnsi" w:hAnsiTheme="minorHAnsi" w:cstheme="minorHAnsi"/>
          <w:sz w:val="22"/>
        </w:rPr>
        <w:t xml:space="preserve">C and an interface temperature of 335 </w:t>
      </w:r>
      <w:r w:rsidRPr="00A129F7">
        <w:rPr>
          <w:rFonts w:ascii="Times New Roman" w:hAnsi="Times New Roman" w:cs="Times New Roman"/>
          <w:sz w:val="22"/>
        </w:rPr>
        <w:t>º</w:t>
      </w:r>
      <w:r w:rsidRPr="00EF52D0">
        <w:rPr>
          <w:rFonts w:asciiTheme="minorHAnsi" w:hAnsiTheme="minorHAnsi" w:cstheme="minorHAnsi"/>
          <w:sz w:val="22"/>
        </w:rPr>
        <w:t>C was employed. The MS detector was operated in full-scan acquisition mode using a scan speed of 1428 amu s</w:t>
      </w:r>
      <w:r w:rsidRPr="00EF52D0">
        <w:rPr>
          <w:rFonts w:asciiTheme="minorHAnsi" w:hAnsiTheme="minorHAnsi" w:cstheme="minorHAnsi"/>
          <w:sz w:val="22"/>
          <w:vertAlign w:val="superscript"/>
        </w:rPr>
        <w:t>-1</w:t>
      </w:r>
      <w:r w:rsidRPr="00EF52D0">
        <w:rPr>
          <w:rFonts w:asciiTheme="minorHAnsi" w:hAnsiTheme="minorHAnsi" w:cstheme="minorHAnsi"/>
          <w:sz w:val="22"/>
        </w:rPr>
        <w:t xml:space="preserve"> at an </w:t>
      </w:r>
      <w:r w:rsidRPr="00EF52D0">
        <w:rPr>
          <w:rFonts w:asciiTheme="minorHAnsi" w:hAnsiTheme="minorHAnsi" w:cstheme="minorHAnsi"/>
          <w:i/>
          <w:sz w:val="22"/>
        </w:rPr>
        <w:t>m/z</w:t>
      </w:r>
      <w:r w:rsidRPr="00EF52D0">
        <w:rPr>
          <w:rFonts w:asciiTheme="minorHAnsi" w:hAnsiTheme="minorHAnsi" w:cstheme="minorHAnsi"/>
          <w:sz w:val="22"/>
        </w:rPr>
        <w:t xml:space="preserve"> range of 50-600 Da (5 spectra per second). The compounds were tentatively identified by systematic mass spectra deconvolution and search in the MS database, using the Shimadzu Mass Hunter Analysis tool (Mass Spectral Libraries and Database), and the Human Metabolome </w:t>
      </w:r>
      <w:proofErr w:type="spellStart"/>
      <w:r w:rsidRPr="00EF52D0">
        <w:rPr>
          <w:rFonts w:asciiTheme="minorHAnsi" w:hAnsiTheme="minorHAnsi" w:cstheme="minorHAnsi"/>
          <w:sz w:val="22"/>
        </w:rPr>
        <w:t>DataBase</w:t>
      </w:r>
      <w:proofErr w:type="spellEnd"/>
      <w:r w:rsidRPr="00EF52D0">
        <w:rPr>
          <w:rFonts w:asciiTheme="minorHAnsi" w:hAnsiTheme="minorHAnsi" w:cstheme="minorHAnsi"/>
          <w:sz w:val="22"/>
        </w:rPr>
        <w:t xml:space="preserve"> (HMDB) GC spectra search Mass Spectrum (HMDB version 5.0). The samples were prepared in ethanol. The encapsulated fraction samples were prepared 10 times more concentrated than the starting extract to maintain the real compound proportions after the encapsulation. The comparison between samples was performed in terms of relative abundance (peak area). The samples were analyzed in triplicates, determining the encapsulation efficiency of each identified compound using the following formula (equation 2).</w:t>
      </w:r>
    </w:p>
    <w:p w14:paraId="4B35464A" w14:textId="77777777" w:rsidR="00805C60" w:rsidRPr="00EF52D0" w:rsidRDefault="00805C60" w:rsidP="00805C60">
      <w:pPr>
        <w:spacing w:line="480" w:lineRule="auto"/>
        <w:ind w:firstLine="0"/>
        <w:rPr>
          <w:rFonts w:asciiTheme="minorHAnsi" w:eastAsiaTheme="minorEastAsia" w:hAnsiTheme="minorHAnsi" w:cstheme="minorHAnsi"/>
          <w:sz w:val="22"/>
        </w:rPr>
      </w:pPr>
      <m:oMath>
        <m:r>
          <m:rPr>
            <m:sty m:val="p"/>
          </m:rPr>
          <w:rPr>
            <w:rFonts w:ascii="Cambria Math" w:hAnsi="Cambria Math" w:cstheme="minorHAnsi"/>
            <w:sz w:val="22"/>
          </w:rPr>
          <m:t>EE</m:t>
        </m:r>
        <m:r>
          <m:rPr>
            <m:nor/>
          </m:rPr>
          <w:rPr>
            <w:rFonts w:asciiTheme="minorHAnsi" w:hAnsiTheme="minorHAnsi" w:cstheme="minorHAnsi"/>
            <w:sz w:val="22"/>
            <w:vertAlign w:val="subscript"/>
          </w:rPr>
          <m:t>ind,comp</m:t>
        </m:r>
        <m:r>
          <m:rPr>
            <m:sty m:val="p"/>
          </m:rPr>
          <w:rPr>
            <w:rFonts w:ascii="Cambria Math" w:hAnsi="Cambria Math" w:cstheme="minorHAnsi"/>
            <w:sz w:val="22"/>
          </w:rPr>
          <m:t xml:space="preserve"> </m:t>
        </m:r>
        <m:d>
          <m:dPr>
            <m:ctrlPr>
              <w:rPr>
                <w:rFonts w:ascii="Cambria Math" w:hAnsi="Cambria Math" w:cstheme="minorHAnsi"/>
                <w:sz w:val="22"/>
              </w:rPr>
            </m:ctrlPr>
          </m:dPr>
          <m:e>
            <m:r>
              <m:rPr>
                <m:sty m:val="p"/>
              </m:rPr>
              <w:rPr>
                <w:rFonts w:ascii="Cambria Math" w:hAnsi="Cambria Math" w:cstheme="minorHAnsi"/>
                <w:sz w:val="22"/>
              </w:rPr>
              <m:t>%</m:t>
            </m:r>
          </m:e>
        </m:d>
        <m:r>
          <m:rPr>
            <m:sty m:val="p"/>
          </m:rPr>
          <w:rPr>
            <w:rFonts w:ascii="Cambria Math" w:hAnsi="Cambria Math" w:cstheme="minorHAnsi"/>
            <w:sz w:val="22"/>
          </w:rPr>
          <m:t>=1-</m:t>
        </m:r>
        <m:f>
          <m:fPr>
            <m:ctrlPr>
              <w:rPr>
                <w:rFonts w:ascii="Cambria Math" w:hAnsi="Cambria Math" w:cstheme="minorHAnsi"/>
                <w:sz w:val="22"/>
              </w:rPr>
            </m:ctrlPr>
          </m:fPr>
          <m:num>
            <m:sSub>
              <m:sSubPr>
                <m:ctrlPr>
                  <w:rPr>
                    <w:rFonts w:ascii="Cambria Math" w:hAnsi="Cambria Math" w:cstheme="minorHAnsi"/>
                    <w:sz w:val="22"/>
                  </w:rPr>
                </m:ctrlPr>
              </m:sSubPr>
              <m:e>
                <m:r>
                  <m:rPr>
                    <m:sty m:val="p"/>
                  </m:rPr>
                  <w:rPr>
                    <w:rFonts w:ascii="Cambria Math" w:hAnsi="Cambria Math" w:cstheme="minorHAnsi"/>
                    <w:sz w:val="22"/>
                  </w:rPr>
                  <m:t>A</m:t>
                </m:r>
              </m:e>
              <m:sub>
                <m:r>
                  <m:rPr>
                    <m:sty m:val="p"/>
                  </m:rPr>
                  <w:rPr>
                    <w:rFonts w:ascii="Cambria Math" w:hAnsi="Cambria Math" w:cstheme="minorHAnsi"/>
                    <w:sz w:val="22"/>
                  </w:rPr>
                  <m:t>i</m:t>
                </m:r>
              </m:sub>
            </m:sSub>
            <m:r>
              <m:rPr>
                <m:sty m:val="p"/>
              </m:rPr>
              <w:rPr>
                <w:rFonts w:ascii="Cambria Math" w:hAnsi="Cambria Math" w:cstheme="minorHAnsi"/>
                <w:sz w:val="22"/>
              </w:rPr>
              <m:t>-</m:t>
            </m:r>
            <m:sSub>
              <m:sSubPr>
                <m:ctrlPr>
                  <w:rPr>
                    <w:rFonts w:ascii="Cambria Math" w:hAnsi="Cambria Math" w:cstheme="minorHAnsi"/>
                    <w:sz w:val="22"/>
                  </w:rPr>
                </m:ctrlPr>
              </m:sSubPr>
              <m:e>
                <m:r>
                  <m:rPr>
                    <m:sty m:val="p"/>
                  </m:rPr>
                  <w:rPr>
                    <w:rFonts w:ascii="Cambria Math" w:hAnsi="Cambria Math" w:cstheme="minorHAnsi"/>
                    <w:sz w:val="22"/>
                  </w:rPr>
                  <m:t>A</m:t>
                </m:r>
              </m:e>
              <m:sub>
                <m:r>
                  <m:rPr>
                    <m:sty m:val="p"/>
                  </m:rPr>
                  <w:rPr>
                    <w:rFonts w:ascii="Cambria Math" w:hAnsi="Cambria Math" w:cstheme="minorHAnsi"/>
                    <w:sz w:val="22"/>
                  </w:rPr>
                  <m:t>f</m:t>
                </m:r>
              </m:sub>
            </m:sSub>
          </m:num>
          <m:den>
            <m:sSub>
              <m:sSubPr>
                <m:ctrlPr>
                  <w:rPr>
                    <w:rFonts w:ascii="Cambria Math" w:hAnsi="Cambria Math" w:cstheme="minorHAnsi"/>
                    <w:sz w:val="22"/>
                  </w:rPr>
                </m:ctrlPr>
              </m:sSubPr>
              <m:e>
                <m:r>
                  <m:rPr>
                    <m:sty m:val="p"/>
                  </m:rPr>
                  <w:rPr>
                    <w:rFonts w:ascii="Cambria Math" w:hAnsi="Cambria Math" w:cstheme="minorHAnsi"/>
                    <w:sz w:val="22"/>
                  </w:rPr>
                  <m:t>A</m:t>
                </m:r>
              </m:e>
              <m:sub>
                <m:r>
                  <m:rPr>
                    <m:sty m:val="p"/>
                  </m:rPr>
                  <w:rPr>
                    <w:rFonts w:ascii="Cambria Math" w:hAnsi="Cambria Math" w:cstheme="minorHAnsi"/>
                    <w:sz w:val="22"/>
                  </w:rPr>
                  <m:t>i</m:t>
                </m:r>
              </m:sub>
            </m:sSub>
          </m:den>
        </m:f>
        <m:r>
          <m:rPr>
            <m:sty m:val="p"/>
          </m:rPr>
          <w:rPr>
            <w:rFonts w:ascii="Cambria Math" w:hAnsi="Cambria Math" w:cstheme="minorHAnsi"/>
            <w:sz w:val="22"/>
          </w:rPr>
          <m:t>·100%</m:t>
        </m:r>
      </m:oMath>
      <w:r w:rsidRPr="00EF52D0">
        <w:rPr>
          <w:rFonts w:asciiTheme="minorHAnsi" w:eastAsiaTheme="minorEastAsia" w:hAnsiTheme="minorHAnsi" w:cstheme="minorHAnsi"/>
          <w:sz w:val="22"/>
        </w:rPr>
        <w:t xml:space="preserve"> </w:t>
      </w:r>
      <w:r w:rsidRPr="00EF52D0">
        <w:rPr>
          <w:rFonts w:asciiTheme="minorHAnsi" w:eastAsiaTheme="minorEastAsia" w:hAnsiTheme="minorHAnsi" w:cstheme="minorHAnsi"/>
          <w:sz w:val="22"/>
        </w:rPr>
        <w:tab/>
        <w:t>(equation 2)</w:t>
      </w:r>
    </w:p>
    <w:p w14:paraId="55D6707B" w14:textId="77777777" w:rsidR="00805C60" w:rsidRPr="00EF52D0" w:rsidRDefault="00805C60" w:rsidP="00805C60">
      <w:pPr>
        <w:spacing w:line="480" w:lineRule="auto"/>
        <w:ind w:firstLine="0"/>
        <w:rPr>
          <w:rFonts w:asciiTheme="minorHAnsi" w:eastAsiaTheme="minorEastAsia" w:hAnsiTheme="minorHAnsi" w:cstheme="minorHAnsi"/>
          <w:sz w:val="22"/>
        </w:rPr>
      </w:pPr>
      <w:r w:rsidRPr="00EF52D0">
        <w:rPr>
          <w:rFonts w:asciiTheme="minorHAnsi" w:eastAsiaTheme="minorEastAsia" w:hAnsiTheme="minorHAnsi" w:cstheme="minorHAnsi"/>
          <w:sz w:val="22"/>
        </w:rPr>
        <w:lastRenderedPageBreak/>
        <w:t xml:space="preserve">Where, </w:t>
      </w:r>
      <w:proofErr w:type="spellStart"/>
      <w:proofErr w:type="gramStart"/>
      <w:r w:rsidRPr="00EF52D0">
        <w:rPr>
          <w:rFonts w:asciiTheme="minorHAnsi" w:eastAsiaTheme="minorEastAsia" w:hAnsiTheme="minorHAnsi" w:cstheme="minorHAnsi"/>
          <w:sz w:val="22"/>
        </w:rPr>
        <w:t>EE</w:t>
      </w:r>
      <w:r w:rsidRPr="00EF52D0">
        <w:rPr>
          <w:rFonts w:asciiTheme="minorHAnsi" w:eastAsiaTheme="minorEastAsia" w:hAnsiTheme="minorHAnsi" w:cstheme="minorHAnsi"/>
          <w:sz w:val="22"/>
          <w:vertAlign w:val="subscript"/>
        </w:rPr>
        <w:t>ind,comp</w:t>
      </w:r>
      <w:proofErr w:type="spellEnd"/>
      <w:proofErr w:type="gramEnd"/>
      <w:r w:rsidRPr="00EF52D0">
        <w:rPr>
          <w:rFonts w:asciiTheme="minorHAnsi" w:eastAsiaTheme="minorEastAsia" w:hAnsiTheme="minorHAnsi" w:cstheme="minorHAnsi"/>
          <w:sz w:val="22"/>
        </w:rPr>
        <w:t xml:space="preserve"> is the encapsulation efficiency of each individual compound present, A</w:t>
      </w:r>
      <w:r w:rsidRPr="00EF52D0">
        <w:rPr>
          <w:rFonts w:asciiTheme="minorHAnsi" w:eastAsiaTheme="minorEastAsia" w:hAnsiTheme="minorHAnsi" w:cstheme="minorHAnsi"/>
          <w:sz w:val="22"/>
          <w:vertAlign w:val="subscript"/>
        </w:rPr>
        <w:t xml:space="preserve">i </w:t>
      </w:r>
      <w:r w:rsidRPr="00EF52D0">
        <w:rPr>
          <w:rFonts w:asciiTheme="minorHAnsi" w:eastAsiaTheme="minorEastAsia" w:hAnsiTheme="minorHAnsi" w:cstheme="minorHAnsi"/>
          <w:sz w:val="22"/>
        </w:rPr>
        <w:t xml:space="preserve">is the area in the starting UHP-SFE extract and </w:t>
      </w:r>
      <w:proofErr w:type="spellStart"/>
      <w:r w:rsidRPr="00EF52D0">
        <w:rPr>
          <w:rFonts w:asciiTheme="minorHAnsi" w:eastAsiaTheme="minorEastAsia" w:hAnsiTheme="minorHAnsi" w:cstheme="minorHAnsi"/>
          <w:sz w:val="22"/>
        </w:rPr>
        <w:t>A</w:t>
      </w:r>
      <w:r w:rsidRPr="00EF52D0">
        <w:rPr>
          <w:rFonts w:asciiTheme="minorHAnsi" w:eastAsiaTheme="minorEastAsia" w:hAnsiTheme="minorHAnsi" w:cstheme="minorHAnsi"/>
          <w:sz w:val="22"/>
          <w:vertAlign w:val="subscript"/>
        </w:rPr>
        <w:t>f</w:t>
      </w:r>
      <w:proofErr w:type="spellEnd"/>
      <w:r w:rsidRPr="00EF52D0">
        <w:rPr>
          <w:rFonts w:asciiTheme="minorHAnsi" w:eastAsiaTheme="minorEastAsia" w:hAnsiTheme="minorHAnsi" w:cstheme="minorHAnsi"/>
          <w:sz w:val="22"/>
        </w:rPr>
        <w:t xml:space="preserve"> is the compound area in the encapsulated fraction.</w:t>
      </w:r>
    </w:p>
    <w:p w14:paraId="1EA5F23B" w14:textId="77777777" w:rsidR="00805C60" w:rsidRPr="00EF52D0" w:rsidRDefault="00805C60" w:rsidP="00805C60">
      <w:pPr>
        <w:spacing w:line="480" w:lineRule="auto"/>
        <w:ind w:firstLine="0"/>
        <w:rPr>
          <w:rFonts w:asciiTheme="minorHAnsi" w:hAnsiTheme="minorHAnsi" w:cstheme="minorHAnsi"/>
          <w:b/>
          <w:bCs/>
          <w:sz w:val="22"/>
        </w:rPr>
      </w:pPr>
    </w:p>
    <w:p w14:paraId="5F4A8937" w14:textId="63112ADB" w:rsidR="00805C60" w:rsidRPr="00EF52D0" w:rsidRDefault="00805C60" w:rsidP="00805C60">
      <w:pPr>
        <w:spacing w:line="480" w:lineRule="auto"/>
        <w:ind w:firstLine="0"/>
        <w:rPr>
          <w:rFonts w:asciiTheme="minorHAnsi" w:hAnsiTheme="minorHAnsi" w:cstheme="minorHAnsi"/>
          <w:b/>
          <w:bCs/>
          <w:sz w:val="22"/>
        </w:rPr>
      </w:pPr>
      <w:r w:rsidRPr="00EF52D0">
        <w:rPr>
          <w:rFonts w:asciiTheme="minorHAnsi" w:hAnsiTheme="minorHAnsi" w:cstheme="minorHAnsi"/>
          <w:b/>
          <w:bCs/>
          <w:sz w:val="22"/>
        </w:rPr>
        <w:t>S</w:t>
      </w:r>
      <w:r w:rsidR="00606D4D">
        <w:rPr>
          <w:rFonts w:asciiTheme="minorHAnsi" w:hAnsiTheme="minorHAnsi" w:cstheme="minorHAnsi"/>
          <w:b/>
          <w:bCs/>
          <w:sz w:val="22"/>
        </w:rPr>
        <w:t>5</w:t>
      </w:r>
      <w:r w:rsidRPr="00EF52D0">
        <w:rPr>
          <w:rFonts w:asciiTheme="minorHAnsi" w:hAnsiTheme="minorHAnsi" w:cstheme="minorHAnsi"/>
          <w:b/>
          <w:bCs/>
          <w:sz w:val="22"/>
        </w:rPr>
        <w:t xml:space="preserve">. </w:t>
      </w:r>
      <w:r>
        <w:rPr>
          <w:rFonts w:asciiTheme="minorHAnsi" w:hAnsiTheme="minorHAnsi" w:cstheme="minorHAnsi"/>
          <w:b/>
          <w:bCs/>
          <w:sz w:val="22"/>
        </w:rPr>
        <w:t>HP</w:t>
      </w:r>
      <w:r w:rsidRPr="00EF52D0">
        <w:rPr>
          <w:rFonts w:asciiTheme="minorHAnsi" w:hAnsiTheme="minorHAnsi" w:cstheme="minorHAnsi"/>
          <w:b/>
          <w:bCs/>
          <w:sz w:val="22"/>
        </w:rPr>
        <w:t>LC-DAD-MS/MS analysis</w:t>
      </w:r>
    </w:p>
    <w:p w14:paraId="497EDD45" w14:textId="77777777" w:rsidR="00805C60" w:rsidRPr="00EF52D0" w:rsidRDefault="00805C60" w:rsidP="00805C60">
      <w:pPr>
        <w:spacing w:line="480" w:lineRule="auto"/>
        <w:ind w:firstLine="0"/>
        <w:rPr>
          <w:rFonts w:asciiTheme="minorHAnsi" w:eastAsiaTheme="minorEastAsia" w:hAnsiTheme="minorHAnsi" w:cstheme="minorHAnsi"/>
          <w:sz w:val="22"/>
        </w:rPr>
      </w:pPr>
      <w:r w:rsidRPr="00EF52D0">
        <w:rPr>
          <w:rFonts w:asciiTheme="minorHAnsi" w:hAnsiTheme="minorHAnsi" w:cstheme="minorHAnsi"/>
          <w:sz w:val="22"/>
        </w:rPr>
        <w:t xml:space="preserve">The analysis of the individual carotenoids was performed using a LC-MS chromatographic separation. To do that, an Agilent 1100 series liquid chromatograph (Santa Clara, CA, USA) equipped with a diode-array detector (DAD) was employed. The chromatographic separation was carried out by using a YMC-C30 reversed phase column (250 mm × 4.6 mm i.d., 5 µm particle size; YMC Europe, </w:t>
      </w:r>
      <w:proofErr w:type="spellStart"/>
      <w:r w:rsidRPr="00EF52D0">
        <w:rPr>
          <w:rFonts w:asciiTheme="minorHAnsi" w:hAnsiTheme="minorHAnsi" w:cstheme="minorHAnsi"/>
          <w:sz w:val="22"/>
        </w:rPr>
        <w:t>Schermbeck</w:t>
      </w:r>
      <w:proofErr w:type="spellEnd"/>
      <w:r w:rsidRPr="00EF52D0">
        <w:rPr>
          <w:rFonts w:asciiTheme="minorHAnsi" w:hAnsiTheme="minorHAnsi" w:cstheme="minorHAnsi"/>
          <w:sz w:val="22"/>
        </w:rPr>
        <w:t xml:space="preserve">, Germany) and a pre-column YMC-C30 (10 mm × 4 mm i.d., 5 µm particle size). A solution of methanol/MTBE/water (90:7:3, </w:t>
      </w:r>
      <w:r w:rsidRPr="00EF52D0">
        <w:rPr>
          <w:rFonts w:asciiTheme="minorHAnsi" w:hAnsiTheme="minorHAnsi" w:cstheme="minorHAnsi"/>
          <w:i/>
          <w:sz w:val="22"/>
        </w:rPr>
        <w:t>v/v/v</w:t>
      </w:r>
      <w:r w:rsidRPr="00EF52D0">
        <w:rPr>
          <w:rFonts w:asciiTheme="minorHAnsi" w:hAnsiTheme="minorHAnsi" w:cstheme="minorHAnsi"/>
          <w:sz w:val="22"/>
        </w:rPr>
        <w:t xml:space="preserve">) was used as mobile phase A and methanol/MTBE (10:90, </w:t>
      </w:r>
      <w:r w:rsidRPr="00EF52D0">
        <w:rPr>
          <w:rFonts w:asciiTheme="minorHAnsi" w:hAnsiTheme="minorHAnsi" w:cstheme="minorHAnsi"/>
          <w:i/>
          <w:sz w:val="22"/>
        </w:rPr>
        <w:t>v/v</w:t>
      </w:r>
      <w:r w:rsidRPr="00EF52D0">
        <w:rPr>
          <w:rFonts w:asciiTheme="minorHAnsi" w:hAnsiTheme="minorHAnsi" w:cstheme="minorHAnsi"/>
          <w:sz w:val="22"/>
        </w:rPr>
        <w:t>) was chosen as mobile phase B. The flow rate was 0.8 mL min</w:t>
      </w:r>
      <w:r w:rsidRPr="00EF52D0">
        <w:rPr>
          <w:rFonts w:asciiTheme="minorHAnsi" w:hAnsiTheme="minorHAnsi" w:cstheme="minorHAnsi"/>
          <w:sz w:val="22"/>
          <w:vertAlign w:val="superscript"/>
        </w:rPr>
        <w:t>-1</w:t>
      </w:r>
      <w:r w:rsidRPr="00EF52D0">
        <w:rPr>
          <w:rFonts w:asciiTheme="minorHAnsi" w:hAnsiTheme="minorHAnsi" w:cstheme="minorHAnsi"/>
          <w:sz w:val="22"/>
        </w:rPr>
        <w:t xml:space="preserve"> and the injection volume was 10 µL. The gradient elution was based on previous studies (Bueno </w:t>
      </w:r>
      <w:r w:rsidRPr="00EF52D0">
        <w:rPr>
          <w:rFonts w:asciiTheme="minorHAnsi" w:hAnsiTheme="minorHAnsi" w:cstheme="minorHAnsi"/>
          <w:i/>
          <w:iCs/>
          <w:sz w:val="22"/>
        </w:rPr>
        <w:t xml:space="preserve">et al., </w:t>
      </w:r>
      <w:r w:rsidRPr="00EF52D0">
        <w:rPr>
          <w:rFonts w:asciiTheme="minorHAnsi" w:hAnsiTheme="minorHAnsi" w:cstheme="minorHAnsi"/>
          <w:sz w:val="22"/>
        </w:rPr>
        <w:t>2020) being: 0% B (0-10 min); 0 to 30% B (10-20 min); 30 to 50% B (20-35 min); 50 to 80% B (35-45 min); 80 to 100% B (45-50 min); 100% B (50-60 min); 100 to 0% B (60-62 min); and a post-run column equilibration of 13 min at 0% B. The samples were dissolved in ethanol at an appropriate concentration (10.0 mg mL</w:t>
      </w:r>
      <w:r w:rsidRPr="00EF52D0">
        <w:rPr>
          <w:rFonts w:asciiTheme="minorHAnsi" w:hAnsiTheme="minorHAnsi" w:cstheme="minorHAnsi"/>
          <w:sz w:val="22"/>
          <w:vertAlign w:val="superscript"/>
        </w:rPr>
        <w:t>-1</w:t>
      </w:r>
      <w:r w:rsidRPr="00EF52D0">
        <w:rPr>
          <w:rFonts w:asciiTheme="minorHAnsi" w:hAnsiTheme="minorHAnsi" w:cstheme="minorHAnsi"/>
          <w:sz w:val="22"/>
        </w:rPr>
        <w:t xml:space="preserve">) and filtered through a 0.45 </w:t>
      </w:r>
      <w:proofErr w:type="spellStart"/>
      <w:r w:rsidRPr="00EF52D0">
        <w:rPr>
          <w:rFonts w:asciiTheme="minorHAnsi" w:hAnsiTheme="minorHAnsi" w:cstheme="minorHAnsi"/>
          <w:sz w:val="22"/>
        </w:rPr>
        <w:t>μm</w:t>
      </w:r>
      <w:proofErr w:type="spellEnd"/>
      <w:r w:rsidRPr="00EF52D0">
        <w:rPr>
          <w:rFonts w:asciiTheme="minorHAnsi" w:hAnsiTheme="minorHAnsi" w:cstheme="minorHAnsi"/>
          <w:sz w:val="22"/>
        </w:rPr>
        <w:t xml:space="preserve"> PTFE hydrophobic filter. Absorption spectra were recorded from 240 to 770 nm using the DAD whereas the quantification of carotenoids was carried out at 450 nm. The instrument was controlled by LC </w:t>
      </w:r>
      <w:proofErr w:type="spellStart"/>
      <w:r w:rsidRPr="00EF52D0">
        <w:rPr>
          <w:rFonts w:asciiTheme="minorHAnsi" w:hAnsiTheme="minorHAnsi" w:cstheme="minorHAnsi"/>
          <w:sz w:val="22"/>
        </w:rPr>
        <w:t>ChemStation</w:t>
      </w:r>
      <w:proofErr w:type="spellEnd"/>
      <w:r w:rsidRPr="00EF52D0">
        <w:rPr>
          <w:rFonts w:asciiTheme="minorHAnsi" w:hAnsiTheme="minorHAnsi" w:cstheme="minorHAnsi"/>
          <w:sz w:val="22"/>
        </w:rPr>
        <w:t xml:space="preserve"> 3D Software Rev. 04.03 (Agilent Technologies, Santa Clara, CA, USA). The LC separation was coupled to an ion trap MS (Agilent ion trap 6320) using an atmospheric pressure chemical ionization (APCI) as ion source. The MS analyses were carried out under positive ionization mode, and the set parameters were: drying temperature, 350 °C; vaporizer temperature, 400 °C; drying gas flow rate, 5 L min</w:t>
      </w:r>
      <w:r w:rsidRPr="00EF52D0">
        <w:rPr>
          <w:rFonts w:asciiTheme="minorHAnsi" w:hAnsiTheme="minorHAnsi" w:cstheme="minorHAnsi"/>
          <w:sz w:val="22"/>
          <w:vertAlign w:val="superscript"/>
        </w:rPr>
        <w:t>-1</w:t>
      </w:r>
      <w:r w:rsidRPr="00EF52D0">
        <w:rPr>
          <w:rFonts w:asciiTheme="minorHAnsi" w:hAnsiTheme="minorHAnsi" w:cstheme="minorHAnsi"/>
          <w:sz w:val="22"/>
        </w:rPr>
        <w:t xml:space="preserve">; nebulizer gas pressure, 60 psi; capillary voltage, -3.5 kV; corona current, 4000 </w:t>
      </w:r>
      <w:proofErr w:type="spellStart"/>
      <w:r w:rsidRPr="00EF52D0">
        <w:rPr>
          <w:rFonts w:asciiTheme="minorHAnsi" w:hAnsiTheme="minorHAnsi" w:cstheme="minorHAnsi"/>
          <w:sz w:val="22"/>
        </w:rPr>
        <w:t>nA.</w:t>
      </w:r>
      <w:proofErr w:type="spellEnd"/>
      <w:r w:rsidRPr="00EF52D0">
        <w:rPr>
          <w:rFonts w:asciiTheme="minorHAnsi" w:hAnsiTheme="minorHAnsi" w:cstheme="minorHAnsi"/>
          <w:sz w:val="22"/>
        </w:rPr>
        <w:t xml:space="preserve"> Data were acquired within a </w:t>
      </w:r>
      <w:r w:rsidRPr="00EF52D0">
        <w:rPr>
          <w:rFonts w:asciiTheme="minorHAnsi" w:hAnsiTheme="minorHAnsi" w:cstheme="minorHAnsi"/>
          <w:i/>
          <w:sz w:val="22"/>
        </w:rPr>
        <w:t>m/z</w:t>
      </w:r>
      <w:r w:rsidRPr="00EF52D0">
        <w:rPr>
          <w:rFonts w:asciiTheme="minorHAnsi" w:hAnsiTheme="minorHAnsi" w:cstheme="minorHAnsi"/>
          <w:sz w:val="22"/>
        </w:rPr>
        <w:t xml:space="preserve"> range of 150-1300 </w:t>
      </w:r>
      <w:r w:rsidRPr="00EF52D0">
        <w:rPr>
          <w:rFonts w:asciiTheme="minorHAnsi" w:hAnsiTheme="minorHAnsi" w:cstheme="minorHAnsi"/>
          <w:sz w:val="22"/>
        </w:rPr>
        <w:lastRenderedPageBreak/>
        <w:t xml:space="preserve">Da in automatic MS/MS acquisition mode. The identification of carotenoids was performed using the UV-vis and the MS spectra of each peak. </w:t>
      </w:r>
    </w:p>
    <w:p w14:paraId="22FB7530" w14:textId="77777777" w:rsidR="00805C60" w:rsidRPr="00EF52D0" w:rsidRDefault="00805C60" w:rsidP="00805C60">
      <w:pPr>
        <w:spacing w:line="480" w:lineRule="auto"/>
        <w:ind w:firstLine="0"/>
        <w:rPr>
          <w:rFonts w:asciiTheme="minorHAnsi" w:hAnsiTheme="minorHAnsi" w:cstheme="minorHAnsi"/>
          <w:sz w:val="22"/>
        </w:rPr>
      </w:pPr>
      <w:r w:rsidRPr="00EF52D0">
        <w:rPr>
          <w:rFonts w:asciiTheme="minorHAnsi" w:eastAsiaTheme="minorEastAsia" w:hAnsiTheme="minorHAnsi" w:cstheme="minorHAnsi"/>
          <w:sz w:val="22"/>
        </w:rPr>
        <w:t>For the β-carotene calibration curve, the stock solution was dissolved in ethanol (2 mg mL</w:t>
      </w:r>
      <w:r w:rsidRPr="00EF52D0">
        <w:rPr>
          <w:rFonts w:asciiTheme="minorHAnsi" w:eastAsiaTheme="minorEastAsia" w:hAnsiTheme="minorHAnsi" w:cstheme="minorHAnsi"/>
          <w:sz w:val="22"/>
          <w:vertAlign w:val="superscript"/>
        </w:rPr>
        <w:t>-1</w:t>
      </w:r>
      <w:r w:rsidRPr="00EF52D0">
        <w:rPr>
          <w:rFonts w:asciiTheme="minorHAnsi" w:eastAsiaTheme="minorEastAsia" w:hAnsiTheme="minorHAnsi" w:cstheme="minorHAnsi"/>
          <w:sz w:val="22"/>
        </w:rPr>
        <w:t xml:space="preserve">). Six different concentrations were prepared in ethanol and injected in triplicate. Since β-carotene isomers standards were not available, the quantification of the different isomers was performed using the pure </w:t>
      </w:r>
      <w:r w:rsidRPr="00EF52D0">
        <w:rPr>
          <w:rFonts w:asciiTheme="minorHAnsi" w:eastAsiaTheme="minorEastAsia" w:hAnsiTheme="minorHAnsi" w:cstheme="minorHAnsi"/>
          <w:i/>
          <w:iCs/>
          <w:sz w:val="22"/>
        </w:rPr>
        <w:t>all-trans-</w:t>
      </w:r>
      <w:r w:rsidRPr="00EF52D0">
        <w:rPr>
          <w:rFonts w:asciiTheme="minorHAnsi" w:eastAsiaTheme="minorEastAsia" w:hAnsiTheme="minorHAnsi" w:cstheme="minorHAnsi"/>
          <w:sz w:val="22"/>
        </w:rPr>
        <w:t xml:space="preserve">β-carotene commercial standard, assuming that the response factor could be similar. This method was used for the analysis of carotenoids of both, the starting extract and the encapsulated product (10 times higher concentrated in comparison to the starting extract) </w:t>
      </w:r>
      <w:r w:rsidRPr="00EF52D0">
        <w:rPr>
          <w:rFonts w:asciiTheme="minorHAnsi" w:hAnsiTheme="minorHAnsi" w:cstheme="minorHAnsi"/>
          <w:sz w:val="22"/>
        </w:rPr>
        <w:t>in triplicate, determining the encapsulation efficiency of each carotenoid using the following formula (equation 5).</w:t>
      </w:r>
    </w:p>
    <w:p w14:paraId="23CB731A" w14:textId="77777777" w:rsidR="00805C60" w:rsidRPr="00EF52D0" w:rsidRDefault="00805C60" w:rsidP="00805C60">
      <w:pPr>
        <w:spacing w:line="480" w:lineRule="auto"/>
        <w:ind w:firstLine="0"/>
        <w:rPr>
          <w:rFonts w:asciiTheme="minorHAnsi" w:eastAsiaTheme="minorEastAsia" w:hAnsiTheme="minorHAnsi" w:cstheme="minorHAnsi"/>
          <w:sz w:val="22"/>
        </w:rPr>
      </w:pPr>
      <m:oMath>
        <m:r>
          <m:rPr>
            <m:sty m:val="p"/>
          </m:rPr>
          <w:rPr>
            <w:rFonts w:ascii="Cambria Math" w:hAnsi="Cambria Math" w:cstheme="minorHAnsi"/>
            <w:sz w:val="22"/>
          </w:rPr>
          <m:t>EE</m:t>
        </m:r>
        <m:r>
          <m:rPr>
            <m:nor/>
          </m:rPr>
          <w:rPr>
            <w:rFonts w:asciiTheme="minorHAnsi" w:hAnsiTheme="minorHAnsi" w:cstheme="minorHAnsi"/>
            <w:sz w:val="22"/>
            <w:vertAlign w:val="subscript"/>
          </w:rPr>
          <m:t>i,carot</m:t>
        </m:r>
        <m:r>
          <m:rPr>
            <m:sty m:val="p"/>
          </m:rPr>
          <w:rPr>
            <w:rFonts w:ascii="Cambria Math" w:hAnsi="Cambria Math" w:cstheme="minorHAnsi"/>
            <w:sz w:val="22"/>
          </w:rPr>
          <m:t xml:space="preserve"> </m:t>
        </m:r>
        <m:d>
          <m:dPr>
            <m:ctrlPr>
              <w:rPr>
                <w:rFonts w:ascii="Cambria Math" w:hAnsi="Cambria Math" w:cstheme="minorHAnsi"/>
                <w:sz w:val="22"/>
              </w:rPr>
            </m:ctrlPr>
          </m:dPr>
          <m:e>
            <m:r>
              <m:rPr>
                <m:sty m:val="p"/>
              </m:rPr>
              <w:rPr>
                <w:rFonts w:ascii="Cambria Math" w:hAnsi="Cambria Math" w:cstheme="minorHAnsi"/>
                <w:sz w:val="22"/>
              </w:rPr>
              <m:t>%</m:t>
            </m:r>
          </m:e>
        </m:d>
        <m:r>
          <m:rPr>
            <m:sty m:val="p"/>
          </m:rPr>
          <w:rPr>
            <w:rFonts w:ascii="Cambria Math" w:hAnsi="Cambria Math" w:cstheme="minorHAnsi"/>
            <w:sz w:val="22"/>
          </w:rPr>
          <m:t>=1-</m:t>
        </m:r>
        <m:f>
          <m:fPr>
            <m:ctrlPr>
              <w:rPr>
                <w:rFonts w:ascii="Cambria Math" w:hAnsi="Cambria Math" w:cstheme="minorHAnsi"/>
                <w:sz w:val="22"/>
              </w:rPr>
            </m:ctrlPr>
          </m:fPr>
          <m:num>
            <m:sSub>
              <m:sSubPr>
                <m:ctrlPr>
                  <w:rPr>
                    <w:rFonts w:ascii="Cambria Math" w:hAnsi="Cambria Math" w:cstheme="minorHAnsi"/>
                    <w:sz w:val="22"/>
                  </w:rPr>
                </m:ctrlPr>
              </m:sSubPr>
              <m:e>
                <m:r>
                  <m:rPr>
                    <m:sty m:val="p"/>
                  </m:rPr>
                  <w:rPr>
                    <w:rFonts w:ascii="Cambria Math" w:hAnsi="Cambria Math" w:cstheme="minorHAnsi"/>
                    <w:sz w:val="22"/>
                  </w:rPr>
                  <m:t>A</m:t>
                </m:r>
              </m:e>
              <m:sub>
                <m:r>
                  <m:rPr>
                    <m:sty m:val="p"/>
                  </m:rPr>
                  <w:rPr>
                    <w:rFonts w:ascii="Cambria Math" w:hAnsi="Cambria Math" w:cstheme="minorHAnsi"/>
                    <w:sz w:val="22"/>
                  </w:rPr>
                  <m:t>i</m:t>
                </m:r>
              </m:sub>
            </m:sSub>
            <m:r>
              <m:rPr>
                <m:sty m:val="p"/>
              </m:rPr>
              <w:rPr>
                <w:rFonts w:ascii="Cambria Math" w:hAnsi="Cambria Math" w:cstheme="minorHAnsi"/>
                <w:sz w:val="22"/>
              </w:rPr>
              <m:t>-</m:t>
            </m:r>
            <m:sSub>
              <m:sSubPr>
                <m:ctrlPr>
                  <w:rPr>
                    <w:rFonts w:ascii="Cambria Math" w:hAnsi="Cambria Math" w:cstheme="minorHAnsi"/>
                    <w:sz w:val="22"/>
                  </w:rPr>
                </m:ctrlPr>
              </m:sSubPr>
              <m:e>
                <m:r>
                  <m:rPr>
                    <m:sty m:val="p"/>
                  </m:rPr>
                  <w:rPr>
                    <w:rFonts w:ascii="Cambria Math" w:hAnsi="Cambria Math" w:cstheme="minorHAnsi"/>
                    <w:sz w:val="22"/>
                  </w:rPr>
                  <m:t>A</m:t>
                </m:r>
              </m:e>
              <m:sub>
                <m:r>
                  <m:rPr>
                    <m:sty m:val="p"/>
                  </m:rPr>
                  <w:rPr>
                    <w:rFonts w:ascii="Cambria Math" w:hAnsi="Cambria Math" w:cstheme="minorHAnsi"/>
                    <w:sz w:val="22"/>
                  </w:rPr>
                  <m:t>f</m:t>
                </m:r>
              </m:sub>
            </m:sSub>
          </m:num>
          <m:den>
            <m:sSub>
              <m:sSubPr>
                <m:ctrlPr>
                  <w:rPr>
                    <w:rFonts w:ascii="Cambria Math" w:hAnsi="Cambria Math" w:cstheme="minorHAnsi"/>
                    <w:sz w:val="22"/>
                  </w:rPr>
                </m:ctrlPr>
              </m:sSubPr>
              <m:e>
                <m:r>
                  <m:rPr>
                    <m:sty m:val="p"/>
                  </m:rPr>
                  <w:rPr>
                    <w:rFonts w:ascii="Cambria Math" w:hAnsi="Cambria Math" w:cstheme="minorHAnsi"/>
                    <w:sz w:val="22"/>
                  </w:rPr>
                  <m:t>A</m:t>
                </m:r>
              </m:e>
              <m:sub>
                <m:r>
                  <m:rPr>
                    <m:sty m:val="p"/>
                  </m:rPr>
                  <w:rPr>
                    <w:rFonts w:ascii="Cambria Math" w:hAnsi="Cambria Math" w:cstheme="minorHAnsi"/>
                    <w:sz w:val="22"/>
                  </w:rPr>
                  <m:t>i</m:t>
                </m:r>
              </m:sub>
            </m:sSub>
          </m:den>
        </m:f>
        <m:r>
          <m:rPr>
            <m:sty m:val="p"/>
          </m:rPr>
          <w:rPr>
            <w:rFonts w:ascii="Cambria Math" w:hAnsi="Cambria Math" w:cstheme="minorHAnsi"/>
            <w:sz w:val="22"/>
          </w:rPr>
          <m:t>·100%</m:t>
        </m:r>
      </m:oMath>
      <w:r w:rsidRPr="00EF52D0">
        <w:rPr>
          <w:rFonts w:asciiTheme="minorHAnsi" w:eastAsiaTheme="minorEastAsia" w:hAnsiTheme="minorHAnsi" w:cstheme="minorHAnsi"/>
          <w:sz w:val="22"/>
        </w:rPr>
        <w:t xml:space="preserve"> </w:t>
      </w:r>
      <w:r w:rsidRPr="00EF52D0">
        <w:rPr>
          <w:rFonts w:asciiTheme="minorHAnsi" w:eastAsiaTheme="minorEastAsia" w:hAnsiTheme="minorHAnsi" w:cstheme="minorHAnsi"/>
          <w:sz w:val="22"/>
        </w:rPr>
        <w:tab/>
        <w:t>(equation 5)</w:t>
      </w:r>
    </w:p>
    <w:p w14:paraId="4F0B7CEB" w14:textId="23497677" w:rsidR="00805C60" w:rsidRPr="00EF52D0" w:rsidRDefault="00805C60" w:rsidP="00805C60">
      <w:pPr>
        <w:rPr>
          <w:rFonts w:asciiTheme="minorHAnsi" w:eastAsiaTheme="minorEastAsia" w:hAnsiTheme="minorHAnsi" w:cstheme="minorHAnsi"/>
          <w:sz w:val="22"/>
        </w:rPr>
        <w:sectPr w:rsidR="00805C60" w:rsidRPr="00EF52D0" w:rsidSect="004A7DF7">
          <w:footerReference w:type="default" r:id="rId11"/>
          <w:pgSz w:w="11906" w:h="16838"/>
          <w:pgMar w:top="1417" w:right="1701" w:bottom="1417" w:left="1701" w:header="708" w:footer="708" w:gutter="0"/>
          <w:lnNumType w:countBy="1" w:restart="continuous"/>
          <w:cols w:space="708"/>
          <w:docGrid w:linePitch="360"/>
        </w:sectPr>
      </w:pPr>
      <w:r w:rsidRPr="00EF52D0">
        <w:rPr>
          <w:rFonts w:asciiTheme="minorHAnsi" w:eastAsiaTheme="minorEastAsia" w:hAnsiTheme="minorHAnsi" w:cstheme="minorHAnsi"/>
          <w:sz w:val="22"/>
        </w:rPr>
        <w:t xml:space="preserve">Where, </w:t>
      </w:r>
      <m:oMath>
        <m:r>
          <m:rPr>
            <m:sty m:val="p"/>
          </m:rPr>
          <w:rPr>
            <w:rFonts w:ascii="Cambria Math" w:hAnsi="Cambria Math" w:cstheme="minorHAnsi"/>
            <w:sz w:val="22"/>
          </w:rPr>
          <m:t>EE</m:t>
        </m:r>
        <w:proofErr w:type="gramStart"/>
        <m:r>
          <m:rPr>
            <m:nor/>
          </m:rPr>
          <w:rPr>
            <w:rFonts w:asciiTheme="minorHAnsi" w:hAnsiTheme="minorHAnsi" w:cstheme="minorHAnsi"/>
            <w:sz w:val="22"/>
            <w:vertAlign w:val="subscript"/>
          </w:rPr>
          <m:t>i,carot</m:t>
        </m:r>
        <w:proofErr w:type="gramEnd"/>
        <m:r>
          <m:rPr>
            <m:sty m:val="p"/>
          </m:rPr>
          <w:rPr>
            <w:rFonts w:ascii="Cambria Math" w:hAnsi="Cambria Math" w:cstheme="minorHAnsi"/>
            <w:sz w:val="22"/>
          </w:rPr>
          <m:t xml:space="preserve"> </m:t>
        </m:r>
      </m:oMath>
      <w:r w:rsidRPr="00EF52D0">
        <w:rPr>
          <w:rFonts w:asciiTheme="minorHAnsi" w:eastAsiaTheme="minorEastAsia" w:hAnsiTheme="minorHAnsi" w:cstheme="minorHAnsi"/>
          <w:sz w:val="22"/>
        </w:rPr>
        <w:t>is the encapsulation efficiency of each individual carotenoid, A</w:t>
      </w:r>
      <w:r w:rsidRPr="00EF52D0">
        <w:rPr>
          <w:rFonts w:asciiTheme="minorHAnsi" w:eastAsiaTheme="minorEastAsia" w:hAnsiTheme="minorHAnsi" w:cstheme="minorHAnsi"/>
          <w:sz w:val="22"/>
          <w:vertAlign w:val="subscript"/>
        </w:rPr>
        <w:t>i</w:t>
      </w:r>
      <w:r w:rsidRPr="00EF52D0">
        <w:rPr>
          <w:rFonts w:asciiTheme="minorHAnsi" w:eastAsiaTheme="minorEastAsia" w:hAnsiTheme="minorHAnsi" w:cstheme="minorHAnsi"/>
          <w:sz w:val="22"/>
        </w:rPr>
        <w:t xml:space="preserve"> is the carotenoid area in the starting UHP-SFE extract, and </w:t>
      </w:r>
      <w:proofErr w:type="spellStart"/>
      <w:r w:rsidRPr="00EF52D0">
        <w:rPr>
          <w:rFonts w:asciiTheme="minorHAnsi" w:eastAsiaTheme="minorEastAsia" w:hAnsiTheme="minorHAnsi" w:cstheme="minorHAnsi"/>
          <w:sz w:val="22"/>
        </w:rPr>
        <w:t>A</w:t>
      </w:r>
      <w:r w:rsidRPr="00EF52D0">
        <w:rPr>
          <w:rFonts w:asciiTheme="minorHAnsi" w:eastAsiaTheme="minorEastAsia" w:hAnsiTheme="minorHAnsi" w:cstheme="minorHAnsi"/>
          <w:sz w:val="22"/>
          <w:vertAlign w:val="subscript"/>
        </w:rPr>
        <w:t>f</w:t>
      </w:r>
      <w:proofErr w:type="spellEnd"/>
      <w:r w:rsidRPr="00EF52D0">
        <w:rPr>
          <w:rFonts w:asciiTheme="minorHAnsi" w:eastAsiaTheme="minorEastAsia" w:hAnsiTheme="minorHAnsi" w:cstheme="minorHAnsi"/>
          <w:sz w:val="22"/>
        </w:rPr>
        <w:t xml:space="preserve"> is the carotenoid area in the encapsulated fraction</w:t>
      </w:r>
    </w:p>
    <w:p w14:paraId="6B52C750" w14:textId="266DD4C4" w:rsidR="00EF52D0" w:rsidRPr="00EF52D0" w:rsidRDefault="00EF52D0" w:rsidP="00EF52D0">
      <w:pPr>
        <w:spacing w:line="480" w:lineRule="auto"/>
        <w:ind w:firstLine="0"/>
        <w:rPr>
          <w:rFonts w:asciiTheme="minorHAnsi" w:hAnsiTheme="minorHAnsi" w:cstheme="minorHAnsi"/>
          <w:b/>
          <w:bCs/>
          <w:sz w:val="22"/>
        </w:rPr>
      </w:pPr>
      <w:r w:rsidRPr="00EF52D0">
        <w:rPr>
          <w:rFonts w:asciiTheme="minorHAnsi" w:hAnsiTheme="minorHAnsi" w:cstheme="minorHAnsi"/>
          <w:b/>
          <w:bCs/>
          <w:sz w:val="22"/>
        </w:rPr>
        <w:lastRenderedPageBreak/>
        <w:t>S</w:t>
      </w:r>
      <w:r w:rsidR="00805C60">
        <w:rPr>
          <w:rFonts w:asciiTheme="minorHAnsi" w:hAnsiTheme="minorHAnsi" w:cstheme="minorHAnsi"/>
          <w:b/>
          <w:bCs/>
          <w:sz w:val="22"/>
        </w:rPr>
        <w:t>6</w:t>
      </w:r>
      <w:r w:rsidRPr="00EF52D0">
        <w:rPr>
          <w:rFonts w:asciiTheme="minorHAnsi" w:hAnsiTheme="minorHAnsi" w:cstheme="minorHAnsi"/>
          <w:b/>
          <w:bCs/>
          <w:sz w:val="22"/>
        </w:rPr>
        <w:t>. Bioactivity assays of the extract and the encapsulated fraction</w:t>
      </w:r>
    </w:p>
    <w:p w14:paraId="61B53767" w14:textId="77777777" w:rsidR="00EF52D0" w:rsidRPr="00EF52D0" w:rsidRDefault="00EF52D0" w:rsidP="00EF52D0">
      <w:pPr>
        <w:spacing w:line="480" w:lineRule="auto"/>
        <w:ind w:firstLine="0"/>
        <w:rPr>
          <w:rFonts w:asciiTheme="minorHAnsi" w:hAnsiTheme="minorHAnsi" w:cstheme="minorHAnsi"/>
          <w:sz w:val="22"/>
        </w:rPr>
      </w:pPr>
      <w:r w:rsidRPr="00EF52D0">
        <w:rPr>
          <w:rFonts w:asciiTheme="minorHAnsi" w:hAnsiTheme="minorHAnsi" w:cstheme="minorHAnsi"/>
          <w:sz w:val="22"/>
        </w:rPr>
        <w:t xml:space="preserve">The encapsulated fraction obtained after the disruption of the encapsulated product (described in S1) was analyzed to evaluate all the </w:t>
      </w:r>
      <w:r w:rsidRPr="00EF52D0">
        <w:rPr>
          <w:rFonts w:asciiTheme="minorHAnsi" w:hAnsiTheme="minorHAnsi" w:cstheme="minorHAnsi"/>
          <w:i/>
          <w:sz w:val="22"/>
        </w:rPr>
        <w:t>in vitro</w:t>
      </w:r>
      <w:r w:rsidRPr="00EF52D0">
        <w:rPr>
          <w:rFonts w:asciiTheme="minorHAnsi" w:hAnsiTheme="minorHAnsi" w:cstheme="minorHAnsi"/>
          <w:sz w:val="22"/>
        </w:rPr>
        <w:t xml:space="preserve"> assays. The sample concentration of the encapsulated extract used for the colorimetric assays was established based on the encapsulation efficiency to maintain a concentration equivalent to that of the starting extract.</w:t>
      </w:r>
    </w:p>
    <w:p w14:paraId="001B67A1" w14:textId="7AEE977D" w:rsidR="00EF52D0" w:rsidRPr="00EF52D0" w:rsidRDefault="00EF52D0" w:rsidP="00EF52D0">
      <w:pPr>
        <w:spacing w:line="480" w:lineRule="auto"/>
        <w:ind w:firstLine="0"/>
        <w:rPr>
          <w:rFonts w:asciiTheme="minorHAnsi" w:hAnsiTheme="minorHAnsi" w:cstheme="minorHAnsi"/>
          <w:b/>
          <w:bCs/>
          <w:sz w:val="22"/>
        </w:rPr>
      </w:pPr>
      <w:r w:rsidRPr="00EF52D0">
        <w:rPr>
          <w:rFonts w:asciiTheme="minorHAnsi" w:hAnsiTheme="minorHAnsi" w:cstheme="minorHAnsi"/>
          <w:b/>
          <w:bCs/>
          <w:sz w:val="22"/>
        </w:rPr>
        <w:t>S</w:t>
      </w:r>
      <w:r w:rsidR="00805C60">
        <w:rPr>
          <w:rFonts w:asciiTheme="minorHAnsi" w:hAnsiTheme="minorHAnsi" w:cstheme="minorHAnsi"/>
          <w:b/>
          <w:bCs/>
          <w:sz w:val="22"/>
        </w:rPr>
        <w:t>6</w:t>
      </w:r>
      <w:r w:rsidRPr="00EF52D0">
        <w:rPr>
          <w:rFonts w:asciiTheme="minorHAnsi" w:hAnsiTheme="minorHAnsi" w:cstheme="minorHAnsi"/>
          <w:b/>
          <w:bCs/>
          <w:sz w:val="22"/>
        </w:rPr>
        <w:t>.1 Antioxidant activity</w:t>
      </w:r>
    </w:p>
    <w:p w14:paraId="36632C9C" w14:textId="77777777" w:rsidR="00EF52D0" w:rsidRPr="00EF52D0" w:rsidRDefault="00EF52D0" w:rsidP="00EF52D0">
      <w:pPr>
        <w:spacing w:line="480" w:lineRule="auto"/>
        <w:ind w:firstLine="0"/>
        <w:rPr>
          <w:rFonts w:asciiTheme="minorHAnsi" w:hAnsiTheme="minorHAnsi" w:cstheme="minorHAnsi"/>
          <w:sz w:val="22"/>
        </w:rPr>
      </w:pPr>
      <w:r w:rsidRPr="00EF52D0">
        <w:rPr>
          <w:rFonts w:asciiTheme="minorHAnsi" w:hAnsiTheme="minorHAnsi" w:cstheme="minorHAnsi"/>
          <w:sz w:val="22"/>
        </w:rPr>
        <w:t xml:space="preserve">The antioxidant bioactivity was evaluated against DPPH and ABTS radicals in addition to the ROS/RNS scavenging. The measurement of the total equivalent antioxidant capacity (TEAC) against the radical DPPH was carried out following the protocols described by Brand-Williams </w:t>
      </w:r>
      <w:r w:rsidRPr="00EF52D0">
        <w:rPr>
          <w:rFonts w:asciiTheme="minorHAnsi" w:hAnsiTheme="minorHAnsi" w:cstheme="minorHAnsi"/>
          <w:i/>
          <w:iCs/>
          <w:sz w:val="22"/>
        </w:rPr>
        <w:t>et al</w:t>
      </w:r>
      <w:r w:rsidRPr="00EF52D0">
        <w:rPr>
          <w:rFonts w:asciiTheme="minorHAnsi" w:hAnsiTheme="minorHAnsi" w:cstheme="minorHAnsi"/>
          <w:sz w:val="22"/>
        </w:rPr>
        <w:t xml:space="preserve">. (1995) with slight modifications for the adaptation of the measurements in 96-well plates doing the quantification before (starting extract) and after (encapsulated extract) the encapsulation. To do that a reaction between 990 µL 0.1 mM DPPH and 10 µL of the sample was carried out and the absorbance at 516 nm (previously calibrated the blank of DPPH with an absorbance of 0.6 UA at time = 0 min) was measured after 30 min. The TEAC-ABTS radical assay was carried out according Re </w:t>
      </w:r>
      <w:r w:rsidRPr="00EF52D0">
        <w:rPr>
          <w:rFonts w:asciiTheme="minorHAnsi" w:hAnsiTheme="minorHAnsi" w:cstheme="minorHAnsi"/>
          <w:i/>
          <w:iCs/>
          <w:sz w:val="22"/>
        </w:rPr>
        <w:t>et al</w:t>
      </w:r>
      <w:r w:rsidRPr="00EF52D0">
        <w:rPr>
          <w:rFonts w:asciiTheme="minorHAnsi" w:hAnsiTheme="minorHAnsi" w:cstheme="minorHAnsi"/>
          <w:sz w:val="22"/>
        </w:rPr>
        <w:t>. (1999) with modifications (Plaza &amp; Rodríguez-</w:t>
      </w:r>
      <w:proofErr w:type="spellStart"/>
      <w:r w:rsidRPr="00EF52D0">
        <w:rPr>
          <w:rFonts w:asciiTheme="minorHAnsi" w:hAnsiTheme="minorHAnsi" w:cstheme="minorHAnsi"/>
          <w:sz w:val="22"/>
        </w:rPr>
        <w:t>Meizoso</w:t>
      </w:r>
      <w:proofErr w:type="spellEnd"/>
      <w:r w:rsidRPr="00EF52D0">
        <w:rPr>
          <w:rFonts w:asciiTheme="minorHAnsi" w:hAnsiTheme="minorHAnsi" w:cstheme="minorHAnsi"/>
          <w:sz w:val="22"/>
        </w:rPr>
        <w:t xml:space="preserve">, 2013). Briefly, a reaction between ABTS and potassium persulfate was carried out in dark at room temperature during 16 h. After this incubation, 10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extract were dissolved at different concentrations in a serial manner in ethanol and mixed with 990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ABTS (7 mM) in 50 mM phosphate buffer (pH=7.4). After 45 min of incubation in dark at room temperature, the absorbance at 734 nm was measured. For both DPPH and ABTS inhibitions, the final result was presented as equivalents of Trolox after interpolation in respective radical inhibition curves with this compound.</w:t>
      </w:r>
    </w:p>
    <w:p w14:paraId="15B31B17" w14:textId="17EA6488" w:rsidR="00EF52D0" w:rsidRPr="00EF52D0" w:rsidRDefault="00EF52D0" w:rsidP="00EF52D0">
      <w:pPr>
        <w:spacing w:line="480" w:lineRule="auto"/>
        <w:ind w:firstLine="0"/>
        <w:rPr>
          <w:rFonts w:asciiTheme="minorHAnsi" w:hAnsiTheme="minorHAnsi" w:cstheme="minorHAnsi"/>
          <w:sz w:val="22"/>
        </w:rPr>
      </w:pPr>
      <w:r w:rsidRPr="00EF52D0">
        <w:rPr>
          <w:rFonts w:asciiTheme="minorHAnsi" w:hAnsiTheme="minorHAnsi" w:cstheme="minorHAnsi"/>
          <w:sz w:val="22"/>
        </w:rPr>
        <w:t xml:space="preserve">The oxygen radical absorbance capacity (ORAC) method was carried out to know the ROS scavenging capacity according to Ou </w:t>
      </w:r>
      <w:r w:rsidRPr="00EF52D0">
        <w:rPr>
          <w:rFonts w:asciiTheme="minorHAnsi" w:hAnsiTheme="minorHAnsi" w:cstheme="minorHAnsi"/>
          <w:i/>
          <w:iCs/>
          <w:sz w:val="22"/>
        </w:rPr>
        <w:t>et al.</w:t>
      </w:r>
      <w:r w:rsidRPr="00EF52D0">
        <w:rPr>
          <w:rFonts w:asciiTheme="minorHAnsi" w:hAnsiTheme="minorHAnsi" w:cstheme="minorHAnsi"/>
          <w:sz w:val="22"/>
        </w:rPr>
        <w:t xml:space="preserve"> (2001). To obtain this value, 100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extract at different concentrations in </w:t>
      </w:r>
      <w:proofErr w:type="gramStart"/>
      <w:r w:rsidRPr="00EF52D0">
        <w:rPr>
          <w:rFonts w:asciiTheme="minorHAnsi" w:hAnsiTheme="minorHAnsi" w:cstheme="minorHAnsi"/>
          <w:sz w:val="22"/>
        </w:rPr>
        <w:t>ethanol:H</w:t>
      </w:r>
      <w:r w:rsidRPr="00EF52D0">
        <w:rPr>
          <w:rFonts w:asciiTheme="minorHAnsi" w:hAnsiTheme="minorHAnsi" w:cstheme="minorHAnsi"/>
          <w:sz w:val="22"/>
          <w:vertAlign w:val="subscript"/>
        </w:rPr>
        <w:t>2</w:t>
      </w:r>
      <w:r w:rsidRPr="00EF52D0">
        <w:rPr>
          <w:rFonts w:asciiTheme="minorHAnsi" w:hAnsiTheme="minorHAnsi" w:cstheme="minorHAnsi"/>
          <w:sz w:val="22"/>
        </w:rPr>
        <w:t>O</w:t>
      </w:r>
      <w:proofErr w:type="gramEnd"/>
      <w:r w:rsidRPr="00EF52D0">
        <w:rPr>
          <w:rFonts w:asciiTheme="minorHAnsi" w:hAnsiTheme="minorHAnsi" w:cstheme="minorHAnsi"/>
          <w:sz w:val="22"/>
        </w:rPr>
        <w:t xml:space="preserve"> (1:9, </w:t>
      </w:r>
      <w:r w:rsidRPr="00EF52D0">
        <w:rPr>
          <w:rFonts w:asciiTheme="minorHAnsi" w:hAnsiTheme="minorHAnsi" w:cstheme="minorHAnsi"/>
          <w:i/>
          <w:iCs/>
          <w:sz w:val="22"/>
        </w:rPr>
        <w:t>v/v</w:t>
      </w:r>
      <w:r w:rsidRPr="00EF52D0">
        <w:rPr>
          <w:rFonts w:asciiTheme="minorHAnsi" w:hAnsiTheme="minorHAnsi" w:cstheme="minorHAnsi"/>
          <w:sz w:val="22"/>
        </w:rPr>
        <w:t xml:space="preserve">), 100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AAPH (590 mM) in 30 mM </w:t>
      </w:r>
      <w:r w:rsidRPr="00EF52D0">
        <w:rPr>
          <w:rFonts w:asciiTheme="minorHAnsi" w:hAnsiTheme="minorHAnsi" w:cstheme="minorHAnsi"/>
          <w:sz w:val="22"/>
        </w:rPr>
        <w:lastRenderedPageBreak/>
        <w:t xml:space="preserve">phosphate-buffered saline (PBS) at pH=7.5, 25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10 </w:t>
      </w:r>
      <w:proofErr w:type="spellStart"/>
      <w:r w:rsidRPr="00EF52D0">
        <w:rPr>
          <w:rFonts w:asciiTheme="minorHAnsi" w:hAnsiTheme="minorHAnsi" w:cstheme="minorHAnsi"/>
          <w:sz w:val="22"/>
        </w:rPr>
        <w:t>μM</w:t>
      </w:r>
      <w:proofErr w:type="spellEnd"/>
      <w:r w:rsidRPr="00EF52D0">
        <w:rPr>
          <w:rFonts w:asciiTheme="minorHAnsi" w:hAnsiTheme="minorHAnsi" w:cstheme="minorHAnsi"/>
          <w:sz w:val="22"/>
        </w:rPr>
        <w:t xml:space="preserve"> fluorescein in PBS buffer and 100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PBS buffer were mixed in the microwell-plate. Fluorescence was measured following the indications by Sánchez-Martínez </w:t>
      </w:r>
      <w:r w:rsidRPr="00EF52D0">
        <w:rPr>
          <w:rFonts w:asciiTheme="minorHAnsi" w:hAnsiTheme="minorHAnsi" w:cstheme="minorHAnsi"/>
          <w:i/>
          <w:iCs/>
          <w:sz w:val="22"/>
        </w:rPr>
        <w:t>et al.</w:t>
      </w:r>
      <w:r w:rsidRPr="00EF52D0">
        <w:rPr>
          <w:rFonts w:asciiTheme="minorHAnsi" w:hAnsiTheme="minorHAnsi" w:cstheme="minorHAnsi"/>
          <w:sz w:val="22"/>
        </w:rPr>
        <w:t xml:space="preserve"> (2022). The RNS scavenging capacity was measured following the nitric oxide (NO) radical scavenging assay. To obtain this, 100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extract at different concentrations in </w:t>
      </w:r>
      <w:proofErr w:type="spellStart"/>
      <w:proofErr w:type="gramStart"/>
      <w:r w:rsidRPr="00EF52D0">
        <w:rPr>
          <w:rFonts w:asciiTheme="minorHAnsi" w:hAnsiTheme="minorHAnsi" w:cstheme="minorHAnsi"/>
          <w:sz w:val="22"/>
        </w:rPr>
        <w:t>ethanol:</w:t>
      </w:r>
      <w:r w:rsidR="00833B8F">
        <w:rPr>
          <w:rFonts w:asciiTheme="minorHAnsi" w:hAnsiTheme="minorHAnsi" w:cstheme="minorHAnsi"/>
          <w:sz w:val="22"/>
        </w:rPr>
        <w:t>water</w:t>
      </w:r>
      <w:proofErr w:type="spellEnd"/>
      <w:proofErr w:type="gramEnd"/>
      <w:r w:rsidRPr="00EF52D0">
        <w:rPr>
          <w:rFonts w:asciiTheme="minorHAnsi" w:hAnsiTheme="minorHAnsi" w:cstheme="minorHAnsi"/>
          <w:sz w:val="22"/>
        </w:rPr>
        <w:t xml:space="preserve"> (1:3, </w:t>
      </w:r>
      <w:r w:rsidRPr="00EF52D0">
        <w:rPr>
          <w:rFonts w:asciiTheme="minorHAnsi" w:hAnsiTheme="minorHAnsi" w:cstheme="minorHAnsi"/>
          <w:i/>
          <w:iCs/>
          <w:sz w:val="22"/>
        </w:rPr>
        <w:t>v/v</w:t>
      </w:r>
      <w:r w:rsidRPr="00EF52D0">
        <w:rPr>
          <w:rFonts w:asciiTheme="minorHAnsi" w:hAnsiTheme="minorHAnsi" w:cstheme="minorHAnsi"/>
          <w:sz w:val="22"/>
        </w:rPr>
        <w:t xml:space="preserve">) and 50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5 mM SNP in 30 mM PBS (pH=7.5) were mixed in each well. This plate was incubated for 120 min under light at room temperature. Then, 100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Griess reagent was added to each well and the absorbance was measured at 734 nm in order to know the nitrite ion concentration. Finally, the NO scavenging capacity was obtained following the protocol by Sánchez-Martínez </w:t>
      </w:r>
      <w:r w:rsidRPr="00EF52D0">
        <w:rPr>
          <w:rFonts w:asciiTheme="minorHAnsi" w:hAnsiTheme="minorHAnsi" w:cstheme="minorHAnsi"/>
          <w:i/>
          <w:iCs/>
          <w:sz w:val="22"/>
        </w:rPr>
        <w:t>et al.</w:t>
      </w:r>
      <w:r w:rsidRPr="00EF52D0">
        <w:rPr>
          <w:rFonts w:asciiTheme="minorHAnsi" w:hAnsiTheme="minorHAnsi" w:cstheme="minorHAnsi"/>
          <w:sz w:val="22"/>
        </w:rPr>
        <w:t xml:space="preserve"> (2022). In both assays, ascorbic acid was used as standard and the result obtained in each sample was given as equivalents of ascorbic acid. All the assays were performed in triplicate.</w:t>
      </w:r>
    </w:p>
    <w:p w14:paraId="13230EFC" w14:textId="6B7CD47B" w:rsidR="00EF52D0" w:rsidRPr="00EF52D0" w:rsidRDefault="00EF52D0" w:rsidP="00EF52D0">
      <w:pPr>
        <w:spacing w:line="480" w:lineRule="auto"/>
        <w:ind w:firstLine="0"/>
        <w:rPr>
          <w:rFonts w:asciiTheme="minorHAnsi" w:hAnsiTheme="minorHAnsi" w:cstheme="minorHAnsi"/>
          <w:b/>
          <w:bCs/>
          <w:sz w:val="22"/>
        </w:rPr>
      </w:pPr>
      <w:r w:rsidRPr="00EF52D0">
        <w:rPr>
          <w:rFonts w:asciiTheme="minorHAnsi" w:hAnsiTheme="minorHAnsi" w:cstheme="minorHAnsi"/>
          <w:b/>
          <w:bCs/>
          <w:sz w:val="22"/>
        </w:rPr>
        <w:t>S</w:t>
      </w:r>
      <w:r w:rsidR="00805C60">
        <w:rPr>
          <w:rFonts w:asciiTheme="minorHAnsi" w:hAnsiTheme="minorHAnsi" w:cstheme="minorHAnsi"/>
          <w:b/>
          <w:bCs/>
          <w:sz w:val="22"/>
        </w:rPr>
        <w:t>6</w:t>
      </w:r>
      <w:r w:rsidRPr="00EF52D0">
        <w:rPr>
          <w:rFonts w:asciiTheme="minorHAnsi" w:hAnsiTheme="minorHAnsi" w:cstheme="minorHAnsi"/>
          <w:b/>
          <w:bCs/>
          <w:sz w:val="22"/>
        </w:rPr>
        <w:t>.2 Anti-inflammatory activity</w:t>
      </w:r>
    </w:p>
    <w:p w14:paraId="430293EB" w14:textId="77777777" w:rsidR="00EF52D0" w:rsidRPr="00EF52D0" w:rsidRDefault="00EF52D0" w:rsidP="00EF52D0">
      <w:pPr>
        <w:spacing w:line="480" w:lineRule="auto"/>
        <w:ind w:firstLine="0"/>
        <w:rPr>
          <w:rFonts w:asciiTheme="minorHAnsi" w:hAnsiTheme="minorHAnsi" w:cstheme="minorHAnsi"/>
          <w:sz w:val="22"/>
        </w:rPr>
      </w:pPr>
      <w:proofErr w:type="spellStart"/>
      <w:r w:rsidRPr="00EF52D0">
        <w:rPr>
          <w:rFonts w:asciiTheme="minorHAnsi" w:hAnsiTheme="minorHAnsi" w:cstheme="minorHAnsi"/>
          <w:sz w:val="22"/>
        </w:rPr>
        <w:t>Lipoxidase</w:t>
      </w:r>
      <w:proofErr w:type="spellEnd"/>
      <w:r w:rsidRPr="00EF52D0">
        <w:rPr>
          <w:rFonts w:asciiTheme="minorHAnsi" w:hAnsiTheme="minorHAnsi" w:cstheme="minorHAnsi"/>
          <w:sz w:val="22"/>
        </w:rPr>
        <w:t xml:space="preserve"> (LOX) inhibition capacity was studied through a fluorescence assay based on enzymatic kinetics following the protocol described by Sánchez-Martínez </w:t>
      </w:r>
      <w:r w:rsidRPr="00EF52D0">
        <w:rPr>
          <w:rFonts w:asciiTheme="minorHAnsi" w:hAnsiTheme="minorHAnsi" w:cstheme="minorHAnsi"/>
          <w:i/>
          <w:iCs/>
          <w:sz w:val="22"/>
        </w:rPr>
        <w:t>et al.</w:t>
      </w:r>
      <w:r w:rsidRPr="00EF52D0">
        <w:rPr>
          <w:rFonts w:asciiTheme="minorHAnsi" w:hAnsiTheme="minorHAnsi" w:cstheme="minorHAnsi"/>
          <w:sz w:val="22"/>
        </w:rPr>
        <w:t xml:space="preserve"> (2022) with modifications derived from the extract nature, using 100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extract at different concentrations in ethanol, 75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1 </w:t>
      </w:r>
      <w:proofErr w:type="spellStart"/>
      <w:r w:rsidRPr="00EF52D0">
        <w:rPr>
          <w:rFonts w:asciiTheme="minorHAnsi" w:hAnsiTheme="minorHAnsi" w:cstheme="minorHAnsi"/>
          <w:sz w:val="22"/>
        </w:rPr>
        <w:t>μM</w:t>
      </w:r>
      <w:proofErr w:type="spellEnd"/>
      <w:r w:rsidRPr="00EF52D0">
        <w:rPr>
          <w:rFonts w:asciiTheme="minorHAnsi" w:hAnsiTheme="minorHAnsi" w:cstheme="minorHAnsi"/>
          <w:sz w:val="22"/>
        </w:rPr>
        <w:t xml:space="preserve"> fluorescein in buffer (150 mM </w:t>
      </w:r>
      <w:proofErr w:type="spellStart"/>
      <w:r w:rsidRPr="00EF52D0">
        <w:rPr>
          <w:rFonts w:asciiTheme="minorHAnsi" w:hAnsiTheme="minorHAnsi" w:cstheme="minorHAnsi"/>
          <w:sz w:val="22"/>
        </w:rPr>
        <w:t>Tris:HCl</w:t>
      </w:r>
      <w:proofErr w:type="spellEnd"/>
      <w:r w:rsidRPr="00EF52D0">
        <w:rPr>
          <w:rFonts w:asciiTheme="minorHAnsi" w:hAnsiTheme="minorHAnsi" w:cstheme="minorHAnsi"/>
          <w:sz w:val="22"/>
        </w:rPr>
        <w:t xml:space="preserve"> pH 9), 60 </w:t>
      </w:r>
      <w:proofErr w:type="spellStart"/>
      <w:r w:rsidRPr="00EF52D0">
        <w:rPr>
          <w:rFonts w:asciiTheme="minorHAnsi" w:hAnsiTheme="minorHAnsi" w:cstheme="minorHAnsi"/>
          <w:sz w:val="22"/>
        </w:rPr>
        <w:t>μL</w:t>
      </w:r>
      <w:proofErr w:type="spellEnd"/>
      <w:r w:rsidRPr="00EF52D0">
        <w:rPr>
          <w:rFonts w:asciiTheme="minorHAnsi" w:hAnsiTheme="minorHAnsi" w:cstheme="minorHAnsi"/>
          <w:sz w:val="22"/>
        </w:rPr>
        <w:t xml:space="preserve"> of LOX 208 U μL</w:t>
      </w:r>
      <w:r w:rsidRPr="00EF52D0">
        <w:rPr>
          <w:rFonts w:asciiTheme="minorHAnsi" w:hAnsiTheme="minorHAnsi" w:cstheme="minorHAnsi"/>
          <w:sz w:val="22"/>
          <w:vertAlign w:val="superscript"/>
        </w:rPr>
        <w:t>-1</w:t>
      </w:r>
      <w:r w:rsidRPr="00EF52D0">
        <w:rPr>
          <w:rFonts w:asciiTheme="minorHAnsi" w:hAnsiTheme="minorHAnsi" w:cstheme="minorHAnsi"/>
          <w:sz w:val="22"/>
        </w:rPr>
        <w:t xml:space="preserve"> in buffer and linoleic acid (LA) in a concentration that corresponded to the K</w:t>
      </w:r>
      <w:r w:rsidRPr="00EF52D0">
        <w:rPr>
          <w:rFonts w:asciiTheme="minorHAnsi" w:hAnsiTheme="minorHAnsi" w:cstheme="minorHAnsi"/>
          <w:sz w:val="22"/>
          <w:vertAlign w:val="subscript"/>
        </w:rPr>
        <w:t>m</w:t>
      </w:r>
      <w:r w:rsidRPr="00EF52D0">
        <w:rPr>
          <w:rFonts w:asciiTheme="minorHAnsi" w:hAnsiTheme="minorHAnsi" w:cstheme="minorHAnsi"/>
          <w:sz w:val="22"/>
        </w:rPr>
        <w:t xml:space="preserve"> value in ethanol. Quercetin was used as reference inhibitor following the same protocol than the samples, and the result obtained in each sample was given as equivalents of quercetin. All the assays were performed in triplicate.</w:t>
      </w:r>
    </w:p>
    <w:p w14:paraId="54F164F4" w14:textId="0861260F" w:rsidR="00EF52D0" w:rsidRPr="00EF52D0" w:rsidRDefault="00EF52D0" w:rsidP="00EF52D0">
      <w:pPr>
        <w:spacing w:line="480" w:lineRule="auto"/>
        <w:ind w:firstLine="0"/>
        <w:rPr>
          <w:rFonts w:asciiTheme="minorHAnsi" w:hAnsiTheme="minorHAnsi" w:cstheme="minorHAnsi"/>
          <w:b/>
          <w:bCs/>
          <w:sz w:val="22"/>
        </w:rPr>
      </w:pPr>
      <w:r w:rsidRPr="00EF52D0">
        <w:rPr>
          <w:rFonts w:asciiTheme="minorHAnsi" w:hAnsiTheme="minorHAnsi" w:cstheme="minorHAnsi"/>
          <w:b/>
          <w:bCs/>
          <w:sz w:val="22"/>
        </w:rPr>
        <w:t>S</w:t>
      </w:r>
      <w:r w:rsidR="00805C60">
        <w:rPr>
          <w:rFonts w:asciiTheme="minorHAnsi" w:hAnsiTheme="minorHAnsi" w:cstheme="minorHAnsi"/>
          <w:b/>
          <w:bCs/>
          <w:sz w:val="22"/>
        </w:rPr>
        <w:t>6</w:t>
      </w:r>
      <w:r w:rsidRPr="00EF52D0">
        <w:rPr>
          <w:rFonts w:asciiTheme="minorHAnsi" w:hAnsiTheme="minorHAnsi" w:cstheme="minorHAnsi"/>
          <w:b/>
          <w:bCs/>
          <w:sz w:val="22"/>
        </w:rPr>
        <w:t>.3 Anticholinergic activity</w:t>
      </w:r>
    </w:p>
    <w:p w14:paraId="4BBAC286" w14:textId="77777777" w:rsidR="00EF52D0" w:rsidRPr="00EF52D0" w:rsidRDefault="00EF52D0" w:rsidP="00EF52D0">
      <w:pPr>
        <w:spacing w:line="480" w:lineRule="auto"/>
        <w:ind w:firstLine="0"/>
        <w:rPr>
          <w:rFonts w:asciiTheme="minorHAnsi" w:hAnsiTheme="minorHAnsi" w:cstheme="minorHAnsi"/>
          <w:sz w:val="22"/>
        </w:rPr>
      </w:pPr>
      <w:r w:rsidRPr="00EF52D0">
        <w:rPr>
          <w:rFonts w:asciiTheme="minorHAnsi" w:hAnsiTheme="minorHAnsi" w:cstheme="minorHAnsi"/>
          <w:sz w:val="22"/>
        </w:rPr>
        <w:t xml:space="preserve">To evaluate the anticholinergic activity of the starting extract and encapsulated extract, the anti-cholinergic activity was measured by the inhibition of </w:t>
      </w:r>
      <w:proofErr w:type="spellStart"/>
      <w:r w:rsidRPr="00EF52D0">
        <w:rPr>
          <w:rFonts w:asciiTheme="minorHAnsi" w:hAnsiTheme="minorHAnsi" w:cstheme="minorHAnsi"/>
          <w:sz w:val="22"/>
        </w:rPr>
        <w:t>AChE</w:t>
      </w:r>
      <w:proofErr w:type="spellEnd"/>
      <w:r w:rsidRPr="00EF52D0">
        <w:rPr>
          <w:rFonts w:asciiTheme="minorHAnsi" w:hAnsiTheme="minorHAnsi" w:cstheme="minorHAnsi"/>
          <w:sz w:val="22"/>
        </w:rPr>
        <w:t xml:space="preserve"> and </w:t>
      </w:r>
      <w:proofErr w:type="spellStart"/>
      <w:r w:rsidRPr="00EF52D0">
        <w:rPr>
          <w:rFonts w:asciiTheme="minorHAnsi" w:hAnsiTheme="minorHAnsi" w:cstheme="minorHAnsi"/>
          <w:sz w:val="22"/>
        </w:rPr>
        <w:t>BuChE</w:t>
      </w:r>
      <w:proofErr w:type="spellEnd"/>
      <w:r w:rsidRPr="00EF52D0">
        <w:rPr>
          <w:rFonts w:asciiTheme="minorHAnsi" w:hAnsiTheme="minorHAnsi" w:cstheme="minorHAnsi"/>
          <w:sz w:val="22"/>
        </w:rPr>
        <w:t xml:space="preserve"> enzymes with a fluorescent assay based on Ellman’s method and Sánchez-Martínez </w:t>
      </w:r>
      <w:r w:rsidRPr="00EF52D0">
        <w:rPr>
          <w:rFonts w:asciiTheme="minorHAnsi" w:hAnsiTheme="minorHAnsi" w:cstheme="minorHAnsi"/>
          <w:i/>
          <w:iCs/>
          <w:sz w:val="22"/>
        </w:rPr>
        <w:t>et al.</w:t>
      </w:r>
      <w:r w:rsidRPr="00EF52D0">
        <w:rPr>
          <w:rFonts w:asciiTheme="minorHAnsi" w:hAnsiTheme="minorHAnsi" w:cstheme="minorHAnsi"/>
          <w:sz w:val="22"/>
        </w:rPr>
        <w:t xml:space="preserve"> (2022) with modifications derived from the extract nature. To do both inhibition assays, stocks of both </w:t>
      </w:r>
      <w:r w:rsidRPr="00EF52D0">
        <w:rPr>
          <w:rFonts w:asciiTheme="minorHAnsi" w:hAnsiTheme="minorHAnsi" w:cstheme="minorHAnsi"/>
          <w:sz w:val="22"/>
        </w:rPr>
        <w:lastRenderedPageBreak/>
        <w:t xml:space="preserve">enzymes were prepared in 150 mM Tris-HCl buffer at pH 8.00. 100 µL of the same buffer, 25 µL of </w:t>
      </w:r>
      <w:proofErr w:type="spellStart"/>
      <w:r w:rsidRPr="00EF52D0">
        <w:rPr>
          <w:rFonts w:asciiTheme="minorHAnsi" w:hAnsiTheme="minorHAnsi" w:cstheme="minorHAnsi"/>
          <w:sz w:val="22"/>
        </w:rPr>
        <w:t>AChE</w:t>
      </w:r>
      <w:proofErr w:type="spellEnd"/>
      <w:r w:rsidRPr="00EF52D0">
        <w:rPr>
          <w:rFonts w:asciiTheme="minorHAnsi" w:hAnsiTheme="minorHAnsi" w:cstheme="minorHAnsi"/>
          <w:sz w:val="22"/>
        </w:rPr>
        <w:t xml:space="preserve"> (or </w:t>
      </w:r>
      <w:proofErr w:type="spellStart"/>
      <w:r w:rsidRPr="00EF52D0">
        <w:rPr>
          <w:rFonts w:asciiTheme="minorHAnsi" w:hAnsiTheme="minorHAnsi" w:cstheme="minorHAnsi"/>
          <w:sz w:val="22"/>
        </w:rPr>
        <w:t>BuChE</w:t>
      </w:r>
      <w:proofErr w:type="spellEnd"/>
      <w:r w:rsidRPr="00EF52D0">
        <w:rPr>
          <w:rFonts w:asciiTheme="minorHAnsi" w:hAnsiTheme="minorHAnsi" w:cstheme="minorHAnsi"/>
          <w:sz w:val="22"/>
        </w:rPr>
        <w:t>) enzyme (at a concentration of the K</w:t>
      </w:r>
      <w:r w:rsidRPr="00EF52D0">
        <w:rPr>
          <w:rFonts w:asciiTheme="minorHAnsi" w:hAnsiTheme="minorHAnsi" w:cstheme="minorHAnsi"/>
          <w:sz w:val="22"/>
          <w:vertAlign w:val="subscript"/>
        </w:rPr>
        <w:t>m</w:t>
      </w:r>
      <w:r w:rsidRPr="00EF52D0">
        <w:rPr>
          <w:rFonts w:asciiTheme="minorHAnsi" w:hAnsiTheme="minorHAnsi" w:cstheme="minorHAnsi"/>
          <w:sz w:val="22"/>
        </w:rPr>
        <w:t xml:space="preserve"> value in ultrapure water), and 100 µL of sample at seven different concentrations in ethanol were mixed in each well of the microplate. After 10 min of incubation, an </w:t>
      </w:r>
      <w:proofErr w:type="spellStart"/>
      <w:r w:rsidRPr="00EF52D0">
        <w:rPr>
          <w:rFonts w:asciiTheme="minorHAnsi" w:hAnsiTheme="minorHAnsi" w:cstheme="minorHAnsi"/>
          <w:sz w:val="22"/>
        </w:rPr>
        <w:t>autodispenser</w:t>
      </w:r>
      <w:proofErr w:type="spellEnd"/>
      <w:r w:rsidRPr="00EF52D0">
        <w:rPr>
          <w:rFonts w:asciiTheme="minorHAnsi" w:hAnsiTheme="minorHAnsi" w:cstheme="minorHAnsi"/>
          <w:sz w:val="22"/>
        </w:rPr>
        <w:t xml:space="preserve"> coupled to the microplate-reader introduced 25 µL of ABD-F (125 µM) in buffer and 50 µL of </w:t>
      </w:r>
      <w:proofErr w:type="spellStart"/>
      <w:r w:rsidRPr="00EF52D0">
        <w:rPr>
          <w:rFonts w:asciiTheme="minorHAnsi" w:hAnsiTheme="minorHAnsi" w:cstheme="minorHAnsi"/>
          <w:sz w:val="22"/>
        </w:rPr>
        <w:t>ACth</w:t>
      </w:r>
      <w:proofErr w:type="spellEnd"/>
      <w:r w:rsidRPr="00EF52D0">
        <w:rPr>
          <w:rFonts w:asciiTheme="minorHAnsi" w:hAnsiTheme="minorHAnsi" w:cstheme="minorHAnsi"/>
          <w:sz w:val="22"/>
        </w:rPr>
        <w:t xml:space="preserve"> (or </w:t>
      </w:r>
      <w:proofErr w:type="spellStart"/>
      <w:r w:rsidRPr="00EF52D0">
        <w:rPr>
          <w:rFonts w:asciiTheme="minorHAnsi" w:hAnsiTheme="minorHAnsi" w:cstheme="minorHAnsi"/>
          <w:sz w:val="22"/>
        </w:rPr>
        <w:t>BCth</w:t>
      </w:r>
      <w:proofErr w:type="spellEnd"/>
      <w:r w:rsidRPr="00EF52D0">
        <w:rPr>
          <w:rFonts w:asciiTheme="minorHAnsi" w:hAnsiTheme="minorHAnsi" w:cstheme="minorHAnsi"/>
          <w:sz w:val="22"/>
        </w:rPr>
        <w:t>) in a concentration that correspond to the K</w:t>
      </w:r>
      <w:r w:rsidRPr="00EF52D0">
        <w:rPr>
          <w:rFonts w:asciiTheme="minorHAnsi" w:hAnsiTheme="minorHAnsi" w:cstheme="minorHAnsi"/>
          <w:sz w:val="22"/>
          <w:vertAlign w:val="subscript"/>
        </w:rPr>
        <w:t>m</w:t>
      </w:r>
      <w:r w:rsidRPr="00EF52D0">
        <w:rPr>
          <w:rFonts w:asciiTheme="minorHAnsi" w:hAnsiTheme="minorHAnsi" w:cstheme="minorHAnsi"/>
          <w:sz w:val="22"/>
        </w:rPr>
        <w:t xml:space="preserve"> value in ethanol were added and agitated to finally obtain the media speed of a kinetic measure at </w:t>
      </w:r>
      <w:proofErr w:type="spellStart"/>
      <w:r w:rsidRPr="00EF52D0">
        <w:rPr>
          <w:rFonts w:asciiTheme="minorHAnsi" w:hAnsiTheme="minorHAnsi" w:cstheme="minorHAnsi"/>
          <w:sz w:val="22"/>
        </w:rPr>
        <w:t>λ</w:t>
      </w:r>
      <w:r w:rsidRPr="00EF52D0">
        <w:rPr>
          <w:rFonts w:asciiTheme="minorHAnsi" w:hAnsiTheme="minorHAnsi" w:cstheme="minorHAnsi"/>
          <w:sz w:val="22"/>
          <w:vertAlign w:val="subscript"/>
        </w:rPr>
        <w:t>ex</w:t>
      </w:r>
      <w:proofErr w:type="spellEnd"/>
      <w:r w:rsidRPr="00EF52D0">
        <w:rPr>
          <w:rFonts w:asciiTheme="minorHAnsi" w:hAnsiTheme="minorHAnsi" w:cstheme="minorHAnsi"/>
          <w:sz w:val="22"/>
        </w:rPr>
        <w:t xml:space="preserve">=389 and </w:t>
      </w:r>
      <w:proofErr w:type="spellStart"/>
      <w:r w:rsidRPr="00EF52D0">
        <w:rPr>
          <w:rFonts w:asciiTheme="minorHAnsi" w:hAnsiTheme="minorHAnsi" w:cstheme="minorHAnsi"/>
          <w:sz w:val="22"/>
        </w:rPr>
        <w:t>λ</w:t>
      </w:r>
      <w:r w:rsidRPr="00EF52D0">
        <w:rPr>
          <w:rFonts w:asciiTheme="minorHAnsi" w:hAnsiTheme="minorHAnsi" w:cstheme="minorHAnsi"/>
          <w:sz w:val="22"/>
          <w:vertAlign w:val="subscript"/>
        </w:rPr>
        <w:t>em</w:t>
      </w:r>
      <w:proofErr w:type="spellEnd"/>
      <w:r w:rsidRPr="00EF52D0">
        <w:rPr>
          <w:rFonts w:asciiTheme="minorHAnsi" w:hAnsiTheme="minorHAnsi" w:cstheme="minorHAnsi"/>
          <w:sz w:val="22"/>
        </w:rPr>
        <w:t xml:space="preserve">=513 nm during 15 min at the minimum interval possible at 37 </w:t>
      </w:r>
      <w:r w:rsidRPr="00A129F7">
        <w:rPr>
          <w:rFonts w:ascii="Times New Roman" w:hAnsi="Times New Roman" w:cs="Times New Roman"/>
          <w:sz w:val="22"/>
        </w:rPr>
        <w:t>º</w:t>
      </w:r>
      <w:r w:rsidRPr="00EF52D0">
        <w:rPr>
          <w:rFonts w:asciiTheme="minorHAnsi" w:hAnsiTheme="minorHAnsi" w:cstheme="minorHAnsi"/>
          <w:sz w:val="22"/>
        </w:rPr>
        <w:t>C. Galantamine was used as reference inhibitor following this protocol and the result obtained in each sample was given as equivalents of galantamine. All the assays were performed in triplicate.</w:t>
      </w:r>
    </w:p>
    <w:p w14:paraId="42D533D7" w14:textId="77777777" w:rsidR="00606D4D" w:rsidRDefault="00606D4D" w:rsidP="00EF52D0">
      <w:pPr>
        <w:spacing w:line="480" w:lineRule="auto"/>
        <w:ind w:firstLine="0"/>
        <w:rPr>
          <w:rFonts w:asciiTheme="minorHAnsi" w:eastAsiaTheme="minorEastAsia" w:hAnsiTheme="minorHAnsi" w:cstheme="minorHAnsi"/>
          <w:b/>
          <w:bCs/>
          <w:sz w:val="22"/>
        </w:rPr>
        <w:sectPr w:rsidR="00606D4D" w:rsidSect="004A7DF7">
          <w:footerReference w:type="default" r:id="rId12"/>
          <w:pgSz w:w="11906" w:h="16838"/>
          <w:pgMar w:top="1417" w:right="1701" w:bottom="1417" w:left="1701" w:header="708" w:footer="708" w:gutter="0"/>
          <w:lnNumType w:countBy="1" w:restart="continuous"/>
          <w:cols w:space="708"/>
          <w:docGrid w:linePitch="360"/>
        </w:sectPr>
      </w:pPr>
    </w:p>
    <w:p w14:paraId="0BFB3182" w14:textId="37C10C11" w:rsidR="00B66C3D" w:rsidRPr="00EF52D0" w:rsidRDefault="006573CE" w:rsidP="00B66C3D">
      <w:pPr>
        <w:pStyle w:val="Descripcin"/>
        <w:keepNext/>
        <w:spacing w:after="0" w:line="480" w:lineRule="auto"/>
        <w:ind w:firstLine="0"/>
        <w:mirrorIndents/>
        <w:rPr>
          <w:rStyle w:val="Refdecomentario"/>
          <w:rFonts w:asciiTheme="minorHAnsi" w:hAnsiTheme="minorHAnsi" w:cstheme="minorHAnsi"/>
          <w:iCs w:val="0"/>
          <w:sz w:val="22"/>
          <w:szCs w:val="22"/>
        </w:rPr>
      </w:pPr>
      <w:r w:rsidRPr="00EF52D0">
        <w:rPr>
          <w:rFonts w:asciiTheme="minorHAnsi" w:hAnsiTheme="minorHAnsi" w:cstheme="minorHAnsi"/>
          <w:noProof/>
          <w:sz w:val="22"/>
          <w:szCs w:val="22"/>
        </w:rPr>
        <w:lastRenderedPageBreak/>
        <w:drawing>
          <wp:inline distT="0" distB="0" distL="0" distR="0" wp14:anchorId="03F8C910" wp14:editId="79A1F01E">
            <wp:extent cx="5400040" cy="4059555"/>
            <wp:effectExtent l="0" t="0" r="0" b="0"/>
            <wp:docPr id="1579317539" name="Picture 1579317539"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17539" name="Picture 1579317539" descr="A diagram of a graph&#10;&#10;Description automatically generated with medium confidence"/>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00040" cy="4059555"/>
                    </a:xfrm>
                    <a:prstGeom prst="rect">
                      <a:avLst/>
                    </a:prstGeom>
                    <a:noFill/>
                  </pic:spPr>
                </pic:pic>
              </a:graphicData>
            </a:graphic>
          </wp:inline>
        </w:drawing>
      </w:r>
    </w:p>
    <w:p w14:paraId="6D7B9305" w14:textId="3BF3C3E7" w:rsidR="006573CE" w:rsidRPr="00EF52D0" w:rsidRDefault="006573CE" w:rsidP="006573CE">
      <w:pPr>
        <w:spacing w:line="259" w:lineRule="auto"/>
        <w:ind w:firstLine="0"/>
        <w:rPr>
          <w:rFonts w:asciiTheme="minorHAnsi" w:hAnsiTheme="minorHAnsi" w:cstheme="minorHAnsi"/>
          <w:sz w:val="22"/>
        </w:rPr>
      </w:pPr>
      <w:r w:rsidRPr="00EF52D0">
        <w:rPr>
          <w:rFonts w:asciiTheme="minorHAnsi" w:hAnsiTheme="minorHAnsi" w:cstheme="minorHAnsi"/>
          <w:sz w:val="22"/>
        </w:rPr>
        <w:t xml:space="preserve">Figure S1. </w:t>
      </w:r>
      <w:r w:rsidRPr="00EF52D0">
        <w:rPr>
          <w:rFonts w:asciiTheme="minorHAnsi" w:eastAsiaTheme="minorEastAsia" w:hAnsiTheme="minorHAnsi" w:cstheme="minorHAnsi"/>
          <w:sz w:val="22"/>
        </w:rPr>
        <w:t xml:space="preserve">LC chromatogram of the carotenoids present in the starting </w:t>
      </w:r>
      <w:r w:rsidRPr="00EF52D0">
        <w:rPr>
          <w:rFonts w:asciiTheme="minorHAnsi" w:eastAsiaTheme="minorEastAsia" w:hAnsiTheme="minorHAnsi" w:cstheme="minorHAnsi"/>
          <w:i/>
          <w:iCs/>
          <w:sz w:val="22"/>
        </w:rPr>
        <w:t>D. salina</w:t>
      </w:r>
      <w:r w:rsidRPr="00EF52D0">
        <w:rPr>
          <w:rFonts w:asciiTheme="minorHAnsi" w:eastAsiaTheme="minorEastAsia" w:hAnsiTheme="minorHAnsi" w:cstheme="minorHAnsi"/>
          <w:sz w:val="22"/>
        </w:rPr>
        <w:t xml:space="preserve"> UHP-SFE extract non-encapsulated fraction, and the encapsulated product after cryo-stirring </w:t>
      </w:r>
      <w:r w:rsidR="00A129F7">
        <w:rPr>
          <w:rFonts w:asciiTheme="minorHAnsi" w:eastAsiaTheme="minorEastAsia" w:hAnsiTheme="minorHAnsi" w:cstheme="minorHAnsi"/>
          <w:sz w:val="22"/>
        </w:rPr>
        <w:t>micro</w:t>
      </w:r>
      <w:r w:rsidRPr="00EF52D0">
        <w:rPr>
          <w:rFonts w:asciiTheme="minorHAnsi" w:eastAsiaTheme="minorEastAsia" w:hAnsiTheme="minorHAnsi" w:cstheme="minorHAnsi"/>
          <w:sz w:val="22"/>
        </w:rPr>
        <w:t>encapsulation process. For peak identification, see Table 1.</w:t>
      </w:r>
    </w:p>
    <w:p w14:paraId="7C20214F" w14:textId="677BCCBB" w:rsidR="00B66C3D" w:rsidRPr="00EF52D0" w:rsidRDefault="00B66C3D">
      <w:pPr>
        <w:spacing w:line="259" w:lineRule="auto"/>
        <w:ind w:firstLine="0"/>
        <w:jc w:val="left"/>
        <w:rPr>
          <w:rFonts w:asciiTheme="minorHAnsi" w:hAnsiTheme="minorHAnsi" w:cstheme="minorHAnsi"/>
          <w:sz w:val="22"/>
        </w:rPr>
      </w:pPr>
      <w:r w:rsidRPr="00EF52D0">
        <w:rPr>
          <w:rFonts w:asciiTheme="minorHAnsi" w:hAnsiTheme="minorHAnsi" w:cstheme="minorHAnsi"/>
          <w:sz w:val="22"/>
        </w:rPr>
        <w:br w:type="page"/>
      </w:r>
    </w:p>
    <w:p w14:paraId="10A35F1C" w14:textId="09A1E0B2" w:rsidR="00B66C3D" w:rsidRPr="00EF52D0" w:rsidRDefault="006573CE" w:rsidP="00B66C3D">
      <w:pPr>
        <w:spacing w:after="0" w:line="480" w:lineRule="auto"/>
        <w:ind w:firstLine="0"/>
        <w:mirrorIndents/>
        <w:rPr>
          <w:rFonts w:asciiTheme="minorHAnsi" w:hAnsiTheme="minorHAnsi" w:cstheme="minorHAnsi"/>
          <w:sz w:val="22"/>
        </w:rPr>
      </w:pPr>
      <w:r w:rsidRPr="00EF52D0">
        <w:rPr>
          <w:rFonts w:asciiTheme="minorHAnsi" w:hAnsiTheme="minorHAnsi" w:cstheme="minorHAnsi"/>
          <w:noProof/>
          <w:sz w:val="22"/>
        </w:rPr>
        <w:lastRenderedPageBreak/>
        <w:drawing>
          <wp:inline distT="0" distB="0" distL="0" distR="0" wp14:anchorId="2235BE32" wp14:editId="7782CFAB">
            <wp:extent cx="5357495" cy="3581151"/>
            <wp:effectExtent l="0" t="0" r="0" b="635"/>
            <wp:docPr id="5" name="Picture 5" descr="A diagram of a variety of different types of extra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variety of different types of extract&#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7495" cy="3581151"/>
                    </a:xfrm>
                    <a:prstGeom prst="rect">
                      <a:avLst/>
                    </a:prstGeom>
                    <a:noFill/>
                  </pic:spPr>
                </pic:pic>
              </a:graphicData>
            </a:graphic>
          </wp:inline>
        </w:drawing>
      </w:r>
    </w:p>
    <w:p w14:paraId="21E90700" w14:textId="0D55FC45" w:rsidR="006573CE" w:rsidRPr="00EF52D0" w:rsidRDefault="006573CE" w:rsidP="006573CE">
      <w:pPr>
        <w:pStyle w:val="Descripcin"/>
        <w:spacing w:after="0" w:line="480" w:lineRule="auto"/>
        <w:ind w:firstLine="0"/>
        <w:mirrorIndents/>
        <w:rPr>
          <w:rFonts w:asciiTheme="minorHAnsi" w:hAnsiTheme="minorHAnsi" w:cstheme="minorHAnsi"/>
          <w:i w:val="0"/>
          <w:iCs w:val="0"/>
          <w:color w:val="auto"/>
          <w:sz w:val="22"/>
          <w:szCs w:val="22"/>
        </w:rPr>
      </w:pPr>
      <w:r w:rsidRPr="00EF52D0">
        <w:rPr>
          <w:rFonts w:asciiTheme="minorHAnsi" w:hAnsiTheme="minorHAnsi" w:cstheme="minorHAnsi"/>
          <w:i w:val="0"/>
          <w:iCs w:val="0"/>
          <w:color w:val="auto"/>
          <w:sz w:val="22"/>
          <w:szCs w:val="22"/>
        </w:rPr>
        <w:t xml:space="preserve">Figure S2. GC chromatograms of A) starting </w:t>
      </w:r>
      <w:r w:rsidRPr="00EF52D0">
        <w:rPr>
          <w:rFonts w:asciiTheme="minorHAnsi" w:hAnsiTheme="minorHAnsi" w:cstheme="minorHAnsi"/>
          <w:color w:val="auto"/>
          <w:sz w:val="22"/>
          <w:szCs w:val="22"/>
        </w:rPr>
        <w:t>D. salina</w:t>
      </w:r>
      <w:r w:rsidRPr="00EF52D0">
        <w:rPr>
          <w:rFonts w:asciiTheme="minorHAnsi" w:hAnsiTheme="minorHAnsi" w:cstheme="minorHAnsi"/>
          <w:i w:val="0"/>
          <w:iCs w:val="0"/>
          <w:color w:val="auto"/>
          <w:sz w:val="22"/>
          <w:szCs w:val="22"/>
        </w:rPr>
        <w:t xml:space="preserve"> UHP-SFE extract, B) non-encapsulated fraction, and C) encapsulated product after cryo-stirring </w:t>
      </w:r>
      <w:r w:rsidR="00A129F7">
        <w:rPr>
          <w:rFonts w:asciiTheme="minorHAnsi" w:hAnsiTheme="minorHAnsi" w:cstheme="minorHAnsi"/>
          <w:i w:val="0"/>
          <w:iCs w:val="0"/>
          <w:color w:val="auto"/>
          <w:sz w:val="22"/>
          <w:szCs w:val="22"/>
        </w:rPr>
        <w:t>micro</w:t>
      </w:r>
      <w:r w:rsidRPr="00EF52D0">
        <w:rPr>
          <w:rFonts w:asciiTheme="minorHAnsi" w:hAnsiTheme="minorHAnsi" w:cstheme="minorHAnsi"/>
          <w:i w:val="0"/>
          <w:iCs w:val="0"/>
          <w:color w:val="auto"/>
          <w:sz w:val="22"/>
          <w:szCs w:val="22"/>
        </w:rPr>
        <w:t>encapsulation process with terpenoid identified peaks marked. For peak identification see Table 2.</w:t>
      </w:r>
    </w:p>
    <w:p w14:paraId="7B6BE65C" w14:textId="77777777" w:rsidR="00B66C3D" w:rsidRPr="00EF52D0" w:rsidRDefault="00B66C3D">
      <w:pPr>
        <w:spacing w:line="259" w:lineRule="auto"/>
        <w:ind w:firstLine="0"/>
        <w:jc w:val="left"/>
        <w:rPr>
          <w:rFonts w:asciiTheme="minorHAnsi" w:hAnsiTheme="minorHAnsi" w:cstheme="minorHAnsi"/>
          <w:sz w:val="22"/>
        </w:rPr>
      </w:pPr>
    </w:p>
    <w:p w14:paraId="7B03EE84" w14:textId="77777777" w:rsidR="00B66C3D" w:rsidRPr="00EF52D0" w:rsidRDefault="00B66C3D">
      <w:pPr>
        <w:spacing w:line="259" w:lineRule="auto"/>
        <w:ind w:firstLine="0"/>
        <w:jc w:val="left"/>
        <w:rPr>
          <w:rFonts w:asciiTheme="minorHAnsi" w:hAnsiTheme="minorHAnsi" w:cstheme="minorHAnsi"/>
          <w:sz w:val="22"/>
        </w:rPr>
        <w:sectPr w:rsidR="00B66C3D" w:rsidRPr="00EF52D0" w:rsidSect="004A7DF7">
          <w:pgSz w:w="11906" w:h="16838"/>
          <w:pgMar w:top="1417" w:right="1701" w:bottom="1417" w:left="1701" w:header="708" w:footer="708" w:gutter="0"/>
          <w:lnNumType w:countBy="1" w:restart="continuous"/>
          <w:cols w:space="708"/>
          <w:docGrid w:linePitch="360"/>
        </w:sectPr>
      </w:pPr>
      <w:r w:rsidRPr="00EF52D0">
        <w:rPr>
          <w:rFonts w:asciiTheme="minorHAnsi" w:hAnsiTheme="minorHAnsi" w:cstheme="minorHAnsi"/>
          <w:sz w:val="22"/>
        </w:rPr>
        <w:br w:type="page"/>
      </w:r>
    </w:p>
    <w:p w14:paraId="7A15F9E0" w14:textId="0707CA95" w:rsidR="00B66C3D" w:rsidRPr="00EF52D0" w:rsidRDefault="00A10A66" w:rsidP="00B66C3D">
      <w:pPr>
        <w:spacing w:after="0" w:line="480" w:lineRule="auto"/>
        <w:ind w:firstLine="0"/>
        <w:mirrorIndents/>
        <w:rPr>
          <w:rFonts w:asciiTheme="minorHAnsi" w:hAnsiTheme="minorHAnsi" w:cstheme="minorHAnsi"/>
          <w:sz w:val="22"/>
        </w:rPr>
      </w:pPr>
      <w:r w:rsidRPr="00EF52D0">
        <w:rPr>
          <w:rFonts w:asciiTheme="minorHAnsi" w:hAnsiTheme="minorHAnsi" w:cstheme="minorHAnsi"/>
          <w:noProof/>
          <w:sz w:val="22"/>
        </w:rPr>
        <w:lastRenderedPageBreak/>
        <w:drawing>
          <wp:inline distT="0" distB="0" distL="0" distR="0" wp14:anchorId="0F833F03" wp14:editId="3C82F542">
            <wp:extent cx="5394960" cy="5867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4960" cy="5867400"/>
                    </a:xfrm>
                    <a:prstGeom prst="rect">
                      <a:avLst/>
                    </a:prstGeom>
                    <a:noFill/>
                    <a:ln>
                      <a:noFill/>
                    </a:ln>
                  </pic:spPr>
                </pic:pic>
              </a:graphicData>
            </a:graphic>
          </wp:inline>
        </w:drawing>
      </w:r>
    </w:p>
    <w:p w14:paraId="03936C7D" w14:textId="77777777" w:rsidR="006573CE" w:rsidRPr="00EF52D0" w:rsidRDefault="006573CE" w:rsidP="006573CE">
      <w:pPr>
        <w:pStyle w:val="Descripcin"/>
        <w:spacing w:after="0" w:line="480" w:lineRule="auto"/>
        <w:ind w:firstLine="0"/>
        <w:mirrorIndents/>
        <w:rPr>
          <w:rFonts w:asciiTheme="minorHAnsi" w:hAnsiTheme="minorHAnsi" w:cstheme="minorHAnsi"/>
          <w:i w:val="0"/>
          <w:iCs w:val="0"/>
          <w:color w:val="auto"/>
          <w:sz w:val="22"/>
          <w:szCs w:val="22"/>
        </w:rPr>
      </w:pPr>
      <w:r w:rsidRPr="00EF52D0">
        <w:rPr>
          <w:rFonts w:asciiTheme="minorHAnsi" w:hAnsiTheme="minorHAnsi" w:cstheme="minorHAnsi"/>
          <w:i w:val="0"/>
          <w:iCs w:val="0"/>
          <w:color w:val="auto"/>
          <w:sz w:val="22"/>
          <w:szCs w:val="22"/>
        </w:rPr>
        <w:t xml:space="preserve">Figure S3. GC chromatograms of the starting </w:t>
      </w:r>
      <w:r w:rsidRPr="00EF52D0">
        <w:rPr>
          <w:rFonts w:asciiTheme="minorHAnsi" w:hAnsiTheme="minorHAnsi" w:cstheme="minorHAnsi"/>
          <w:iCs w:val="0"/>
          <w:color w:val="auto"/>
          <w:sz w:val="22"/>
          <w:szCs w:val="22"/>
        </w:rPr>
        <w:t>D. salina</w:t>
      </w:r>
      <w:r w:rsidRPr="00EF52D0">
        <w:rPr>
          <w:rFonts w:asciiTheme="minorHAnsi" w:hAnsiTheme="minorHAnsi" w:cstheme="minorHAnsi"/>
          <w:i w:val="0"/>
          <w:iCs w:val="0"/>
          <w:color w:val="auto"/>
          <w:sz w:val="22"/>
          <w:szCs w:val="22"/>
        </w:rPr>
        <w:t xml:space="preserve"> extract and the different fractions obtained in each encapsulation step (for comparison of the peak areas see Table 3).</w:t>
      </w:r>
    </w:p>
    <w:p w14:paraId="1D21B8A6" w14:textId="77777777" w:rsidR="00B66C3D" w:rsidRPr="00EF52D0" w:rsidRDefault="00B66C3D">
      <w:pPr>
        <w:spacing w:line="259" w:lineRule="auto"/>
        <w:ind w:firstLine="0"/>
        <w:jc w:val="left"/>
        <w:rPr>
          <w:rFonts w:asciiTheme="minorHAnsi" w:hAnsiTheme="minorHAnsi" w:cstheme="minorHAnsi"/>
          <w:sz w:val="22"/>
        </w:rPr>
      </w:pPr>
    </w:p>
    <w:p w14:paraId="2B50E304" w14:textId="77777777" w:rsidR="00B66C3D" w:rsidRPr="00E82E09" w:rsidRDefault="00B66C3D">
      <w:pPr>
        <w:spacing w:line="259" w:lineRule="auto"/>
        <w:ind w:firstLine="0"/>
        <w:jc w:val="left"/>
        <w:rPr>
          <w:rFonts w:asciiTheme="minorHAnsi" w:hAnsiTheme="minorHAnsi" w:cstheme="minorHAnsi"/>
          <w:sz w:val="22"/>
        </w:rPr>
        <w:sectPr w:rsidR="00B66C3D" w:rsidRPr="00E82E09" w:rsidSect="00B66C3D">
          <w:pgSz w:w="11906" w:h="16838"/>
          <w:pgMar w:top="1418" w:right="1701" w:bottom="1418" w:left="1701" w:header="709" w:footer="709" w:gutter="0"/>
          <w:lnNumType w:countBy="1" w:restart="continuous"/>
          <w:cols w:space="708"/>
          <w:docGrid w:linePitch="360"/>
        </w:sectPr>
      </w:pPr>
    </w:p>
    <w:p w14:paraId="3D5AD473" w14:textId="1E138B15" w:rsidR="00E36AB7" w:rsidRPr="00E82E09" w:rsidRDefault="00CC2A48" w:rsidP="009D7D49">
      <w:pPr>
        <w:pStyle w:val="Bibliografa"/>
        <w:spacing w:line="480" w:lineRule="auto"/>
        <w:jc w:val="both"/>
        <w:rPr>
          <w:rFonts w:cstheme="minorHAnsi"/>
          <w:b/>
          <w:bCs/>
          <w:lang w:val="en-GB"/>
        </w:rPr>
      </w:pPr>
      <w:r w:rsidRPr="00E82E09">
        <w:rPr>
          <w:rFonts w:cstheme="minorHAnsi"/>
          <w:b/>
          <w:bCs/>
          <w:lang w:val="en-US"/>
        </w:rPr>
        <w:lastRenderedPageBreak/>
        <w:t>References</w:t>
      </w:r>
      <w:r w:rsidR="00E36AB7" w:rsidRPr="00E82E09">
        <w:rPr>
          <w:rFonts w:cstheme="minorHAnsi"/>
          <w:b/>
          <w:bCs/>
          <w:lang w:val="en-GB"/>
        </w:rPr>
        <w:t>.</w:t>
      </w:r>
    </w:p>
    <w:p w14:paraId="4325EB46" w14:textId="348CC97E" w:rsidR="007B080C" w:rsidRPr="00E82E09" w:rsidRDefault="007B080C" w:rsidP="00965571">
      <w:pPr>
        <w:pStyle w:val="Bibliografa"/>
        <w:spacing w:line="480" w:lineRule="auto"/>
        <w:jc w:val="both"/>
        <w:rPr>
          <w:rFonts w:cstheme="minorHAnsi"/>
          <w:lang w:val="en-US"/>
        </w:rPr>
      </w:pPr>
      <w:r w:rsidRPr="00E82E09">
        <w:rPr>
          <w:rFonts w:cstheme="minorHAnsi"/>
          <w:lang w:val="en-US"/>
        </w:rPr>
        <w:t xml:space="preserve">Brand-Williams, W., </w:t>
      </w:r>
      <w:proofErr w:type="spellStart"/>
      <w:r w:rsidRPr="00E82E09">
        <w:rPr>
          <w:rFonts w:cstheme="minorHAnsi"/>
          <w:lang w:val="en-US"/>
        </w:rPr>
        <w:t>Cuvelier</w:t>
      </w:r>
      <w:proofErr w:type="spellEnd"/>
      <w:r w:rsidRPr="00E82E09">
        <w:rPr>
          <w:rFonts w:cstheme="minorHAnsi"/>
          <w:lang w:val="en-US"/>
        </w:rPr>
        <w:t xml:space="preserve">, M.E., </w:t>
      </w:r>
      <w:proofErr w:type="spellStart"/>
      <w:r w:rsidRPr="00E82E09">
        <w:rPr>
          <w:rFonts w:cstheme="minorHAnsi"/>
          <w:lang w:val="en-US"/>
        </w:rPr>
        <w:t>Bersetm</w:t>
      </w:r>
      <w:proofErr w:type="spellEnd"/>
      <w:r w:rsidRPr="00E82E09">
        <w:rPr>
          <w:rFonts w:cstheme="minorHAnsi"/>
          <w:lang w:val="en-US"/>
        </w:rPr>
        <w:t xml:space="preserve"> C. Use of a Free Radical Method to Evaluate Antioxidant Activity. </w:t>
      </w:r>
      <w:r w:rsidRPr="00E82E09">
        <w:rPr>
          <w:rFonts w:cstheme="minorHAnsi"/>
          <w:i/>
          <w:iCs/>
          <w:lang w:val="en-US"/>
        </w:rPr>
        <w:t>LWR-Food Science and Technology</w:t>
      </w:r>
      <w:r w:rsidRPr="00E82E09">
        <w:rPr>
          <w:rFonts w:cstheme="minorHAnsi"/>
          <w:lang w:val="en-US"/>
        </w:rPr>
        <w:t>. Vol. 28 (1)</w:t>
      </w:r>
      <w:r w:rsidR="00064C97" w:rsidRPr="00E82E09">
        <w:rPr>
          <w:rFonts w:cstheme="minorHAnsi"/>
          <w:lang w:val="en-US"/>
        </w:rPr>
        <w:t xml:space="preserve"> (1995)</w:t>
      </w:r>
      <w:r w:rsidRPr="00E82E09">
        <w:rPr>
          <w:rFonts w:cstheme="minorHAnsi"/>
          <w:lang w:val="en-US"/>
        </w:rPr>
        <w:t>: pp. 25-30. https://doi.org/10.1016/S0023-6438(95)80008-5</w:t>
      </w:r>
    </w:p>
    <w:p w14:paraId="19BD7D06" w14:textId="77777777" w:rsidR="00606D4D" w:rsidRPr="00E82E09" w:rsidRDefault="00606D4D" w:rsidP="00606D4D">
      <w:pPr>
        <w:pStyle w:val="Bibliografa"/>
        <w:spacing w:line="480" w:lineRule="auto"/>
        <w:jc w:val="both"/>
        <w:rPr>
          <w:rFonts w:cstheme="minorHAnsi"/>
          <w:lang w:val="en-US"/>
        </w:rPr>
      </w:pPr>
      <w:r w:rsidRPr="00E82E09">
        <w:rPr>
          <w:rFonts w:cstheme="minorHAnsi"/>
          <w:lang w:val="en-US"/>
        </w:rPr>
        <w:t>Bueno, M., Vitali, C., Sánchez-Martínez, J.D., Mendiola, J.A., Cifuentes, A., Ibáñez, E., Herrero, M. Compressed CO</w:t>
      </w:r>
      <w:r w:rsidRPr="00E82E09">
        <w:rPr>
          <w:rFonts w:cstheme="minorHAnsi"/>
          <w:vertAlign w:val="subscript"/>
          <w:lang w:val="en-US"/>
        </w:rPr>
        <w:t>2</w:t>
      </w:r>
      <w:r w:rsidRPr="00E82E09">
        <w:rPr>
          <w:rFonts w:cstheme="minorHAnsi"/>
          <w:lang w:val="en-US"/>
        </w:rPr>
        <w:t xml:space="preserve"> </w:t>
      </w:r>
      <w:proofErr w:type="spellStart"/>
      <w:r w:rsidRPr="00E82E09">
        <w:rPr>
          <w:rFonts w:cstheme="minorHAnsi"/>
          <w:lang w:val="en-US"/>
        </w:rPr>
        <w:t>Technologues</w:t>
      </w:r>
      <w:proofErr w:type="spellEnd"/>
      <w:r w:rsidRPr="00E82E09">
        <w:rPr>
          <w:rFonts w:cstheme="minorHAnsi"/>
          <w:lang w:val="en-US"/>
        </w:rPr>
        <w:t xml:space="preserve"> for the Recovery of Carotenoid-Enriched Extracts from </w:t>
      </w:r>
      <w:proofErr w:type="spellStart"/>
      <w:r w:rsidRPr="00E82E09">
        <w:rPr>
          <w:rFonts w:cstheme="minorHAnsi"/>
          <w:lang w:val="en-US"/>
        </w:rPr>
        <w:t>Dunaliella</w:t>
      </w:r>
      <w:proofErr w:type="spellEnd"/>
      <w:r w:rsidRPr="00E82E09">
        <w:rPr>
          <w:rFonts w:cstheme="minorHAnsi"/>
          <w:lang w:val="en-US"/>
        </w:rPr>
        <w:t xml:space="preserve"> </w:t>
      </w:r>
      <w:proofErr w:type="spellStart"/>
      <w:r w:rsidRPr="00E82E09">
        <w:rPr>
          <w:rFonts w:cstheme="minorHAnsi"/>
          <w:lang w:val="en-US"/>
        </w:rPr>
        <w:t>salina</w:t>
      </w:r>
      <w:proofErr w:type="spellEnd"/>
      <w:r w:rsidRPr="00E82E09">
        <w:rPr>
          <w:rFonts w:cstheme="minorHAnsi"/>
          <w:lang w:val="en-US"/>
        </w:rPr>
        <w:t xml:space="preserve"> with Potential neuroprotective activity. </w:t>
      </w:r>
      <w:r w:rsidRPr="00E82E09">
        <w:rPr>
          <w:rFonts w:cstheme="minorHAnsi"/>
          <w:i/>
          <w:iCs/>
          <w:lang w:val="en-US"/>
        </w:rPr>
        <w:t>ACS Sustainable Chemical Engineering</w:t>
      </w:r>
      <w:r w:rsidRPr="00E82E09">
        <w:rPr>
          <w:rFonts w:cstheme="minorHAnsi"/>
          <w:lang w:val="en-US"/>
        </w:rPr>
        <w:t xml:space="preserve">. Vol. 8 (2020): pp. 11413-11423. </w:t>
      </w:r>
      <w:hyperlink r:id="rId17" w:history="1">
        <w:r w:rsidRPr="00E82E09">
          <w:rPr>
            <w:rFonts w:cstheme="minorHAnsi"/>
            <w:lang w:val="en-US"/>
          </w:rPr>
          <w:t>https://dx.doi.org/10.1021/acssuschemeng.0c03991?ref=pdf</w:t>
        </w:r>
      </w:hyperlink>
    </w:p>
    <w:p w14:paraId="7A45AC84" w14:textId="77777777" w:rsidR="00E40F38" w:rsidRPr="00E82E09" w:rsidRDefault="00E40F38" w:rsidP="00E40F38">
      <w:pPr>
        <w:pStyle w:val="Bibliografa"/>
        <w:spacing w:line="480" w:lineRule="auto"/>
        <w:jc w:val="both"/>
        <w:rPr>
          <w:rFonts w:cstheme="minorHAnsi"/>
          <w:lang w:val="en-US"/>
        </w:rPr>
      </w:pPr>
      <w:proofErr w:type="spellStart"/>
      <w:r w:rsidRPr="00E82E09">
        <w:rPr>
          <w:rFonts w:cstheme="minorHAnsi"/>
          <w:lang w:val="en-US"/>
        </w:rPr>
        <w:t>Ou</w:t>
      </w:r>
      <w:proofErr w:type="spellEnd"/>
      <w:r w:rsidRPr="00E82E09">
        <w:rPr>
          <w:rFonts w:cstheme="minorHAnsi"/>
          <w:lang w:val="en-US"/>
        </w:rPr>
        <w:t xml:space="preserve">, B., </w:t>
      </w:r>
      <w:proofErr w:type="spellStart"/>
      <w:r w:rsidRPr="00E82E09">
        <w:rPr>
          <w:rFonts w:cstheme="minorHAnsi"/>
          <w:lang w:val="en-US"/>
        </w:rPr>
        <w:t>Hampsch-Woodill</w:t>
      </w:r>
      <w:proofErr w:type="spellEnd"/>
      <w:r w:rsidRPr="00E82E09">
        <w:rPr>
          <w:rFonts w:cstheme="minorHAnsi"/>
          <w:lang w:val="en-US"/>
        </w:rPr>
        <w:t xml:space="preserve">, M., Prior, R.L. Development and validation of an improved oxygen radical absorbance capacity assay using fluorescein as the fluorescent probe. </w:t>
      </w:r>
      <w:r w:rsidRPr="00E82E09">
        <w:rPr>
          <w:rFonts w:cstheme="minorHAnsi"/>
          <w:i/>
          <w:iCs/>
          <w:lang w:val="en-US"/>
        </w:rPr>
        <w:t>Journal of Agricultural Food Chemistry</w:t>
      </w:r>
      <w:r w:rsidRPr="00E82E09">
        <w:rPr>
          <w:rFonts w:cstheme="minorHAnsi"/>
          <w:lang w:val="en-US"/>
        </w:rPr>
        <w:t>. Vol 49 (10) (2001): pp. 4619-4626. https://www.doi.org/ 10.1021/jf010586o</w:t>
      </w:r>
    </w:p>
    <w:p w14:paraId="16A68497" w14:textId="77777777" w:rsidR="00E40F38" w:rsidRPr="00E82E09" w:rsidRDefault="00E40F38" w:rsidP="00E40F38">
      <w:pPr>
        <w:pStyle w:val="Bibliografa"/>
        <w:spacing w:line="480" w:lineRule="auto"/>
        <w:jc w:val="both"/>
        <w:rPr>
          <w:rFonts w:cstheme="minorHAnsi"/>
          <w:lang w:val="en-US"/>
        </w:rPr>
      </w:pPr>
      <w:r w:rsidRPr="00E82E09">
        <w:rPr>
          <w:rFonts w:cstheme="minorHAnsi"/>
          <w:lang w:val="en-US"/>
        </w:rPr>
        <w:t>Plaza, M., Rodríguez-</w:t>
      </w:r>
      <w:proofErr w:type="spellStart"/>
      <w:r w:rsidRPr="00E82E09">
        <w:rPr>
          <w:rFonts w:cstheme="minorHAnsi"/>
          <w:lang w:val="en-US"/>
        </w:rPr>
        <w:t>Meizoso</w:t>
      </w:r>
      <w:proofErr w:type="spellEnd"/>
      <w:r w:rsidRPr="00E82E09">
        <w:rPr>
          <w:rFonts w:cstheme="minorHAnsi"/>
          <w:lang w:val="en-US"/>
        </w:rPr>
        <w:t xml:space="preserve">, I. Advanced extraction processes to obtain </w:t>
      </w:r>
      <w:proofErr w:type="spellStart"/>
      <w:r w:rsidRPr="00E82E09">
        <w:rPr>
          <w:rFonts w:cstheme="minorHAnsi"/>
          <w:lang w:val="en-US"/>
        </w:rPr>
        <w:t>bioactives</w:t>
      </w:r>
      <w:proofErr w:type="spellEnd"/>
      <w:r w:rsidRPr="00E82E09">
        <w:rPr>
          <w:rFonts w:cstheme="minorHAnsi"/>
          <w:lang w:val="en-US"/>
        </w:rPr>
        <w:t xml:space="preserve"> from marine foods. Hernández-Ledesma, B., Herrero M. (Eds.), </w:t>
      </w:r>
      <w:r w:rsidRPr="00E82E09">
        <w:rPr>
          <w:rFonts w:cstheme="minorHAnsi"/>
          <w:i/>
          <w:iCs/>
          <w:lang w:val="en-US"/>
        </w:rPr>
        <w:t xml:space="preserve">Bioactive Compounds </w:t>
      </w:r>
      <w:proofErr w:type="spellStart"/>
      <w:r w:rsidRPr="00E82E09">
        <w:rPr>
          <w:rFonts w:cstheme="minorHAnsi"/>
          <w:i/>
          <w:iCs/>
          <w:lang w:val="en-US"/>
        </w:rPr>
        <w:t>fro</w:t>
      </w:r>
      <w:proofErr w:type="spellEnd"/>
      <w:r w:rsidRPr="00E82E09">
        <w:rPr>
          <w:rFonts w:cstheme="minorHAnsi"/>
          <w:i/>
          <w:iCs/>
          <w:lang w:val="en-US"/>
        </w:rPr>
        <w:t xml:space="preserve"> Marine Foods: Plant and Animal Sources</w:t>
      </w:r>
      <w:r w:rsidRPr="00E82E09">
        <w:rPr>
          <w:rFonts w:cstheme="minorHAnsi"/>
          <w:lang w:val="en-US"/>
        </w:rPr>
        <w:t>. John Wiley &amp; Sons Ltd, Chichester, UK. (2013). Pp. 343-371.</w:t>
      </w:r>
    </w:p>
    <w:p w14:paraId="7FDF82BA" w14:textId="75383231" w:rsidR="00965571" w:rsidRPr="00E82E09" w:rsidRDefault="00965571" w:rsidP="00965571">
      <w:pPr>
        <w:pStyle w:val="Bibliografa"/>
        <w:spacing w:line="480" w:lineRule="auto"/>
        <w:jc w:val="both"/>
        <w:rPr>
          <w:rFonts w:cstheme="minorHAnsi"/>
          <w:lang w:val="en-US"/>
        </w:rPr>
      </w:pPr>
      <w:r w:rsidRPr="00E82E09">
        <w:rPr>
          <w:rFonts w:cstheme="minorHAnsi"/>
          <w:lang w:val="en-US"/>
        </w:rPr>
        <w:t xml:space="preserve">Re, R., Pellegrini, N., </w:t>
      </w:r>
      <w:proofErr w:type="spellStart"/>
      <w:r w:rsidRPr="00E82E09">
        <w:rPr>
          <w:rFonts w:cstheme="minorHAnsi"/>
          <w:lang w:val="en-US"/>
        </w:rPr>
        <w:t>Proteggente</w:t>
      </w:r>
      <w:proofErr w:type="spellEnd"/>
      <w:r w:rsidRPr="00E82E09">
        <w:rPr>
          <w:rFonts w:cstheme="minorHAnsi"/>
          <w:lang w:val="en-US"/>
        </w:rPr>
        <w:t xml:space="preserve">, A., Pannala, A., Yang, M., Rice-Evans, C. Antioxidant activity applying an improved ABTS radical cation decolorization assay. </w:t>
      </w:r>
      <w:r w:rsidRPr="00E82E09">
        <w:rPr>
          <w:rFonts w:cstheme="minorHAnsi"/>
          <w:i/>
          <w:iCs/>
          <w:lang w:val="en-US"/>
        </w:rPr>
        <w:t>Free Radical Biology and Medicine.</w:t>
      </w:r>
      <w:r w:rsidRPr="00E82E09">
        <w:rPr>
          <w:rFonts w:cstheme="minorHAnsi"/>
          <w:lang w:val="en-US"/>
        </w:rPr>
        <w:t xml:space="preserve"> Vol. 26</w:t>
      </w:r>
      <w:r w:rsidR="00064C97" w:rsidRPr="00E82E09">
        <w:rPr>
          <w:rFonts w:cstheme="minorHAnsi"/>
          <w:lang w:val="en-US"/>
        </w:rPr>
        <w:t xml:space="preserve"> (1999)</w:t>
      </w:r>
      <w:r w:rsidRPr="00E82E09">
        <w:rPr>
          <w:rFonts w:cstheme="minorHAnsi"/>
          <w:lang w:val="en-US"/>
        </w:rPr>
        <w:t>: pp. 9-10, https://www.doi.org/10.1016/S0891-5849(98)00315-3</w:t>
      </w:r>
    </w:p>
    <w:p w14:paraId="4813DC4C" w14:textId="6CC32C16" w:rsidR="00965571" w:rsidRPr="00E82E09" w:rsidRDefault="00965571" w:rsidP="00965571">
      <w:pPr>
        <w:pStyle w:val="Bibliografa"/>
        <w:spacing w:line="480" w:lineRule="auto"/>
        <w:jc w:val="both"/>
        <w:rPr>
          <w:rFonts w:cstheme="minorHAnsi"/>
          <w:lang w:val="en-US"/>
        </w:rPr>
      </w:pPr>
      <w:r w:rsidRPr="00E82E09">
        <w:rPr>
          <w:rFonts w:cstheme="minorHAnsi"/>
          <w:lang w:val="en-US"/>
        </w:rPr>
        <w:t xml:space="preserve">Sánchez-Martínez, J.D., Alvarez-Rivera, G., Gallego, R., Fagundes, M.B., Valdés, A., Mendiola, J.A., Ibañez, E., Cifuentes, A. Neuroprotective potential of terpenoids-rich extracts from orange juice by-products obtained by pressurized liquid extraction. </w:t>
      </w:r>
      <w:r w:rsidRPr="00E82E09">
        <w:rPr>
          <w:rFonts w:cstheme="minorHAnsi"/>
          <w:i/>
          <w:iCs/>
          <w:lang w:val="en-US"/>
        </w:rPr>
        <w:t>Food Chemistry: X</w:t>
      </w:r>
      <w:r w:rsidRPr="00E82E09">
        <w:rPr>
          <w:rFonts w:cstheme="minorHAnsi"/>
          <w:lang w:val="en-US"/>
        </w:rPr>
        <w:t>. Vol. 13</w:t>
      </w:r>
      <w:r w:rsidR="00064C97" w:rsidRPr="00E82E09">
        <w:rPr>
          <w:rFonts w:cstheme="minorHAnsi"/>
          <w:lang w:val="en-US"/>
        </w:rPr>
        <w:t xml:space="preserve"> (2022)</w:t>
      </w:r>
      <w:r w:rsidRPr="00E82E09">
        <w:rPr>
          <w:rFonts w:cstheme="minorHAnsi"/>
          <w:lang w:val="en-US"/>
        </w:rPr>
        <w:t>: 100242. https://www.doi.org/ 10.1016/j.fochx.2022.100242</w:t>
      </w:r>
    </w:p>
    <w:p w14:paraId="61E63E44" w14:textId="77777777" w:rsidR="00606D4D" w:rsidRPr="00E82E09" w:rsidRDefault="00606D4D">
      <w:pPr>
        <w:pStyle w:val="Bibliografa"/>
        <w:spacing w:line="480" w:lineRule="auto"/>
        <w:jc w:val="both"/>
        <w:rPr>
          <w:rFonts w:cstheme="minorHAnsi"/>
          <w:lang w:val="en-US"/>
        </w:rPr>
      </w:pPr>
    </w:p>
    <w:sectPr w:rsidR="00606D4D" w:rsidRPr="00E82E09" w:rsidSect="004A7DF7">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67A46" w14:textId="77777777" w:rsidR="00130C12" w:rsidRDefault="00130C12">
      <w:pPr>
        <w:spacing w:after="0" w:line="240" w:lineRule="auto"/>
      </w:pPr>
      <w:r>
        <w:separator/>
      </w:r>
    </w:p>
  </w:endnote>
  <w:endnote w:type="continuationSeparator" w:id="0">
    <w:p w14:paraId="3AEA9D42" w14:textId="77777777" w:rsidR="00130C12" w:rsidRDefault="00130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039795"/>
      <w:docPartObj>
        <w:docPartGallery w:val="Page Numbers (Bottom of Page)"/>
        <w:docPartUnique/>
      </w:docPartObj>
    </w:sdtPr>
    <w:sdtEndPr>
      <w:rPr>
        <w:noProof/>
      </w:rPr>
    </w:sdtEndPr>
    <w:sdtContent>
      <w:p w14:paraId="6037B9AE" w14:textId="77777777" w:rsidR="00805C60" w:rsidRDefault="00805C60">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54DB262C" w14:textId="77777777" w:rsidR="00805C60" w:rsidRDefault="00805C6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614844"/>
      <w:docPartObj>
        <w:docPartGallery w:val="Page Numbers (Bottom of Page)"/>
        <w:docPartUnique/>
      </w:docPartObj>
    </w:sdtPr>
    <w:sdtEndPr>
      <w:rPr>
        <w:noProof/>
      </w:rPr>
    </w:sdtEndPr>
    <w:sdtContent>
      <w:p w14:paraId="57CA906E" w14:textId="77777777" w:rsidR="004D09DC" w:rsidRDefault="004D09DC">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1113ABB9" w14:textId="77777777" w:rsidR="004D09DC" w:rsidRDefault="004D09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DC5F2" w14:textId="77777777" w:rsidR="00130C12" w:rsidRDefault="00130C12">
      <w:pPr>
        <w:spacing w:after="0" w:line="240" w:lineRule="auto"/>
      </w:pPr>
      <w:r>
        <w:separator/>
      </w:r>
    </w:p>
  </w:footnote>
  <w:footnote w:type="continuationSeparator" w:id="0">
    <w:p w14:paraId="420B9460" w14:textId="77777777" w:rsidR="00130C12" w:rsidRDefault="00130C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23D14"/>
    <w:multiLevelType w:val="hybridMultilevel"/>
    <w:tmpl w:val="B024FA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DED7D53"/>
    <w:multiLevelType w:val="multilevel"/>
    <w:tmpl w:val="96D4B716"/>
    <w:lvl w:ilvl="0">
      <w:start w:val="1"/>
      <w:numFmt w:val="decimal"/>
      <w:lvlText w:val="%1."/>
      <w:lvlJc w:val="left"/>
      <w:pPr>
        <w:ind w:left="502" w:hanging="360"/>
      </w:pPr>
      <w:rPr>
        <w:rFonts w:hint="default"/>
      </w:rPr>
    </w:lvl>
    <w:lvl w:ilvl="1">
      <w:start w:val="1"/>
      <w:numFmt w:val="decimal"/>
      <w:isLgl/>
      <w:lvlText w:val="%1.%2."/>
      <w:lvlJc w:val="left"/>
      <w:pPr>
        <w:ind w:left="942" w:hanging="38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902" w:hanging="1080"/>
      </w:pPr>
      <w:rPr>
        <w:rFonts w:hint="default"/>
      </w:rPr>
    </w:lvl>
    <w:lvl w:ilvl="5">
      <w:start w:val="1"/>
      <w:numFmt w:val="decimal"/>
      <w:isLgl/>
      <w:lvlText w:val="%1.%2.%3.%4.%5.%6."/>
      <w:lvlJc w:val="left"/>
      <w:pPr>
        <w:ind w:left="3322"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522" w:hanging="1440"/>
      </w:pPr>
      <w:rPr>
        <w:rFonts w:hint="default"/>
      </w:rPr>
    </w:lvl>
    <w:lvl w:ilvl="8">
      <w:start w:val="1"/>
      <w:numFmt w:val="decimal"/>
      <w:isLgl/>
      <w:lvlText w:val="%1.%2.%3.%4.%5.%6.%7.%8.%9."/>
      <w:lvlJc w:val="left"/>
      <w:pPr>
        <w:ind w:left="530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MTQzNDU1MbG0MDVS0lEKTi0uzszPAykwrwUADj1HAiwAAAA="/>
  </w:docVars>
  <w:rsids>
    <w:rsidRoot w:val="00432E67"/>
    <w:rsid w:val="000011A5"/>
    <w:rsid w:val="00004E5E"/>
    <w:rsid w:val="00052D12"/>
    <w:rsid w:val="00064C97"/>
    <w:rsid w:val="00071567"/>
    <w:rsid w:val="00077EEE"/>
    <w:rsid w:val="00080095"/>
    <w:rsid w:val="00081654"/>
    <w:rsid w:val="000B00AC"/>
    <w:rsid w:val="000B0F0E"/>
    <w:rsid w:val="000D70A0"/>
    <w:rsid w:val="000E2181"/>
    <w:rsid w:val="000F14D9"/>
    <w:rsid w:val="000F2203"/>
    <w:rsid w:val="001219C6"/>
    <w:rsid w:val="00130C12"/>
    <w:rsid w:val="00134353"/>
    <w:rsid w:val="00136938"/>
    <w:rsid w:val="001505E4"/>
    <w:rsid w:val="00164AF9"/>
    <w:rsid w:val="00192FBE"/>
    <w:rsid w:val="001A4589"/>
    <w:rsid w:val="001A6135"/>
    <w:rsid w:val="001D4964"/>
    <w:rsid w:val="001D63D7"/>
    <w:rsid w:val="001E31FA"/>
    <w:rsid w:val="001F21D6"/>
    <w:rsid w:val="001F52E6"/>
    <w:rsid w:val="00200664"/>
    <w:rsid w:val="00204913"/>
    <w:rsid w:val="002162EB"/>
    <w:rsid w:val="00231DB4"/>
    <w:rsid w:val="00232799"/>
    <w:rsid w:val="00265587"/>
    <w:rsid w:val="00276322"/>
    <w:rsid w:val="00283BF1"/>
    <w:rsid w:val="002A0990"/>
    <w:rsid w:val="002A50CB"/>
    <w:rsid w:val="002B7AE3"/>
    <w:rsid w:val="002D5ECC"/>
    <w:rsid w:val="002E7655"/>
    <w:rsid w:val="00317CF1"/>
    <w:rsid w:val="003241A5"/>
    <w:rsid w:val="00342030"/>
    <w:rsid w:val="003560B4"/>
    <w:rsid w:val="003637C7"/>
    <w:rsid w:val="00394B9F"/>
    <w:rsid w:val="003B2FCF"/>
    <w:rsid w:val="003F14AF"/>
    <w:rsid w:val="00405BD2"/>
    <w:rsid w:val="0040637A"/>
    <w:rsid w:val="00432E67"/>
    <w:rsid w:val="00446993"/>
    <w:rsid w:val="004478A0"/>
    <w:rsid w:val="00465CDC"/>
    <w:rsid w:val="00473465"/>
    <w:rsid w:val="00496E5A"/>
    <w:rsid w:val="004A7DF7"/>
    <w:rsid w:val="004D09DC"/>
    <w:rsid w:val="004D0C5B"/>
    <w:rsid w:val="004F5F28"/>
    <w:rsid w:val="005218E9"/>
    <w:rsid w:val="00522213"/>
    <w:rsid w:val="00550E71"/>
    <w:rsid w:val="00551BC7"/>
    <w:rsid w:val="0056612A"/>
    <w:rsid w:val="0057576F"/>
    <w:rsid w:val="00576185"/>
    <w:rsid w:val="00587F51"/>
    <w:rsid w:val="00596138"/>
    <w:rsid w:val="005A1EF1"/>
    <w:rsid w:val="005A305D"/>
    <w:rsid w:val="005B22CE"/>
    <w:rsid w:val="005B3453"/>
    <w:rsid w:val="005C2593"/>
    <w:rsid w:val="0060291C"/>
    <w:rsid w:val="00606D4D"/>
    <w:rsid w:val="00614B7E"/>
    <w:rsid w:val="00623A6A"/>
    <w:rsid w:val="00633E79"/>
    <w:rsid w:val="0063665B"/>
    <w:rsid w:val="00653A11"/>
    <w:rsid w:val="006573CE"/>
    <w:rsid w:val="00660C0B"/>
    <w:rsid w:val="00664A3F"/>
    <w:rsid w:val="006D24D2"/>
    <w:rsid w:val="006D4DBD"/>
    <w:rsid w:val="006F0F4B"/>
    <w:rsid w:val="007064C2"/>
    <w:rsid w:val="0072027F"/>
    <w:rsid w:val="00723388"/>
    <w:rsid w:val="00723A77"/>
    <w:rsid w:val="00723AB8"/>
    <w:rsid w:val="00780066"/>
    <w:rsid w:val="00782F44"/>
    <w:rsid w:val="007B080C"/>
    <w:rsid w:val="007C3B3D"/>
    <w:rsid w:val="007C7C56"/>
    <w:rsid w:val="007E71CF"/>
    <w:rsid w:val="007F05B8"/>
    <w:rsid w:val="008015EE"/>
    <w:rsid w:val="008053AB"/>
    <w:rsid w:val="00805C60"/>
    <w:rsid w:val="008178A5"/>
    <w:rsid w:val="00824DBA"/>
    <w:rsid w:val="008262B1"/>
    <w:rsid w:val="00833B8F"/>
    <w:rsid w:val="00840852"/>
    <w:rsid w:val="008521BE"/>
    <w:rsid w:val="00870929"/>
    <w:rsid w:val="008D12C5"/>
    <w:rsid w:val="008E04DD"/>
    <w:rsid w:val="00942C04"/>
    <w:rsid w:val="00943D28"/>
    <w:rsid w:val="00965571"/>
    <w:rsid w:val="00975FD2"/>
    <w:rsid w:val="009765B8"/>
    <w:rsid w:val="00996510"/>
    <w:rsid w:val="009B3B55"/>
    <w:rsid w:val="009C12A2"/>
    <w:rsid w:val="009D7D49"/>
    <w:rsid w:val="009E2A06"/>
    <w:rsid w:val="009F5C24"/>
    <w:rsid w:val="00A10A66"/>
    <w:rsid w:val="00A129F7"/>
    <w:rsid w:val="00A14D29"/>
    <w:rsid w:val="00A225C6"/>
    <w:rsid w:val="00A3656A"/>
    <w:rsid w:val="00A44915"/>
    <w:rsid w:val="00A76603"/>
    <w:rsid w:val="00A9658A"/>
    <w:rsid w:val="00AC2550"/>
    <w:rsid w:val="00AE076A"/>
    <w:rsid w:val="00B04052"/>
    <w:rsid w:val="00B0740E"/>
    <w:rsid w:val="00B364FA"/>
    <w:rsid w:val="00B4436B"/>
    <w:rsid w:val="00B453C6"/>
    <w:rsid w:val="00B57024"/>
    <w:rsid w:val="00B636D8"/>
    <w:rsid w:val="00B66C3D"/>
    <w:rsid w:val="00B7138E"/>
    <w:rsid w:val="00B746F6"/>
    <w:rsid w:val="00B81520"/>
    <w:rsid w:val="00B83485"/>
    <w:rsid w:val="00B86808"/>
    <w:rsid w:val="00BA69F7"/>
    <w:rsid w:val="00BE078D"/>
    <w:rsid w:val="00C07E5C"/>
    <w:rsid w:val="00C1603D"/>
    <w:rsid w:val="00C43869"/>
    <w:rsid w:val="00C458DF"/>
    <w:rsid w:val="00C4697D"/>
    <w:rsid w:val="00C61AEE"/>
    <w:rsid w:val="00C63FDA"/>
    <w:rsid w:val="00C75D74"/>
    <w:rsid w:val="00CC06A8"/>
    <w:rsid w:val="00CC2A48"/>
    <w:rsid w:val="00CE0E91"/>
    <w:rsid w:val="00CF0110"/>
    <w:rsid w:val="00CF34AE"/>
    <w:rsid w:val="00D02A15"/>
    <w:rsid w:val="00D46C22"/>
    <w:rsid w:val="00D55147"/>
    <w:rsid w:val="00DD21BF"/>
    <w:rsid w:val="00DD41D0"/>
    <w:rsid w:val="00E21DAE"/>
    <w:rsid w:val="00E355ED"/>
    <w:rsid w:val="00E36AB7"/>
    <w:rsid w:val="00E40F38"/>
    <w:rsid w:val="00E46D44"/>
    <w:rsid w:val="00E611FA"/>
    <w:rsid w:val="00E74B7A"/>
    <w:rsid w:val="00E82E09"/>
    <w:rsid w:val="00E83F7C"/>
    <w:rsid w:val="00E956A1"/>
    <w:rsid w:val="00ED3AEC"/>
    <w:rsid w:val="00EF52D0"/>
    <w:rsid w:val="00F1159E"/>
    <w:rsid w:val="00F1353C"/>
    <w:rsid w:val="00F217CD"/>
    <w:rsid w:val="00F24AC7"/>
    <w:rsid w:val="00F374E2"/>
    <w:rsid w:val="00F42C79"/>
    <w:rsid w:val="00F4753B"/>
    <w:rsid w:val="00F75FB8"/>
    <w:rsid w:val="00F93425"/>
    <w:rsid w:val="00F944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72746"/>
  <w15:chartTrackingRefBased/>
  <w15:docId w15:val="{78CF2D78-2405-450B-A6FB-15F09E45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2E67"/>
    <w:pPr>
      <w:spacing w:line="360" w:lineRule="auto"/>
      <w:ind w:firstLine="284"/>
      <w:jc w:val="both"/>
    </w:pPr>
    <w:rPr>
      <w:rFonts w:ascii="Arial" w:hAnsi="Arial"/>
      <w:sz w:val="1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432E67"/>
  </w:style>
  <w:style w:type="character" w:styleId="Refdecomentario">
    <w:name w:val="annotation reference"/>
    <w:basedOn w:val="Fuentedeprrafopredeter"/>
    <w:uiPriority w:val="99"/>
    <w:semiHidden/>
    <w:unhideWhenUsed/>
    <w:rsid w:val="008262B1"/>
    <w:rPr>
      <w:sz w:val="16"/>
      <w:szCs w:val="16"/>
    </w:rPr>
  </w:style>
  <w:style w:type="paragraph" w:styleId="Textocomentario">
    <w:name w:val="annotation text"/>
    <w:basedOn w:val="Normal"/>
    <w:link w:val="TextocomentarioCar"/>
    <w:uiPriority w:val="99"/>
    <w:unhideWhenUsed/>
    <w:rsid w:val="008262B1"/>
    <w:pPr>
      <w:spacing w:line="240" w:lineRule="auto"/>
    </w:pPr>
    <w:rPr>
      <w:sz w:val="20"/>
      <w:szCs w:val="20"/>
    </w:rPr>
  </w:style>
  <w:style w:type="character" w:customStyle="1" w:styleId="TextocomentarioCar">
    <w:name w:val="Texto comentario Car"/>
    <w:basedOn w:val="Fuentedeprrafopredeter"/>
    <w:link w:val="Textocomentario"/>
    <w:uiPriority w:val="99"/>
    <w:rsid w:val="008262B1"/>
    <w:rPr>
      <w:rFonts w:ascii="Arial" w:hAnsi="Arial"/>
      <w:sz w:val="20"/>
      <w:szCs w:val="20"/>
      <w:lang w:val="en-US"/>
    </w:rPr>
  </w:style>
  <w:style w:type="paragraph" w:styleId="Asuntodelcomentario">
    <w:name w:val="annotation subject"/>
    <w:basedOn w:val="Textocomentario"/>
    <w:next w:val="Textocomentario"/>
    <w:link w:val="AsuntodelcomentarioCar"/>
    <w:uiPriority w:val="99"/>
    <w:semiHidden/>
    <w:unhideWhenUsed/>
    <w:rsid w:val="008262B1"/>
    <w:rPr>
      <w:b/>
      <w:bCs/>
    </w:rPr>
  </w:style>
  <w:style w:type="character" w:customStyle="1" w:styleId="AsuntodelcomentarioCar">
    <w:name w:val="Asunto del comentario Car"/>
    <w:basedOn w:val="TextocomentarioCar"/>
    <w:link w:val="Asuntodelcomentario"/>
    <w:uiPriority w:val="99"/>
    <w:semiHidden/>
    <w:rsid w:val="008262B1"/>
    <w:rPr>
      <w:rFonts w:ascii="Arial" w:hAnsi="Arial"/>
      <w:b/>
      <w:bCs/>
      <w:sz w:val="20"/>
      <w:szCs w:val="20"/>
      <w:lang w:val="en-US"/>
    </w:rPr>
  </w:style>
  <w:style w:type="paragraph" w:styleId="Textodeglobo">
    <w:name w:val="Balloon Text"/>
    <w:basedOn w:val="Normal"/>
    <w:link w:val="TextodegloboCar"/>
    <w:uiPriority w:val="99"/>
    <w:semiHidden/>
    <w:unhideWhenUsed/>
    <w:rsid w:val="008262B1"/>
    <w:pPr>
      <w:spacing w:after="0" w:line="240" w:lineRule="auto"/>
    </w:pPr>
    <w:rPr>
      <w:rFonts w:ascii="Segoe UI" w:hAnsi="Segoe UI" w:cs="Segoe UI"/>
      <w:szCs w:val="18"/>
    </w:rPr>
  </w:style>
  <w:style w:type="character" w:customStyle="1" w:styleId="TextodegloboCar">
    <w:name w:val="Texto de globo Car"/>
    <w:basedOn w:val="Fuentedeprrafopredeter"/>
    <w:link w:val="Textodeglobo"/>
    <w:uiPriority w:val="99"/>
    <w:semiHidden/>
    <w:rsid w:val="008262B1"/>
    <w:rPr>
      <w:rFonts w:ascii="Segoe UI" w:hAnsi="Segoe UI" w:cs="Segoe UI"/>
      <w:sz w:val="18"/>
      <w:szCs w:val="18"/>
      <w:lang w:val="en-US"/>
    </w:rPr>
  </w:style>
  <w:style w:type="paragraph" w:styleId="Revisin">
    <w:name w:val="Revision"/>
    <w:hidden/>
    <w:uiPriority w:val="99"/>
    <w:semiHidden/>
    <w:rsid w:val="008D12C5"/>
    <w:pPr>
      <w:spacing w:after="0" w:line="240" w:lineRule="auto"/>
    </w:pPr>
    <w:rPr>
      <w:rFonts w:ascii="Arial" w:hAnsi="Arial"/>
      <w:sz w:val="18"/>
      <w:lang w:val="en-US"/>
    </w:rPr>
  </w:style>
  <w:style w:type="paragraph" w:styleId="Prrafodelista">
    <w:name w:val="List Paragraph"/>
    <w:basedOn w:val="Normal"/>
    <w:uiPriority w:val="34"/>
    <w:qFormat/>
    <w:rsid w:val="00004E5E"/>
    <w:pPr>
      <w:ind w:left="720"/>
      <w:contextualSpacing/>
    </w:pPr>
  </w:style>
  <w:style w:type="character" w:styleId="Hipervnculo">
    <w:name w:val="Hyperlink"/>
    <w:basedOn w:val="Fuentedeprrafopredeter"/>
    <w:uiPriority w:val="99"/>
    <w:unhideWhenUsed/>
    <w:rsid w:val="00E36AB7"/>
    <w:rPr>
      <w:color w:val="0563C1" w:themeColor="hyperlink"/>
      <w:u w:val="single"/>
    </w:rPr>
  </w:style>
  <w:style w:type="paragraph" w:styleId="Piedepgina">
    <w:name w:val="footer"/>
    <w:basedOn w:val="Normal"/>
    <w:link w:val="PiedepginaCar"/>
    <w:uiPriority w:val="99"/>
    <w:unhideWhenUsed/>
    <w:rsid w:val="00E36AB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36AB7"/>
    <w:rPr>
      <w:rFonts w:ascii="Arial" w:hAnsi="Arial"/>
      <w:sz w:val="18"/>
      <w:lang w:val="en-US"/>
    </w:rPr>
  </w:style>
  <w:style w:type="paragraph" w:styleId="Descripcin">
    <w:name w:val="caption"/>
    <w:basedOn w:val="Normal"/>
    <w:next w:val="Normal"/>
    <w:uiPriority w:val="35"/>
    <w:unhideWhenUsed/>
    <w:qFormat/>
    <w:rsid w:val="00B66C3D"/>
    <w:pPr>
      <w:spacing w:after="200" w:line="240" w:lineRule="auto"/>
    </w:pPr>
    <w:rPr>
      <w:i/>
      <w:iCs/>
      <w:color w:val="44546A" w:themeColor="text2"/>
      <w:szCs w:val="18"/>
    </w:rPr>
  </w:style>
  <w:style w:type="table" w:styleId="Tablaconcuadrcula">
    <w:name w:val="Table Grid"/>
    <w:basedOn w:val="Tablanormal"/>
    <w:uiPriority w:val="39"/>
    <w:rsid w:val="002049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a">
    <w:name w:val="Bibliography"/>
    <w:basedOn w:val="Normal"/>
    <w:next w:val="Normal"/>
    <w:uiPriority w:val="37"/>
    <w:unhideWhenUsed/>
    <w:rsid w:val="007B080C"/>
    <w:pPr>
      <w:spacing w:after="0" w:line="240" w:lineRule="auto"/>
      <w:ind w:left="720" w:hanging="720"/>
      <w:jc w:val="left"/>
    </w:pPr>
    <w:rPr>
      <w:rFonts w:asciiTheme="minorHAnsi" w:eastAsiaTheme="minorEastAsia" w:hAnsiTheme="minorHAnsi"/>
      <w:sz w:val="22"/>
      <w:lang w:val="es-ES" w:eastAsia="es-ES"/>
    </w:rPr>
  </w:style>
  <w:style w:type="character" w:styleId="Mencinsinresolver">
    <w:name w:val="Unresolved Mention"/>
    <w:basedOn w:val="Fuentedeprrafopredeter"/>
    <w:uiPriority w:val="99"/>
    <w:semiHidden/>
    <w:unhideWhenUsed/>
    <w:rsid w:val="007B080C"/>
    <w:rPr>
      <w:color w:val="605E5C"/>
      <w:shd w:val="clear" w:color="auto" w:fill="E1DFDD"/>
    </w:rPr>
  </w:style>
  <w:style w:type="character" w:styleId="Hipervnculovisitado">
    <w:name w:val="FollowedHyperlink"/>
    <w:basedOn w:val="Fuentedeprrafopredeter"/>
    <w:uiPriority w:val="99"/>
    <w:semiHidden/>
    <w:unhideWhenUsed/>
    <w:rsid w:val="00CE0E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dx.doi.org/10.1021/acssuschemeng.0c03991?ref=pdf" TargetMode="Externa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hyperlink" Target="mailto:lidia.montero@csic.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108E85D1626164DBCF34275ECE913E2" ma:contentTypeVersion="18" ma:contentTypeDescription="Ein neues Dokument erstellen." ma:contentTypeScope="" ma:versionID="7a7b551ba27ef3685c3218d900483de3">
  <xsd:schema xmlns:xsd="http://www.w3.org/2001/XMLSchema" xmlns:xs="http://www.w3.org/2001/XMLSchema" xmlns:p="http://schemas.microsoft.com/office/2006/metadata/properties" xmlns:ns3="ace3bbc2-5148-4788-9e5a-52d3b2f77b99" xmlns:ns4="65f7871f-8a68-4618-a55c-3141f9579b0e" targetNamespace="http://schemas.microsoft.com/office/2006/metadata/properties" ma:root="true" ma:fieldsID="a26d4326499e97bb13ff5c4a1f5cd8ca" ns3:_="" ns4:_="">
    <xsd:import namespace="ace3bbc2-5148-4788-9e5a-52d3b2f77b99"/>
    <xsd:import namespace="65f7871f-8a68-4618-a55c-3141f9579b0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3bbc2-5148-4788-9e5a-52d3b2f77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7871f-8a68-4618-a55c-3141f9579b0e"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SharingHintHash" ma:index="19"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ce3bbc2-5148-4788-9e5a-52d3b2f77b99" xsi:nil="true"/>
  </documentManagement>
</p:properties>
</file>

<file path=customXml/itemProps1.xml><?xml version="1.0" encoding="utf-8"?>
<ds:datastoreItem xmlns:ds="http://schemas.openxmlformats.org/officeDocument/2006/customXml" ds:itemID="{29C8CD17-DF27-43F2-9124-A34A38E86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3bbc2-5148-4788-9e5a-52d3b2f77b99"/>
    <ds:schemaRef ds:uri="65f7871f-8a68-4618-a55c-3141f9579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FF7A26-C51B-4DD3-BC70-88B4975F374C}">
  <ds:schemaRefs>
    <ds:schemaRef ds:uri="http://schemas.microsoft.com/sharepoint/v3/contenttype/forms"/>
  </ds:schemaRefs>
</ds:datastoreItem>
</file>

<file path=customXml/itemProps3.xml><?xml version="1.0" encoding="utf-8"?>
<ds:datastoreItem xmlns:ds="http://schemas.openxmlformats.org/officeDocument/2006/customXml" ds:itemID="{444E5057-6AB5-4868-BB20-811752FD403B}">
  <ds:schemaRefs>
    <ds:schemaRef ds:uri="http://schemas.microsoft.com/office/2006/metadata/properties"/>
    <ds:schemaRef ds:uri="http://schemas.microsoft.com/office/infopath/2007/PartnerControls"/>
    <ds:schemaRef ds:uri="ace3bbc2-5148-4788-9e5a-52d3b2f77b99"/>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2352</Words>
  <Characters>13197</Characters>
  <Application>Microsoft Office Word</Application>
  <DocSecurity>0</DocSecurity>
  <Lines>216</Lines>
  <Paragraphs>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lidia.montero</dc:creator>
  <cp:keywords/>
  <dc:description/>
  <cp:lastModifiedBy>lidia.montero</cp:lastModifiedBy>
  <cp:revision>9</cp:revision>
  <dcterms:created xsi:type="dcterms:W3CDTF">2025-03-10T18:29:00Z</dcterms:created>
  <dcterms:modified xsi:type="dcterms:W3CDTF">2025-03-11T07:20:00Z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720bd8e0-d7c9-43f1-91b1-5a2c09893a2b</vt:lpwstr>
  </property>
  <property fmtid="{D5CDD505-2E9C-101B-9397-08002B2CF9AE}" pid="3" name="ContentTypeId">
    <vt:lpwstr>0x0101005108E85D1626164DBCF34275ECE913E2</vt:lpwstr>
  </property>
</Properties>
</file>