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BC43B" w14:textId="4D25C17C" w:rsidR="00A364E3" w:rsidRPr="00A364E3" w:rsidRDefault="00A364E3" w:rsidP="00A364E3">
      <w:pPr>
        <w:spacing w:line="480" w:lineRule="auto"/>
        <w:jc w:val="both"/>
        <w:rPr>
          <w:rFonts w:eastAsia="Times New Roman" w:cs="Times"/>
        </w:rPr>
      </w:pPr>
      <w:r w:rsidRPr="00A364E3">
        <w:rPr>
          <w:rFonts w:cs="Times"/>
        </w:rPr>
        <w:t xml:space="preserve">Supplementary materials 1. </w:t>
      </w:r>
      <w:r w:rsidRPr="00A364E3">
        <w:rPr>
          <w:rFonts w:eastAsia="Times New Roman" w:cs="Times"/>
        </w:rPr>
        <w:t>Detailed instrumental parameters</w:t>
      </w:r>
    </w:p>
    <w:p w14:paraId="0227D300" w14:textId="7D55F559" w:rsidR="00A364E3" w:rsidRPr="00A364E3" w:rsidRDefault="00A364E3" w:rsidP="00A364E3">
      <w:pPr>
        <w:spacing w:line="480" w:lineRule="auto"/>
        <w:jc w:val="both"/>
        <w:rPr>
          <w:rFonts w:cs="Times"/>
          <w:i/>
        </w:rPr>
      </w:pPr>
    </w:p>
    <w:p w14:paraId="4CD64BF0" w14:textId="77777777" w:rsidR="00A364E3" w:rsidRPr="00A364E3" w:rsidRDefault="00A364E3" w:rsidP="00A364E3">
      <w:pPr>
        <w:spacing w:line="480" w:lineRule="auto"/>
        <w:ind w:firstLine="284"/>
        <w:jc w:val="both"/>
        <w:rPr>
          <w:rFonts w:cs="Times"/>
        </w:rPr>
      </w:pPr>
      <w:r w:rsidRPr="00A364E3">
        <w:rPr>
          <w:rFonts w:cs="Times"/>
        </w:rPr>
        <w:t>The certified reference material was prepared from corn grown in Poland according to Polish standard  PN-A-74205:1997. The material was sieved through the 250 μm nylon sieves and stored in a polyethylene (PE) bag. Approximately 50 kg of sieved corn flour was collected. Examination by optical microscopy revealed that Martin’s diameter of over 98% of particles was below 25 μm. The whole lot of corn flour was then homogenized by mixing for 20 hours in a 110 dm3 PE drum rotated in three directions. Preliminary homogeneity testing by XRF method and final checking of homogeneity by NAA after distribution of the material into containers revealed, that it is sufficiently homogeneous at least for a sample size ≥ 100 mg.</w:t>
      </w:r>
    </w:p>
    <w:p w14:paraId="542C2515" w14:textId="77777777" w:rsidR="00A364E3" w:rsidRPr="00A364E3" w:rsidRDefault="00A364E3" w:rsidP="00A364E3">
      <w:pPr>
        <w:spacing w:line="480" w:lineRule="auto"/>
        <w:jc w:val="both"/>
        <w:rPr>
          <w:rFonts w:cs="Times"/>
        </w:rPr>
      </w:pPr>
      <w:r w:rsidRPr="00A364E3">
        <w:rPr>
          <w:rFonts w:cs="Times"/>
        </w:rPr>
        <w:t xml:space="preserve">In order to assure the long-term stability, all containers with INCT-CF-3 were sterilized by electron beam radiation. Long-term stability was checked by analyzing concentrations of selected elements in the material stored in the air-conditioned room at 20 °C. </w:t>
      </w:r>
    </w:p>
    <w:p w14:paraId="3C9780E1" w14:textId="77777777" w:rsidR="00A364E3" w:rsidRPr="00A364E3" w:rsidRDefault="00A364E3" w:rsidP="00A364E3">
      <w:pPr>
        <w:spacing w:line="480" w:lineRule="auto"/>
        <w:jc w:val="both"/>
        <w:rPr>
          <w:rFonts w:cs="Times"/>
        </w:rPr>
      </w:pPr>
      <w:r w:rsidRPr="00A364E3">
        <w:rPr>
          <w:rFonts w:cs="Times"/>
        </w:rPr>
        <w:t xml:space="preserve">Short-term stability was examined by the determination of concentrations of the selected elements in the bottle stored in the CO2 incubator at 37 °C. </w:t>
      </w:r>
    </w:p>
    <w:p w14:paraId="1B3800F2" w14:textId="77777777" w:rsidR="00A364E3" w:rsidRPr="00A364E3" w:rsidRDefault="00A364E3" w:rsidP="00A364E3">
      <w:pPr>
        <w:spacing w:line="480" w:lineRule="auto"/>
        <w:jc w:val="both"/>
        <w:rPr>
          <w:rFonts w:cs="Times"/>
        </w:rPr>
      </w:pPr>
      <w:r w:rsidRPr="00A364E3">
        <w:rPr>
          <w:rFonts w:cs="Times"/>
        </w:rPr>
        <w:t>The shelf life of INCT-CF-3 has been established to be 31 December 2015.</w:t>
      </w:r>
    </w:p>
    <w:p w14:paraId="4E890926" w14:textId="77777777" w:rsidR="00A364E3" w:rsidRPr="00A364E3" w:rsidRDefault="00A364E3" w:rsidP="00A364E3">
      <w:pPr>
        <w:spacing w:line="480" w:lineRule="auto"/>
        <w:jc w:val="both"/>
        <w:rPr>
          <w:rFonts w:cs="Times"/>
        </w:rPr>
      </w:pPr>
      <w:r w:rsidRPr="00A364E3">
        <w:rPr>
          <w:rFonts w:cs="Times"/>
        </w:rPr>
        <w:t>The material was certified on the basis of a worldwide interlaboratory comparison, in which 92 laboratories from 19 countries. Analytical uncertainties and stability uncertainties were quantified to arrive at combined uncertainties of the certified values.</w:t>
      </w:r>
    </w:p>
    <w:p w14:paraId="3CCFA67A" w14:textId="102C3F5B" w:rsidR="00A364E3" w:rsidRPr="00A364E3" w:rsidRDefault="00A364E3" w:rsidP="00A364E3">
      <w:pPr>
        <w:spacing w:line="480" w:lineRule="auto"/>
        <w:jc w:val="both"/>
        <w:rPr>
          <w:rFonts w:cs="Times"/>
        </w:rPr>
      </w:pPr>
      <w:r w:rsidRPr="00A364E3">
        <w:rPr>
          <w:rFonts w:cs="Times"/>
        </w:rPr>
        <w:t>The comparison of certified values with measured values of determined elements is shown in Table S1.</w:t>
      </w:r>
    </w:p>
    <w:p w14:paraId="053270C3" w14:textId="055D1DF1" w:rsidR="00A364E3" w:rsidRDefault="00A364E3" w:rsidP="00A364E3">
      <w:pPr>
        <w:spacing w:line="480" w:lineRule="auto"/>
        <w:jc w:val="both"/>
        <w:rPr>
          <w:rFonts w:cs="Times"/>
        </w:rPr>
      </w:pPr>
    </w:p>
    <w:p w14:paraId="6052675D" w14:textId="54543932" w:rsidR="00A364E3" w:rsidRDefault="00A364E3" w:rsidP="00A364E3">
      <w:pPr>
        <w:spacing w:line="480" w:lineRule="auto"/>
        <w:jc w:val="both"/>
        <w:rPr>
          <w:rFonts w:cs="Times"/>
        </w:rPr>
      </w:pPr>
    </w:p>
    <w:p w14:paraId="3E2307E9" w14:textId="60F339D4" w:rsidR="00A364E3" w:rsidRDefault="00A364E3" w:rsidP="00A364E3">
      <w:pPr>
        <w:spacing w:line="480" w:lineRule="auto"/>
        <w:jc w:val="both"/>
        <w:rPr>
          <w:rFonts w:cs="Times"/>
        </w:rPr>
      </w:pPr>
    </w:p>
    <w:p w14:paraId="6DFE5F17" w14:textId="77777777" w:rsidR="00A364E3" w:rsidRPr="00A364E3" w:rsidRDefault="00A364E3" w:rsidP="00A364E3">
      <w:pPr>
        <w:spacing w:line="480" w:lineRule="auto"/>
        <w:jc w:val="both"/>
        <w:rPr>
          <w:rFonts w:cs="Times"/>
        </w:rPr>
      </w:pPr>
    </w:p>
    <w:p w14:paraId="7B1CA587" w14:textId="3D718F04" w:rsidR="00A364E3" w:rsidRPr="00A364E3" w:rsidRDefault="00A364E3" w:rsidP="00A364E3">
      <w:pPr>
        <w:widowControl w:val="0"/>
        <w:autoSpaceDE w:val="0"/>
        <w:autoSpaceDN w:val="0"/>
        <w:adjustRightInd w:val="0"/>
        <w:spacing w:line="480" w:lineRule="auto"/>
        <w:rPr>
          <w:rFonts w:cs="Times"/>
          <w:lang w:val="en-US"/>
        </w:rPr>
      </w:pPr>
      <w:r w:rsidRPr="00A364E3">
        <w:rPr>
          <w:rFonts w:cs="Times"/>
          <w:b/>
          <w:lang w:val="en-US"/>
        </w:rPr>
        <w:lastRenderedPageBreak/>
        <w:t>Table S1.</w:t>
      </w:r>
      <w:r w:rsidRPr="00A364E3">
        <w:rPr>
          <w:rFonts w:cs="Times"/>
          <w:lang w:val="en-US"/>
        </w:rPr>
        <w:t xml:space="preserve"> The comparison of certified values with measured values of determined elements.</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A364E3" w:rsidRPr="00A364E3" w14:paraId="0DC2681B" w14:textId="77777777" w:rsidTr="000002D4">
        <w:tc>
          <w:tcPr>
            <w:tcW w:w="3020" w:type="dxa"/>
            <w:tcBorders>
              <w:bottom w:val="single" w:sz="4" w:space="0" w:color="auto"/>
              <w:right w:val="single" w:sz="4" w:space="0" w:color="auto"/>
            </w:tcBorders>
          </w:tcPr>
          <w:p w14:paraId="15073132" w14:textId="77777777" w:rsidR="00A364E3" w:rsidRPr="00A364E3" w:rsidRDefault="00A364E3" w:rsidP="00A364E3">
            <w:pPr>
              <w:widowControl w:val="0"/>
              <w:autoSpaceDE w:val="0"/>
              <w:autoSpaceDN w:val="0"/>
              <w:adjustRightInd w:val="0"/>
              <w:spacing w:line="480" w:lineRule="auto"/>
              <w:jc w:val="center"/>
              <w:rPr>
                <w:rFonts w:cs="Times"/>
                <w:szCs w:val="24"/>
                <w:lang w:val="en-US"/>
              </w:rPr>
            </w:pPr>
            <w:r w:rsidRPr="00A364E3">
              <w:rPr>
                <w:rFonts w:cs="Times"/>
                <w:szCs w:val="24"/>
                <w:lang w:val="en-US"/>
              </w:rPr>
              <w:t>concentration, µg/g</w:t>
            </w:r>
          </w:p>
        </w:tc>
        <w:tc>
          <w:tcPr>
            <w:tcW w:w="3021" w:type="dxa"/>
            <w:tcBorders>
              <w:left w:val="single" w:sz="4" w:space="0" w:color="auto"/>
              <w:bottom w:val="single" w:sz="4" w:space="0" w:color="auto"/>
            </w:tcBorders>
          </w:tcPr>
          <w:p w14:paraId="4FF6F619" w14:textId="77777777" w:rsidR="00A364E3" w:rsidRPr="00A364E3" w:rsidRDefault="00A364E3" w:rsidP="00A364E3">
            <w:pPr>
              <w:widowControl w:val="0"/>
              <w:autoSpaceDE w:val="0"/>
              <w:autoSpaceDN w:val="0"/>
              <w:adjustRightInd w:val="0"/>
              <w:spacing w:line="480" w:lineRule="auto"/>
              <w:jc w:val="center"/>
              <w:rPr>
                <w:rFonts w:cs="Times"/>
                <w:szCs w:val="24"/>
                <w:lang w:val="en-US"/>
              </w:rPr>
            </w:pPr>
            <w:r w:rsidRPr="00A364E3">
              <w:rPr>
                <w:rFonts w:cs="Times"/>
                <w:szCs w:val="24"/>
                <w:lang w:val="en-US"/>
              </w:rPr>
              <w:t>certified values</w:t>
            </w:r>
          </w:p>
        </w:tc>
        <w:tc>
          <w:tcPr>
            <w:tcW w:w="3021" w:type="dxa"/>
            <w:tcBorders>
              <w:bottom w:val="single" w:sz="4" w:space="0" w:color="auto"/>
            </w:tcBorders>
          </w:tcPr>
          <w:p w14:paraId="504BF9FE" w14:textId="77777777" w:rsidR="00A364E3" w:rsidRPr="00A364E3" w:rsidRDefault="00A364E3" w:rsidP="00A364E3">
            <w:pPr>
              <w:widowControl w:val="0"/>
              <w:autoSpaceDE w:val="0"/>
              <w:autoSpaceDN w:val="0"/>
              <w:adjustRightInd w:val="0"/>
              <w:spacing w:line="480" w:lineRule="auto"/>
              <w:jc w:val="center"/>
              <w:rPr>
                <w:rFonts w:cs="Times"/>
                <w:szCs w:val="24"/>
                <w:lang w:val="en-US"/>
              </w:rPr>
            </w:pPr>
            <w:r w:rsidRPr="00A364E3">
              <w:rPr>
                <w:rFonts w:cs="Times"/>
                <w:szCs w:val="24"/>
                <w:lang w:val="en-US"/>
              </w:rPr>
              <w:t>measured values</w:t>
            </w:r>
          </w:p>
        </w:tc>
      </w:tr>
      <w:tr w:rsidR="00A364E3" w:rsidRPr="00A364E3" w14:paraId="55D07486" w14:textId="77777777" w:rsidTr="000002D4">
        <w:tc>
          <w:tcPr>
            <w:tcW w:w="3020" w:type="dxa"/>
            <w:tcBorders>
              <w:top w:val="single" w:sz="4" w:space="0" w:color="auto"/>
              <w:right w:val="single" w:sz="4" w:space="0" w:color="auto"/>
            </w:tcBorders>
          </w:tcPr>
          <w:p w14:paraId="76209DAF" w14:textId="77777777" w:rsidR="00A364E3" w:rsidRPr="00A364E3" w:rsidRDefault="00A364E3" w:rsidP="00A364E3">
            <w:pPr>
              <w:widowControl w:val="0"/>
              <w:autoSpaceDE w:val="0"/>
              <w:autoSpaceDN w:val="0"/>
              <w:adjustRightInd w:val="0"/>
              <w:spacing w:line="480" w:lineRule="auto"/>
              <w:jc w:val="center"/>
              <w:rPr>
                <w:rFonts w:cs="Times"/>
                <w:szCs w:val="24"/>
                <w:lang w:val="en-US"/>
              </w:rPr>
            </w:pPr>
            <w:r w:rsidRPr="00A364E3">
              <w:rPr>
                <w:rFonts w:cs="Times"/>
                <w:szCs w:val="24"/>
                <w:lang w:val="en-US"/>
              </w:rPr>
              <w:t>Cu</w:t>
            </w:r>
          </w:p>
        </w:tc>
        <w:tc>
          <w:tcPr>
            <w:tcW w:w="3021" w:type="dxa"/>
            <w:tcBorders>
              <w:top w:val="single" w:sz="4" w:space="0" w:color="auto"/>
              <w:left w:val="single" w:sz="4" w:space="0" w:color="auto"/>
            </w:tcBorders>
          </w:tcPr>
          <w:p w14:paraId="5C4E4686" w14:textId="77777777" w:rsidR="00A364E3" w:rsidRPr="00A364E3" w:rsidRDefault="00A364E3" w:rsidP="00A364E3">
            <w:pPr>
              <w:widowControl w:val="0"/>
              <w:autoSpaceDE w:val="0"/>
              <w:autoSpaceDN w:val="0"/>
              <w:adjustRightInd w:val="0"/>
              <w:spacing w:line="480" w:lineRule="auto"/>
              <w:jc w:val="center"/>
              <w:rPr>
                <w:rFonts w:cs="Times"/>
                <w:szCs w:val="24"/>
                <w:lang w:val="en-US"/>
              </w:rPr>
            </w:pPr>
            <w:r w:rsidRPr="00A364E3">
              <w:rPr>
                <w:rFonts w:cs="Times"/>
                <w:szCs w:val="24"/>
                <w:lang w:val="en-US"/>
              </w:rPr>
              <w:t>1.63 ± 0.13</w:t>
            </w:r>
          </w:p>
        </w:tc>
        <w:tc>
          <w:tcPr>
            <w:tcW w:w="3021" w:type="dxa"/>
            <w:tcBorders>
              <w:top w:val="single" w:sz="4" w:space="0" w:color="auto"/>
            </w:tcBorders>
          </w:tcPr>
          <w:p w14:paraId="41F45793" w14:textId="77777777" w:rsidR="00A364E3" w:rsidRPr="00A364E3" w:rsidRDefault="00A364E3" w:rsidP="00A364E3">
            <w:pPr>
              <w:widowControl w:val="0"/>
              <w:autoSpaceDE w:val="0"/>
              <w:autoSpaceDN w:val="0"/>
              <w:adjustRightInd w:val="0"/>
              <w:spacing w:line="480" w:lineRule="auto"/>
              <w:jc w:val="center"/>
              <w:rPr>
                <w:rFonts w:cs="Times"/>
                <w:szCs w:val="24"/>
                <w:lang w:val="en-US"/>
              </w:rPr>
            </w:pPr>
            <w:r w:rsidRPr="00A364E3">
              <w:rPr>
                <w:rFonts w:cs="Times"/>
                <w:szCs w:val="24"/>
                <w:lang w:val="en-US"/>
              </w:rPr>
              <w:t>1.58 ± 0.18</w:t>
            </w:r>
          </w:p>
        </w:tc>
      </w:tr>
      <w:tr w:rsidR="00A364E3" w:rsidRPr="00A364E3" w14:paraId="5D90084F" w14:textId="77777777" w:rsidTr="000002D4">
        <w:tc>
          <w:tcPr>
            <w:tcW w:w="3020" w:type="dxa"/>
            <w:tcBorders>
              <w:right w:val="single" w:sz="4" w:space="0" w:color="auto"/>
            </w:tcBorders>
          </w:tcPr>
          <w:p w14:paraId="39131584" w14:textId="77777777" w:rsidR="00A364E3" w:rsidRPr="00A364E3" w:rsidRDefault="00A364E3" w:rsidP="00A364E3">
            <w:pPr>
              <w:widowControl w:val="0"/>
              <w:autoSpaceDE w:val="0"/>
              <w:autoSpaceDN w:val="0"/>
              <w:adjustRightInd w:val="0"/>
              <w:spacing w:line="480" w:lineRule="auto"/>
              <w:jc w:val="center"/>
              <w:rPr>
                <w:rFonts w:cs="Times"/>
                <w:szCs w:val="24"/>
                <w:lang w:val="en-US"/>
              </w:rPr>
            </w:pPr>
            <w:r w:rsidRPr="00A364E3">
              <w:rPr>
                <w:rFonts w:cs="Times"/>
                <w:szCs w:val="24"/>
                <w:lang w:val="en-US"/>
              </w:rPr>
              <w:t>Mn</w:t>
            </w:r>
          </w:p>
        </w:tc>
        <w:tc>
          <w:tcPr>
            <w:tcW w:w="3021" w:type="dxa"/>
            <w:tcBorders>
              <w:left w:val="single" w:sz="4" w:space="0" w:color="auto"/>
            </w:tcBorders>
          </w:tcPr>
          <w:p w14:paraId="2C2D44D1" w14:textId="77777777" w:rsidR="00A364E3" w:rsidRPr="00A364E3" w:rsidRDefault="00A364E3" w:rsidP="00A364E3">
            <w:pPr>
              <w:widowControl w:val="0"/>
              <w:autoSpaceDE w:val="0"/>
              <w:autoSpaceDN w:val="0"/>
              <w:adjustRightInd w:val="0"/>
              <w:spacing w:line="480" w:lineRule="auto"/>
              <w:jc w:val="center"/>
              <w:rPr>
                <w:rFonts w:cs="Times"/>
                <w:szCs w:val="24"/>
                <w:lang w:val="en-US"/>
              </w:rPr>
            </w:pPr>
            <w:r w:rsidRPr="00A364E3">
              <w:rPr>
                <w:rFonts w:cs="Times"/>
                <w:szCs w:val="24"/>
                <w:lang w:val="en-US"/>
              </w:rPr>
              <w:t>4.98 ± 0.22</w:t>
            </w:r>
          </w:p>
        </w:tc>
        <w:tc>
          <w:tcPr>
            <w:tcW w:w="3021" w:type="dxa"/>
          </w:tcPr>
          <w:p w14:paraId="5FB5D3ED" w14:textId="77777777" w:rsidR="00A364E3" w:rsidRPr="00A364E3" w:rsidRDefault="00A364E3" w:rsidP="00A364E3">
            <w:pPr>
              <w:widowControl w:val="0"/>
              <w:autoSpaceDE w:val="0"/>
              <w:autoSpaceDN w:val="0"/>
              <w:adjustRightInd w:val="0"/>
              <w:spacing w:line="480" w:lineRule="auto"/>
              <w:jc w:val="center"/>
              <w:rPr>
                <w:rFonts w:cs="Times"/>
                <w:szCs w:val="24"/>
                <w:lang w:val="en-US"/>
              </w:rPr>
            </w:pPr>
            <w:r w:rsidRPr="00A364E3">
              <w:rPr>
                <w:rFonts w:cs="Times"/>
                <w:szCs w:val="24"/>
                <w:lang w:val="en-US"/>
              </w:rPr>
              <w:t>5.05 ± 0.18</w:t>
            </w:r>
          </w:p>
        </w:tc>
      </w:tr>
      <w:tr w:rsidR="00A364E3" w:rsidRPr="00A364E3" w14:paraId="353081FC" w14:textId="77777777" w:rsidTr="000002D4">
        <w:tc>
          <w:tcPr>
            <w:tcW w:w="3020" w:type="dxa"/>
            <w:tcBorders>
              <w:right w:val="single" w:sz="4" w:space="0" w:color="auto"/>
            </w:tcBorders>
          </w:tcPr>
          <w:p w14:paraId="799B9709" w14:textId="77777777" w:rsidR="00A364E3" w:rsidRPr="00A364E3" w:rsidRDefault="00A364E3" w:rsidP="00A364E3">
            <w:pPr>
              <w:widowControl w:val="0"/>
              <w:autoSpaceDE w:val="0"/>
              <w:autoSpaceDN w:val="0"/>
              <w:adjustRightInd w:val="0"/>
              <w:spacing w:line="480" w:lineRule="auto"/>
              <w:jc w:val="center"/>
              <w:rPr>
                <w:rFonts w:cs="Times"/>
                <w:szCs w:val="24"/>
                <w:lang w:val="en-US"/>
              </w:rPr>
            </w:pPr>
            <w:r w:rsidRPr="00A364E3">
              <w:rPr>
                <w:rFonts w:cs="Times"/>
                <w:szCs w:val="24"/>
                <w:lang w:val="en-US"/>
              </w:rPr>
              <w:t>Zn</w:t>
            </w:r>
          </w:p>
        </w:tc>
        <w:tc>
          <w:tcPr>
            <w:tcW w:w="3021" w:type="dxa"/>
            <w:tcBorders>
              <w:left w:val="single" w:sz="4" w:space="0" w:color="auto"/>
            </w:tcBorders>
          </w:tcPr>
          <w:p w14:paraId="60FE3A64" w14:textId="77777777" w:rsidR="00A364E3" w:rsidRPr="00A364E3" w:rsidRDefault="00A364E3" w:rsidP="00A364E3">
            <w:pPr>
              <w:widowControl w:val="0"/>
              <w:autoSpaceDE w:val="0"/>
              <w:autoSpaceDN w:val="0"/>
              <w:adjustRightInd w:val="0"/>
              <w:spacing w:line="480" w:lineRule="auto"/>
              <w:jc w:val="center"/>
              <w:rPr>
                <w:rFonts w:cs="Times"/>
                <w:szCs w:val="24"/>
                <w:lang w:val="en-US"/>
              </w:rPr>
            </w:pPr>
            <w:r w:rsidRPr="00A364E3">
              <w:rPr>
                <w:rFonts w:cs="Times"/>
                <w:szCs w:val="24"/>
                <w:lang w:val="en-US"/>
              </w:rPr>
              <w:t>20.09 ± 0.76</w:t>
            </w:r>
          </w:p>
        </w:tc>
        <w:tc>
          <w:tcPr>
            <w:tcW w:w="3021" w:type="dxa"/>
          </w:tcPr>
          <w:p w14:paraId="1412ED91" w14:textId="77777777" w:rsidR="00A364E3" w:rsidRPr="00A364E3" w:rsidRDefault="00A364E3" w:rsidP="00A364E3">
            <w:pPr>
              <w:widowControl w:val="0"/>
              <w:autoSpaceDE w:val="0"/>
              <w:autoSpaceDN w:val="0"/>
              <w:adjustRightInd w:val="0"/>
              <w:spacing w:line="480" w:lineRule="auto"/>
              <w:jc w:val="center"/>
              <w:rPr>
                <w:rFonts w:cs="Times"/>
                <w:szCs w:val="24"/>
                <w:lang w:val="en-US"/>
              </w:rPr>
            </w:pPr>
            <w:r w:rsidRPr="00A364E3">
              <w:rPr>
                <w:rFonts w:cs="Times"/>
                <w:szCs w:val="24"/>
                <w:lang w:val="en-US"/>
              </w:rPr>
              <w:t>19.65 ± 0.78</w:t>
            </w:r>
          </w:p>
        </w:tc>
      </w:tr>
    </w:tbl>
    <w:p w14:paraId="20F75DC4" w14:textId="5292F6D5" w:rsidR="00A364E3" w:rsidRDefault="00A364E3" w:rsidP="00A364E3">
      <w:pPr>
        <w:spacing w:line="480" w:lineRule="auto"/>
        <w:jc w:val="both"/>
        <w:rPr>
          <w:rFonts w:cs="Times"/>
        </w:rPr>
      </w:pPr>
    </w:p>
    <w:p w14:paraId="6B141E6C" w14:textId="77777777" w:rsidR="00A364E3" w:rsidRPr="00A364E3" w:rsidRDefault="00A364E3" w:rsidP="00A364E3">
      <w:pPr>
        <w:spacing w:line="480" w:lineRule="auto"/>
        <w:jc w:val="both"/>
        <w:rPr>
          <w:rFonts w:cs="Times"/>
        </w:rPr>
      </w:pPr>
    </w:p>
    <w:p w14:paraId="4C83DC3D" w14:textId="77777777" w:rsidR="00A364E3" w:rsidRPr="00A364E3" w:rsidRDefault="00A364E3" w:rsidP="00A364E3">
      <w:pPr>
        <w:widowControl w:val="0"/>
        <w:autoSpaceDE w:val="0"/>
        <w:autoSpaceDN w:val="0"/>
        <w:adjustRightInd w:val="0"/>
        <w:spacing w:line="480" w:lineRule="auto"/>
        <w:ind w:firstLine="284"/>
        <w:jc w:val="both"/>
        <w:rPr>
          <w:rFonts w:cs="Times"/>
          <w:szCs w:val="24"/>
          <w:lang w:val="en-US"/>
        </w:rPr>
      </w:pPr>
      <w:r w:rsidRPr="00A364E3">
        <w:rPr>
          <w:rFonts w:cs="Times"/>
          <w:szCs w:val="24"/>
          <w:lang w:val="en-US"/>
        </w:rPr>
        <w:t xml:space="preserve">The linear range of the calibration curve reached from the detection limit up to </w:t>
      </w:r>
      <w:r w:rsidRPr="00A364E3">
        <w:rPr>
          <w:rFonts w:cs="Times"/>
          <w:szCs w:val="24"/>
          <w:lang w:val="en-US"/>
        </w:rPr>
        <w:br/>
        <w:t xml:space="preserve">0.0; 0.25; 0.5; 1.0; 2.0; 3.0 mg/L for Cu, 0.0; 0.25; 0.5; 1.0; 2.0; 5.0 mg/L for Mn, and 0.0; 0.25; 0.5; 1.0; 2.0; 3.0 for Zn mg/L, respectively. </w:t>
      </w:r>
      <w:bookmarkStart w:id="0" w:name="_Hlk531436626"/>
      <w:r w:rsidRPr="00A364E3">
        <w:rPr>
          <w:rFonts w:cs="Times"/>
          <w:szCs w:val="24"/>
          <w:lang w:val="en-US"/>
        </w:rPr>
        <w:t>The values of correlation coefficients (R) are a good indicator of the linearity for AAS instrument for precision and accuracy of results</w:t>
      </w:r>
      <w:bookmarkEnd w:id="0"/>
      <w:r w:rsidRPr="00A364E3">
        <w:rPr>
          <w:rFonts w:cs="Times"/>
          <w:szCs w:val="24"/>
          <w:lang w:val="en-US"/>
        </w:rPr>
        <w:t>, in our studies all correlation coefficients were acceptable (R &gt; 0.998).</w:t>
      </w:r>
    </w:p>
    <w:p w14:paraId="79A4FE3A" w14:textId="2D4AFB8C" w:rsidR="00A364E3" w:rsidRPr="00A364E3" w:rsidRDefault="00A364E3" w:rsidP="002B735E">
      <w:pPr>
        <w:widowControl w:val="0"/>
        <w:autoSpaceDE w:val="0"/>
        <w:autoSpaceDN w:val="0"/>
        <w:adjustRightInd w:val="0"/>
        <w:spacing w:line="480" w:lineRule="auto"/>
        <w:ind w:firstLine="284"/>
        <w:jc w:val="both"/>
        <w:rPr>
          <w:rFonts w:cs="Times"/>
          <w:szCs w:val="24"/>
          <w:lang w:val="en-US"/>
        </w:rPr>
      </w:pPr>
      <w:r w:rsidRPr="00A364E3">
        <w:rPr>
          <w:rFonts w:cs="Times"/>
          <w:szCs w:val="24"/>
          <w:lang w:val="en-US"/>
        </w:rPr>
        <w:t xml:space="preserve">The limit of detection (LOD) was defined </w:t>
      </w:r>
      <w:r w:rsidRPr="00A364E3">
        <w:rPr>
          <w:rFonts w:cs="Times"/>
          <w:noProof/>
          <w:szCs w:val="24"/>
          <w:lang w:val="en-US"/>
        </w:rPr>
        <w:t>as</w:t>
      </w:r>
      <w:r w:rsidRPr="00A364E3">
        <w:rPr>
          <w:rFonts w:cs="Times"/>
          <w:szCs w:val="24"/>
          <w:lang w:val="en-US"/>
        </w:rPr>
        <w:t xml:space="preserve"> (3 SD)/</w:t>
      </w:r>
      <w:r w:rsidRPr="00A364E3">
        <w:rPr>
          <w:rFonts w:cs="Times"/>
          <w:i/>
          <w:szCs w:val="24"/>
          <w:lang w:val="en-US"/>
        </w:rPr>
        <w:t>a</w:t>
      </w:r>
      <w:r w:rsidRPr="00A364E3">
        <w:rPr>
          <w:rFonts w:cs="Times"/>
          <w:szCs w:val="24"/>
          <w:lang w:val="en-US"/>
        </w:rPr>
        <w:t>, where SD is the standard deviation corresponding to 10 blank injections and “</w:t>
      </w:r>
      <w:r w:rsidRPr="00A364E3">
        <w:rPr>
          <w:rFonts w:cs="Times"/>
          <w:i/>
          <w:szCs w:val="24"/>
          <w:lang w:val="en-US"/>
        </w:rPr>
        <w:t>a</w:t>
      </w:r>
      <w:r w:rsidRPr="00A364E3">
        <w:rPr>
          <w:rFonts w:cs="Times"/>
          <w:szCs w:val="24"/>
          <w:lang w:val="en-US"/>
        </w:rPr>
        <w:t xml:space="preserve">” is the slope of the calibration function obtained for each microelement. The LODs were determined for Cu, Mn and Zn as 2.1 µg/L, </w:t>
      </w:r>
      <w:r w:rsidRPr="00A364E3">
        <w:rPr>
          <w:rFonts w:cs="Times"/>
          <w:szCs w:val="24"/>
          <w:lang w:val="en-US"/>
        </w:rPr>
        <w:br/>
        <w:t xml:space="preserve">3.2 µg/L and 2.0 µg/L, respectively. </w:t>
      </w:r>
      <w:bookmarkStart w:id="1" w:name="_Hlk71711457"/>
      <w:r w:rsidR="002B735E">
        <w:rPr>
          <w:rFonts w:cs="Times"/>
          <w:szCs w:val="24"/>
          <w:lang w:val="en-US"/>
        </w:rPr>
        <w:t xml:space="preserve">On the other hand, </w:t>
      </w:r>
      <w:r w:rsidR="002B735E" w:rsidRPr="002B735E">
        <w:rPr>
          <w:rFonts w:cs="Times"/>
          <w:szCs w:val="24"/>
          <w:lang w:val="en-US"/>
        </w:rPr>
        <w:t>LOQ is defined as (10 SD)/a, where SD is the standard deviation corresponding to ten blank</w:t>
      </w:r>
      <w:r w:rsidR="00860D8D">
        <w:rPr>
          <w:rFonts w:cs="Times"/>
          <w:szCs w:val="24"/>
          <w:lang w:val="en-US"/>
        </w:rPr>
        <w:t xml:space="preserve"> </w:t>
      </w:r>
      <w:r w:rsidR="002B735E" w:rsidRPr="002B735E">
        <w:rPr>
          <w:rFonts w:cs="Times"/>
          <w:szCs w:val="24"/>
          <w:lang w:val="en-US"/>
        </w:rPr>
        <w:t>injections and “a” is the slope of</w:t>
      </w:r>
      <w:r w:rsidR="00860D8D">
        <w:rPr>
          <w:rFonts w:cs="Times"/>
          <w:szCs w:val="24"/>
          <w:lang w:val="en-US"/>
        </w:rPr>
        <w:t xml:space="preserve"> </w:t>
      </w:r>
      <w:r w:rsidR="002B735E" w:rsidRPr="002B735E">
        <w:rPr>
          <w:rFonts w:cs="Times"/>
          <w:szCs w:val="24"/>
          <w:lang w:val="en-US"/>
        </w:rPr>
        <w:t xml:space="preserve">the calibration curve, obtained for each heavy metal.  The calculated LOQs were </w:t>
      </w:r>
      <w:r w:rsidR="0095150E">
        <w:rPr>
          <w:rFonts w:cs="Times"/>
          <w:szCs w:val="24"/>
          <w:lang w:val="en-US"/>
        </w:rPr>
        <w:t>6.5</w:t>
      </w:r>
      <w:r w:rsidR="002B735E" w:rsidRPr="002B735E">
        <w:rPr>
          <w:rFonts w:cs="Times"/>
          <w:szCs w:val="24"/>
          <w:lang w:val="en-US"/>
        </w:rPr>
        <w:t xml:space="preserve"> µg/L for Cu,  </w:t>
      </w:r>
      <w:r w:rsidR="0095150E">
        <w:rPr>
          <w:rFonts w:cs="Times"/>
          <w:szCs w:val="24"/>
          <w:lang w:val="en-US"/>
        </w:rPr>
        <w:t>10.3</w:t>
      </w:r>
      <w:r w:rsidR="002B735E" w:rsidRPr="002B735E">
        <w:rPr>
          <w:rFonts w:cs="Times"/>
          <w:szCs w:val="24"/>
          <w:lang w:val="en-US"/>
        </w:rPr>
        <w:t xml:space="preserve"> µg/L for Mn and</w:t>
      </w:r>
      <w:r w:rsidR="0095150E">
        <w:rPr>
          <w:rFonts w:cs="Times"/>
          <w:szCs w:val="24"/>
          <w:lang w:val="en-US"/>
        </w:rPr>
        <w:t xml:space="preserve"> 6.2</w:t>
      </w:r>
      <w:r w:rsidR="002B735E" w:rsidRPr="002B735E">
        <w:rPr>
          <w:rFonts w:cs="Times"/>
          <w:szCs w:val="24"/>
          <w:lang w:val="en-US"/>
        </w:rPr>
        <w:t xml:space="preserve"> µg/L for Zn.</w:t>
      </w:r>
      <w:r w:rsidR="002B735E">
        <w:rPr>
          <w:rFonts w:cs="Times"/>
          <w:szCs w:val="24"/>
          <w:lang w:val="en-US"/>
        </w:rPr>
        <w:t xml:space="preserve"> </w:t>
      </w:r>
      <w:bookmarkEnd w:id="1"/>
      <w:r w:rsidRPr="00A364E3">
        <w:rPr>
          <w:rFonts w:cs="Times"/>
          <w:szCs w:val="24"/>
          <w:lang w:val="en-US"/>
        </w:rPr>
        <w:t>The recoveries obtained were acceptable: 96.8.0 % for Cu, 98.2 % for Mn and 97.6% for Zn.</w:t>
      </w:r>
    </w:p>
    <w:p w14:paraId="49B9F0C1" w14:textId="327ADB92" w:rsidR="00A364E3" w:rsidRDefault="00A364E3" w:rsidP="00A364E3">
      <w:pPr>
        <w:widowControl w:val="0"/>
        <w:autoSpaceDE w:val="0"/>
        <w:autoSpaceDN w:val="0"/>
        <w:adjustRightInd w:val="0"/>
        <w:spacing w:line="480" w:lineRule="auto"/>
        <w:ind w:firstLine="284"/>
        <w:jc w:val="both"/>
        <w:rPr>
          <w:rFonts w:cs="Times"/>
          <w:szCs w:val="24"/>
          <w:lang w:val="en-US"/>
        </w:rPr>
      </w:pPr>
      <w:r w:rsidRPr="00A364E3">
        <w:rPr>
          <w:rFonts w:cs="Times"/>
          <w:szCs w:val="24"/>
          <w:lang w:val="en-US"/>
        </w:rPr>
        <w:t xml:space="preserve">Blank samples of ultrapure water were prepared applying the same procedure as for the samples to assess possible contamination during the sample preparation and analytical calibration step. All blank levels obtained were negligible. Newly prepared standard stock solutions were serially diluted and used to obtain calibration curves. </w:t>
      </w:r>
    </w:p>
    <w:p w14:paraId="2E463C18" w14:textId="3F3B40A9" w:rsidR="00A364E3" w:rsidRDefault="00A364E3" w:rsidP="00A364E3">
      <w:pPr>
        <w:widowControl w:val="0"/>
        <w:autoSpaceDE w:val="0"/>
        <w:autoSpaceDN w:val="0"/>
        <w:adjustRightInd w:val="0"/>
        <w:spacing w:line="480" w:lineRule="auto"/>
        <w:ind w:firstLine="284"/>
        <w:jc w:val="both"/>
        <w:rPr>
          <w:rFonts w:cs="Times"/>
          <w:szCs w:val="24"/>
          <w:lang w:val="en-US"/>
        </w:rPr>
      </w:pPr>
      <w:r>
        <w:rPr>
          <w:rFonts w:cs="Times"/>
          <w:szCs w:val="24"/>
          <w:lang w:val="en-US"/>
        </w:rPr>
        <w:t>The detailed instrumental parameters are shown in table S2.</w:t>
      </w:r>
    </w:p>
    <w:p w14:paraId="2B3B8B08" w14:textId="4208E821" w:rsidR="00A364E3" w:rsidRDefault="00A364E3" w:rsidP="00A364E3">
      <w:pPr>
        <w:widowControl w:val="0"/>
        <w:autoSpaceDE w:val="0"/>
        <w:autoSpaceDN w:val="0"/>
        <w:adjustRightInd w:val="0"/>
        <w:spacing w:line="480" w:lineRule="auto"/>
        <w:jc w:val="both"/>
        <w:rPr>
          <w:rFonts w:ascii="Times New Roman" w:hAnsi="Times New Roman"/>
          <w:lang w:val="en-US" w:eastAsia="en-US"/>
        </w:rPr>
      </w:pPr>
      <w:r>
        <w:rPr>
          <w:rFonts w:ascii="Times New Roman" w:hAnsi="Times New Roman"/>
          <w:b/>
          <w:bCs/>
          <w:lang w:val="en-US" w:eastAsia="en-US"/>
        </w:rPr>
        <w:lastRenderedPageBreak/>
        <w:t xml:space="preserve">Table S2. </w:t>
      </w:r>
      <w:r>
        <w:rPr>
          <w:rFonts w:ascii="Times New Roman" w:hAnsi="Times New Roman"/>
          <w:lang w:val="en-US" w:eastAsia="en-US"/>
        </w:rPr>
        <w:t>Instrumental parameters for the determination of Cu, Mn and Zn.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0"/>
        <w:gridCol w:w="1368"/>
        <w:gridCol w:w="1368"/>
        <w:gridCol w:w="1546"/>
      </w:tblGrid>
      <w:tr w:rsidR="00A364E3" w:rsidRPr="00F148CF" w14:paraId="7F7E7647" w14:textId="77777777" w:rsidTr="000002D4">
        <w:trPr>
          <w:cantSplit/>
          <w:jc w:val="center"/>
        </w:trPr>
        <w:tc>
          <w:tcPr>
            <w:tcW w:w="2637" w:type="pct"/>
            <w:vMerge w:val="restart"/>
            <w:vAlign w:val="center"/>
          </w:tcPr>
          <w:p w14:paraId="265178F1" w14:textId="77777777" w:rsidR="00A364E3" w:rsidRPr="00E07525" w:rsidRDefault="00A364E3" w:rsidP="000002D4">
            <w:pPr>
              <w:widowControl w:val="0"/>
              <w:autoSpaceDE w:val="0"/>
              <w:autoSpaceDN w:val="0"/>
              <w:adjustRightInd w:val="0"/>
              <w:spacing w:line="480" w:lineRule="auto"/>
              <w:jc w:val="center"/>
              <w:rPr>
                <w:rFonts w:ascii="Times New Roman" w:hAnsi="Times New Roman"/>
                <w:sz w:val="20"/>
                <w:lang w:val="en-US" w:eastAsia="en-US"/>
              </w:rPr>
            </w:pPr>
            <w:r w:rsidRPr="00E07525">
              <w:rPr>
                <w:rFonts w:ascii="Times New Roman" w:hAnsi="Times New Roman"/>
                <w:sz w:val="20"/>
                <w:lang w:val="en-US" w:eastAsia="en-US"/>
              </w:rPr>
              <w:t>Operating parameters</w:t>
            </w:r>
          </w:p>
        </w:tc>
        <w:tc>
          <w:tcPr>
            <w:tcW w:w="2363" w:type="pct"/>
            <w:gridSpan w:val="3"/>
            <w:vAlign w:val="center"/>
          </w:tcPr>
          <w:p w14:paraId="1E997086" w14:textId="77777777" w:rsidR="00A364E3" w:rsidRPr="00E07525" w:rsidRDefault="00A364E3" w:rsidP="000002D4">
            <w:pPr>
              <w:widowControl w:val="0"/>
              <w:autoSpaceDE w:val="0"/>
              <w:autoSpaceDN w:val="0"/>
              <w:adjustRightInd w:val="0"/>
              <w:spacing w:line="480" w:lineRule="auto"/>
              <w:jc w:val="center"/>
              <w:rPr>
                <w:rFonts w:ascii="Times New Roman" w:hAnsi="Times New Roman"/>
                <w:sz w:val="20"/>
                <w:lang w:val="en-US" w:eastAsia="en-US"/>
              </w:rPr>
            </w:pPr>
            <w:r w:rsidRPr="009D4116">
              <w:rPr>
                <w:rFonts w:ascii="Times New Roman" w:hAnsi="Times New Roman"/>
                <w:sz w:val="20"/>
                <w:lang w:val="en-US" w:eastAsia="en-US"/>
              </w:rPr>
              <w:t>essential trace elements</w:t>
            </w:r>
          </w:p>
        </w:tc>
      </w:tr>
      <w:tr w:rsidR="00A364E3" w:rsidRPr="00F148CF" w14:paraId="0A2E5995" w14:textId="77777777" w:rsidTr="000002D4">
        <w:trPr>
          <w:cantSplit/>
          <w:jc w:val="center"/>
        </w:trPr>
        <w:tc>
          <w:tcPr>
            <w:tcW w:w="2637" w:type="pct"/>
            <w:vMerge/>
            <w:vAlign w:val="center"/>
          </w:tcPr>
          <w:p w14:paraId="318C8B70" w14:textId="77777777" w:rsidR="00A364E3" w:rsidRPr="00E07525" w:rsidRDefault="00A364E3" w:rsidP="000002D4">
            <w:pPr>
              <w:widowControl w:val="0"/>
              <w:autoSpaceDE w:val="0"/>
              <w:autoSpaceDN w:val="0"/>
              <w:adjustRightInd w:val="0"/>
              <w:spacing w:line="480" w:lineRule="auto"/>
              <w:jc w:val="center"/>
              <w:rPr>
                <w:rFonts w:ascii="Times New Roman" w:hAnsi="Times New Roman"/>
                <w:sz w:val="20"/>
                <w:lang w:val="en-US" w:eastAsia="en-US"/>
              </w:rPr>
            </w:pPr>
          </w:p>
        </w:tc>
        <w:tc>
          <w:tcPr>
            <w:tcW w:w="755" w:type="pct"/>
            <w:vAlign w:val="center"/>
          </w:tcPr>
          <w:p w14:paraId="77CE1516" w14:textId="77777777" w:rsidR="00A364E3" w:rsidRPr="00E07525" w:rsidRDefault="00A364E3" w:rsidP="000002D4">
            <w:pPr>
              <w:widowControl w:val="0"/>
              <w:autoSpaceDE w:val="0"/>
              <w:autoSpaceDN w:val="0"/>
              <w:adjustRightInd w:val="0"/>
              <w:spacing w:line="480" w:lineRule="auto"/>
              <w:jc w:val="center"/>
              <w:rPr>
                <w:rFonts w:ascii="Times New Roman" w:hAnsi="Times New Roman"/>
                <w:sz w:val="20"/>
                <w:lang w:val="pl-PL" w:eastAsia="en-US"/>
              </w:rPr>
            </w:pPr>
            <w:r w:rsidRPr="00E07525">
              <w:rPr>
                <w:rFonts w:ascii="Times New Roman" w:hAnsi="Times New Roman"/>
                <w:sz w:val="20"/>
                <w:lang w:val="pl-PL" w:eastAsia="en-US"/>
              </w:rPr>
              <w:t>Cu</w:t>
            </w:r>
          </w:p>
        </w:tc>
        <w:tc>
          <w:tcPr>
            <w:tcW w:w="755" w:type="pct"/>
            <w:vAlign w:val="center"/>
          </w:tcPr>
          <w:p w14:paraId="380BDF2F" w14:textId="77777777" w:rsidR="00A364E3" w:rsidRPr="00E07525" w:rsidRDefault="00A364E3" w:rsidP="000002D4">
            <w:pPr>
              <w:widowControl w:val="0"/>
              <w:autoSpaceDE w:val="0"/>
              <w:autoSpaceDN w:val="0"/>
              <w:adjustRightInd w:val="0"/>
              <w:spacing w:line="480" w:lineRule="auto"/>
              <w:jc w:val="center"/>
              <w:rPr>
                <w:rFonts w:ascii="Times New Roman" w:hAnsi="Times New Roman"/>
                <w:sz w:val="20"/>
                <w:lang w:val="pl-PL" w:eastAsia="en-US"/>
              </w:rPr>
            </w:pPr>
            <w:r w:rsidRPr="00E07525">
              <w:rPr>
                <w:rFonts w:ascii="Times New Roman" w:hAnsi="Times New Roman"/>
                <w:sz w:val="20"/>
                <w:lang w:val="pl-PL" w:eastAsia="en-US"/>
              </w:rPr>
              <w:t>Mn</w:t>
            </w:r>
          </w:p>
        </w:tc>
        <w:tc>
          <w:tcPr>
            <w:tcW w:w="853" w:type="pct"/>
            <w:vAlign w:val="center"/>
          </w:tcPr>
          <w:p w14:paraId="3A7DE105" w14:textId="77777777" w:rsidR="00A364E3" w:rsidRPr="00E07525" w:rsidRDefault="00A364E3" w:rsidP="000002D4">
            <w:pPr>
              <w:widowControl w:val="0"/>
              <w:autoSpaceDE w:val="0"/>
              <w:autoSpaceDN w:val="0"/>
              <w:adjustRightInd w:val="0"/>
              <w:spacing w:line="480" w:lineRule="auto"/>
              <w:jc w:val="center"/>
              <w:rPr>
                <w:rFonts w:ascii="Times New Roman" w:hAnsi="Times New Roman"/>
                <w:sz w:val="20"/>
                <w:lang w:val="pl-PL" w:eastAsia="en-US"/>
              </w:rPr>
            </w:pPr>
            <w:r w:rsidRPr="00E07525">
              <w:rPr>
                <w:rFonts w:ascii="Times New Roman" w:hAnsi="Times New Roman"/>
                <w:sz w:val="20"/>
                <w:lang w:val="pl-PL" w:eastAsia="en-US"/>
              </w:rPr>
              <w:t>Zn</w:t>
            </w:r>
          </w:p>
        </w:tc>
      </w:tr>
      <w:tr w:rsidR="00A364E3" w:rsidRPr="00F148CF" w14:paraId="67A9BFE3" w14:textId="77777777" w:rsidTr="000002D4">
        <w:trPr>
          <w:jc w:val="center"/>
        </w:trPr>
        <w:tc>
          <w:tcPr>
            <w:tcW w:w="2637" w:type="pct"/>
            <w:vAlign w:val="center"/>
          </w:tcPr>
          <w:p w14:paraId="2F2F57A9" w14:textId="77777777" w:rsidR="00A364E3" w:rsidRPr="00E07525" w:rsidRDefault="00A364E3" w:rsidP="000002D4">
            <w:pPr>
              <w:widowControl w:val="0"/>
              <w:autoSpaceDE w:val="0"/>
              <w:autoSpaceDN w:val="0"/>
              <w:adjustRightInd w:val="0"/>
              <w:spacing w:line="480" w:lineRule="auto"/>
              <w:jc w:val="center"/>
              <w:rPr>
                <w:rFonts w:ascii="Times New Roman" w:hAnsi="Times New Roman"/>
                <w:sz w:val="20"/>
                <w:lang w:val="en-US" w:eastAsia="en-US"/>
              </w:rPr>
            </w:pPr>
            <w:r w:rsidRPr="00E07525">
              <w:rPr>
                <w:rFonts w:ascii="Times New Roman" w:hAnsi="Times New Roman"/>
                <w:sz w:val="20"/>
                <w:lang w:val="en-US" w:eastAsia="en-US"/>
              </w:rPr>
              <w:t>Wavelength [nm]</w:t>
            </w:r>
          </w:p>
        </w:tc>
        <w:tc>
          <w:tcPr>
            <w:tcW w:w="755" w:type="pct"/>
            <w:shd w:val="clear" w:color="auto" w:fill="auto"/>
            <w:vAlign w:val="center"/>
          </w:tcPr>
          <w:p w14:paraId="4642C084" w14:textId="77777777" w:rsidR="00A364E3" w:rsidRPr="00E07525" w:rsidRDefault="00A364E3" w:rsidP="000002D4">
            <w:pPr>
              <w:widowControl w:val="0"/>
              <w:autoSpaceDE w:val="0"/>
              <w:autoSpaceDN w:val="0"/>
              <w:adjustRightInd w:val="0"/>
              <w:spacing w:line="480" w:lineRule="auto"/>
              <w:jc w:val="center"/>
              <w:rPr>
                <w:rFonts w:ascii="Times New Roman" w:hAnsi="Times New Roman"/>
                <w:sz w:val="20"/>
                <w:lang w:val="en-US" w:eastAsia="en-US"/>
              </w:rPr>
            </w:pPr>
            <w:r w:rsidRPr="00E07525">
              <w:rPr>
                <w:rFonts w:ascii="Times New Roman" w:hAnsi="Times New Roman"/>
                <w:sz w:val="20"/>
                <w:lang w:val="en-US" w:eastAsia="en-US"/>
              </w:rPr>
              <w:t>324.8</w:t>
            </w:r>
          </w:p>
        </w:tc>
        <w:tc>
          <w:tcPr>
            <w:tcW w:w="755" w:type="pct"/>
            <w:shd w:val="clear" w:color="auto" w:fill="auto"/>
            <w:vAlign w:val="center"/>
          </w:tcPr>
          <w:p w14:paraId="09E064CB" w14:textId="77777777" w:rsidR="00A364E3" w:rsidRPr="00E07525" w:rsidRDefault="00A364E3" w:rsidP="000002D4">
            <w:pPr>
              <w:widowControl w:val="0"/>
              <w:autoSpaceDE w:val="0"/>
              <w:autoSpaceDN w:val="0"/>
              <w:adjustRightInd w:val="0"/>
              <w:spacing w:line="480" w:lineRule="auto"/>
              <w:jc w:val="center"/>
              <w:rPr>
                <w:rFonts w:ascii="Times New Roman" w:hAnsi="Times New Roman"/>
                <w:sz w:val="20"/>
                <w:lang w:val="en-US" w:eastAsia="en-US"/>
              </w:rPr>
            </w:pPr>
            <w:r w:rsidRPr="00E07525">
              <w:rPr>
                <w:rFonts w:ascii="Times New Roman" w:hAnsi="Times New Roman"/>
                <w:sz w:val="20"/>
                <w:lang w:val="en-US" w:eastAsia="en-US"/>
              </w:rPr>
              <w:t>279.5</w:t>
            </w:r>
          </w:p>
        </w:tc>
        <w:tc>
          <w:tcPr>
            <w:tcW w:w="853" w:type="pct"/>
            <w:shd w:val="clear" w:color="auto" w:fill="auto"/>
            <w:vAlign w:val="center"/>
          </w:tcPr>
          <w:p w14:paraId="00877540" w14:textId="77777777" w:rsidR="00A364E3" w:rsidRPr="00E07525" w:rsidRDefault="00A364E3" w:rsidP="000002D4">
            <w:pPr>
              <w:widowControl w:val="0"/>
              <w:autoSpaceDE w:val="0"/>
              <w:autoSpaceDN w:val="0"/>
              <w:adjustRightInd w:val="0"/>
              <w:spacing w:line="480" w:lineRule="auto"/>
              <w:jc w:val="center"/>
              <w:rPr>
                <w:rFonts w:ascii="Times New Roman" w:hAnsi="Times New Roman"/>
                <w:sz w:val="20"/>
                <w:lang w:val="en-US" w:eastAsia="en-US"/>
              </w:rPr>
            </w:pPr>
            <w:r w:rsidRPr="00E07525">
              <w:rPr>
                <w:rFonts w:ascii="Times New Roman" w:hAnsi="Times New Roman"/>
                <w:sz w:val="20"/>
                <w:lang w:val="en-US" w:eastAsia="en-US"/>
              </w:rPr>
              <w:t>213.9</w:t>
            </w:r>
          </w:p>
        </w:tc>
      </w:tr>
      <w:tr w:rsidR="00A364E3" w:rsidRPr="00F148CF" w14:paraId="0314CC02" w14:textId="77777777" w:rsidTr="000002D4">
        <w:trPr>
          <w:jc w:val="center"/>
        </w:trPr>
        <w:tc>
          <w:tcPr>
            <w:tcW w:w="2637" w:type="pct"/>
            <w:vAlign w:val="center"/>
          </w:tcPr>
          <w:p w14:paraId="763344AC" w14:textId="77777777" w:rsidR="00A364E3" w:rsidRPr="00E07525" w:rsidRDefault="00A364E3" w:rsidP="000002D4">
            <w:pPr>
              <w:widowControl w:val="0"/>
              <w:autoSpaceDE w:val="0"/>
              <w:autoSpaceDN w:val="0"/>
              <w:adjustRightInd w:val="0"/>
              <w:spacing w:line="480" w:lineRule="auto"/>
              <w:jc w:val="center"/>
              <w:rPr>
                <w:rFonts w:ascii="Times New Roman" w:hAnsi="Times New Roman"/>
                <w:sz w:val="20"/>
                <w:lang w:val="en-US" w:eastAsia="en-US"/>
              </w:rPr>
            </w:pPr>
            <w:r w:rsidRPr="00E07525">
              <w:rPr>
                <w:rFonts w:ascii="Times New Roman" w:hAnsi="Times New Roman"/>
                <w:sz w:val="20"/>
                <w:lang w:val="en-US" w:eastAsia="en-US"/>
              </w:rPr>
              <w:t>Lamp current [mA]</w:t>
            </w:r>
          </w:p>
        </w:tc>
        <w:tc>
          <w:tcPr>
            <w:tcW w:w="755" w:type="pct"/>
            <w:shd w:val="clear" w:color="auto" w:fill="auto"/>
            <w:vAlign w:val="center"/>
          </w:tcPr>
          <w:p w14:paraId="27DE84A7" w14:textId="77777777" w:rsidR="00A364E3" w:rsidRPr="00E07525" w:rsidRDefault="00A364E3" w:rsidP="000002D4">
            <w:pPr>
              <w:widowControl w:val="0"/>
              <w:autoSpaceDE w:val="0"/>
              <w:autoSpaceDN w:val="0"/>
              <w:adjustRightInd w:val="0"/>
              <w:spacing w:line="480" w:lineRule="auto"/>
              <w:jc w:val="center"/>
              <w:rPr>
                <w:rFonts w:ascii="Times New Roman" w:hAnsi="Times New Roman"/>
                <w:sz w:val="20"/>
                <w:lang w:val="en-US" w:eastAsia="en-US"/>
              </w:rPr>
            </w:pPr>
            <w:r w:rsidRPr="00E07525">
              <w:rPr>
                <w:rFonts w:ascii="Times New Roman" w:hAnsi="Times New Roman"/>
                <w:sz w:val="20"/>
                <w:lang w:val="en-US" w:eastAsia="en-US"/>
              </w:rPr>
              <w:t>15</w:t>
            </w:r>
          </w:p>
        </w:tc>
        <w:tc>
          <w:tcPr>
            <w:tcW w:w="755" w:type="pct"/>
            <w:shd w:val="clear" w:color="auto" w:fill="auto"/>
            <w:vAlign w:val="center"/>
          </w:tcPr>
          <w:p w14:paraId="1E93D269" w14:textId="77777777" w:rsidR="00A364E3" w:rsidRPr="00E07525" w:rsidRDefault="00A364E3" w:rsidP="000002D4">
            <w:pPr>
              <w:widowControl w:val="0"/>
              <w:autoSpaceDE w:val="0"/>
              <w:autoSpaceDN w:val="0"/>
              <w:adjustRightInd w:val="0"/>
              <w:spacing w:line="480" w:lineRule="auto"/>
              <w:jc w:val="center"/>
              <w:rPr>
                <w:rFonts w:ascii="Times New Roman" w:hAnsi="Times New Roman"/>
                <w:sz w:val="20"/>
                <w:lang w:val="en-US" w:eastAsia="en-US"/>
              </w:rPr>
            </w:pPr>
            <w:r w:rsidRPr="00E07525">
              <w:rPr>
                <w:rFonts w:ascii="Times New Roman" w:hAnsi="Times New Roman"/>
                <w:sz w:val="20"/>
                <w:lang w:val="en-US" w:eastAsia="en-US"/>
              </w:rPr>
              <w:t>15</w:t>
            </w:r>
          </w:p>
        </w:tc>
        <w:tc>
          <w:tcPr>
            <w:tcW w:w="853" w:type="pct"/>
            <w:shd w:val="clear" w:color="auto" w:fill="auto"/>
            <w:vAlign w:val="center"/>
          </w:tcPr>
          <w:p w14:paraId="27FBD485" w14:textId="77777777" w:rsidR="00A364E3" w:rsidRPr="00E07525" w:rsidRDefault="00A364E3" w:rsidP="000002D4">
            <w:pPr>
              <w:widowControl w:val="0"/>
              <w:autoSpaceDE w:val="0"/>
              <w:autoSpaceDN w:val="0"/>
              <w:adjustRightInd w:val="0"/>
              <w:spacing w:line="480" w:lineRule="auto"/>
              <w:jc w:val="center"/>
              <w:rPr>
                <w:rFonts w:ascii="Times New Roman" w:hAnsi="Times New Roman"/>
                <w:sz w:val="20"/>
                <w:lang w:val="en-US" w:eastAsia="en-US"/>
              </w:rPr>
            </w:pPr>
            <w:r w:rsidRPr="00E07525">
              <w:rPr>
                <w:rFonts w:ascii="Times New Roman" w:hAnsi="Times New Roman"/>
                <w:sz w:val="20"/>
                <w:lang w:val="en-US" w:eastAsia="en-US"/>
              </w:rPr>
              <w:t>18</w:t>
            </w:r>
          </w:p>
        </w:tc>
      </w:tr>
      <w:tr w:rsidR="00A364E3" w:rsidRPr="00F148CF" w14:paraId="165ECCA9" w14:textId="77777777" w:rsidTr="000002D4">
        <w:trPr>
          <w:jc w:val="center"/>
        </w:trPr>
        <w:tc>
          <w:tcPr>
            <w:tcW w:w="2637" w:type="pct"/>
            <w:vAlign w:val="center"/>
          </w:tcPr>
          <w:p w14:paraId="4FE32C76" w14:textId="77777777" w:rsidR="00A364E3" w:rsidRPr="00E07525" w:rsidRDefault="00A364E3" w:rsidP="000002D4">
            <w:pPr>
              <w:widowControl w:val="0"/>
              <w:autoSpaceDE w:val="0"/>
              <w:autoSpaceDN w:val="0"/>
              <w:adjustRightInd w:val="0"/>
              <w:spacing w:line="480" w:lineRule="auto"/>
              <w:jc w:val="center"/>
              <w:rPr>
                <w:rFonts w:ascii="Times New Roman" w:hAnsi="Times New Roman"/>
                <w:sz w:val="20"/>
                <w:lang w:val="en-US" w:eastAsia="en-US"/>
              </w:rPr>
            </w:pPr>
            <w:r w:rsidRPr="00E07525">
              <w:rPr>
                <w:rFonts w:ascii="Times New Roman" w:hAnsi="Times New Roman"/>
                <w:sz w:val="20"/>
                <w:lang w:val="en-US" w:eastAsia="en-US"/>
              </w:rPr>
              <w:t>Slit width [nm]</w:t>
            </w:r>
          </w:p>
        </w:tc>
        <w:tc>
          <w:tcPr>
            <w:tcW w:w="755" w:type="pct"/>
            <w:shd w:val="clear" w:color="auto" w:fill="auto"/>
            <w:vAlign w:val="center"/>
          </w:tcPr>
          <w:p w14:paraId="592D8C80" w14:textId="77777777" w:rsidR="00A364E3" w:rsidRPr="00E07525" w:rsidRDefault="00A364E3" w:rsidP="000002D4">
            <w:pPr>
              <w:widowControl w:val="0"/>
              <w:autoSpaceDE w:val="0"/>
              <w:autoSpaceDN w:val="0"/>
              <w:adjustRightInd w:val="0"/>
              <w:spacing w:line="480" w:lineRule="auto"/>
              <w:jc w:val="center"/>
              <w:rPr>
                <w:rFonts w:ascii="Times New Roman" w:hAnsi="Times New Roman"/>
                <w:sz w:val="20"/>
                <w:lang w:val="en-US" w:eastAsia="en-US"/>
              </w:rPr>
            </w:pPr>
            <w:r w:rsidRPr="00E07525">
              <w:rPr>
                <w:rFonts w:ascii="Times New Roman" w:hAnsi="Times New Roman"/>
                <w:sz w:val="20"/>
                <w:lang w:val="en-US" w:eastAsia="en-US"/>
              </w:rPr>
              <w:t>0.7</w:t>
            </w:r>
          </w:p>
        </w:tc>
        <w:tc>
          <w:tcPr>
            <w:tcW w:w="755" w:type="pct"/>
            <w:shd w:val="clear" w:color="auto" w:fill="auto"/>
            <w:vAlign w:val="center"/>
          </w:tcPr>
          <w:p w14:paraId="4373EEFB" w14:textId="77777777" w:rsidR="00A364E3" w:rsidRPr="00E07525" w:rsidRDefault="00A364E3" w:rsidP="000002D4">
            <w:pPr>
              <w:widowControl w:val="0"/>
              <w:autoSpaceDE w:val="0"/>
              <w:autoSpaceDN w:val="0"/>
              <w:adjustRightInd w:val="0"/>
              <w:spacing w:line="480" w:lineRule="auto"/>
              <w:jc w:val="center"/>
              <w:rPr>
                <w:rFonts w:ascii="Times New Roman" w:hAnsi="Times New Roman"/>
                <w:sz w:val="20"/>
                <w:lang w:val="en-US" w:eastAsia="en-US"/>
              </w:rPr>
            </w:pPr>
            <w:r w:rsidRPr="00E07525">
              <w:rPr>
                <w:rFonts w:ascii="Times New Roman" w:hAnsi="Times New Roman"/>
                <w:sz w:val="20"/>
                <w:lang w:val="en-US" w:eastAsia="en-US"/>
              </w:rPr>
              <w:t>0.7</w:t>
            </w:r>
          </w:p>
        </w:tc>
        <w:tc>
          <w:tcPr>
            <w:tcW w:w="853" w:type="pct"/>
            <w:shd w:val="clear" w:color="auto" w:fill="auto"/>
            <w:vAlign w:val="center"/>
          </w:tcPr>
          <w:p w14:paraId="51A3DCEA" w14:textId="77777777" w:rsidR="00A364E3" w:rsidRPr="00E07525" w:rsidRDefault="00A364E3" w:rsidP="000002D4">
            <w:pPr>
              <w:widowControl w:val="0"/>
              <w:autoSpaceDE w:val="0"/>
              <w:autoSpaceDN w:val="0"/>
              <w:adjustRightInd w:val="0"/>
              <w:spacing w:line="480" w:lineRule="auto"/>
              <w:jc w:val="center"/>
              <w:rPr>
                <w:rFonts w:ascii="Times New Roman" w:hAnsi="Times New Roman"/>
                <w:sz w:val="20"/>
                <w:lang w:val="en-US" w:eastAsia="en-US"/>
              </w:rPr>
            </w:pPr>
            <w:r w:rsidRPr="00E07525">
              <w:rPr>
                <w:rFonts w:ascii="Times New Roman" w:hAnsi="Times New Roman"/>
                <w:sz w:val="20"/>
                <w:lang w:val="en-US" w:eastAsia="en-US"/>
              </w:rPr>
              <w:t>0.7</w:t>
            </w:r>
          </w:p>
        </w:tc>
      </w:tr>
      <w:tr w:rsidR="00A364E3" w:rsidRPr="00F148CF" w14:paraId="631AAC9F" w14:textId="77777777" w:rsidTr="000002D4">
        <w:trPr>
          <w:jc w:val="center"/>
        </w:trPr>
        <w:tc>
          <w:tcPr>
            <w:tcW w:w="2637" w:type="pct"/>
            <w:vAlign w:val="center"/>
          </w:tcPr>
          <w:p w14:paraId="4DDE2617" w14:textId="77777777" w:rsidR="00A364E3" w:rsidRPr="00E07525" w:rsidRDefault="00A364E3" w:rsidP="000002D4">
            <w:pPr>
              <w:widowControl w:val="0"/>
              <w:autoSpaceDE w:val="0"/>
              <w:autoSpaceDN w:val="0"/>
              <w:adjustRightInd w:val="0"/>
              <w:spacing w:line="480" w:lineRule="auto"/>
              <w:jc w:val="center"/>
              <w:rPr>
                <w:rFonts w:ascii="Times New Roman" w:hAnsi="Times New Roman"/>
                <w:sz w:val="20"/>
                <w:lang w:val="en-US" w:eastAsia="en-US"/>
              </w:rPr>
            </w:pPr>
            <w:r w:rsidRPr="00E07525">
              <w:rPr>
                <w:rFonts w:ascii="Times New Roman" w:hAnsi="Times New Roman"/>
                <w:sz w:val="20"/>
                <w:lang w:val="en-US" w:eastAsia="en-US"/>
              </w:rPr>
              <w:t xml:space="preserve">Optimum working range </w:t>
            </w:r>
            <w:r w:rsidRPr="00937950">
              <w:rPr>
                <w:rFonts w:ascii="Times New Roman" w:eastAsiaTheme="minorHAnsi" w:hAnsi="Times New Roman"/>
                <w:sz w:val="20"/>
                <w:lang w:val="en-US" w:eastAsia="en-US"/>
              </w:rPr>
              <w:t>[</w:t>
            </w:r>
            <w:r>
              <w:rPr>
                <w:rFonts w:ascii="Times New Roman" w:eastAsiaTheme="minorHAnsi" w:hAnsi="Times New Roman"/>
                <w:sz w:val="20"/>
                <w:lang w:val="en-US" w:eastAsia="en-US"/>
              </w:rPr>
              <w:t>µg/kg</w:t>
            </w:r>
            <w:r w:rsidRPr="00937950">
              <w:rPr>
                <w:rFonts w:ascii="Times New Roman" w:eastAsiaTheme="minorHAnsi" w:hAnsi="Times New Roman"/>
                <w:sz w:val="20"/>
                <w:lang w:val="en-US" w:eastAsia="en-US"/>
              </w:rPr>
              <w:t>]</w:t>
            </w:r>
          </w:p>
        </w:tc>
        <w:tc>
          <w:tcPr>
            <w:tcW w:w="755" w:type="pct"/>
            <w:shd w:val="clear" w:color="auto" w:fill="auto"/>
            <w:vAlign w:val="center"/>
          </w:tcPr>
          <w:p w14:paraId="5E68311F" w14:textId="77777777" w:rsidR="00A364E3" w:rsidRPr="00E07525" w:rsidRDefault="00A364E3" w:rsidP="000002D4">
            <w:pPr>
              <w:widowControl w:val="0"/>
              <w:autoSpaceDE w:val="0"/>
              <w:autoSpaceDN w:val="0"/>
              <w:adjustRightInd w:val="0"/>
              <w:spacing w:line="480" w:lineRule="auto"/>
              <w:jc w:val="center"/>
              <w:rPr>
                <w:rFonts w:ascii="Times New Roman" w:hAnsi="Times New Roman"/>
                <w:sz w:val="20"/>
                <w:lang w:val="en-US" w:eastAsia="en-US"/>
              </w:rPr>
            </w:pPr>
            <w:r w:rsidRPr="00E07525">
              <w:rPr>
                <w:rFonts w:ascii="Times New Roman" w:hAnsi="Times New Roman"/>
                <w:sz w:val="20"/>
                <w:lang w:val="en-US" w:eastAsia="en-US"/>
              </w:rPr>
              <w:t>0.2-2.0</w:t>
            </w:r>
          </w:p>
        </w:tc>
        <w:tc>
          <w:tcPr>
            <w:tcW w:w="755" w:type="pct"/>
            <w:shd w:val="clear" w:color="auto" w:fill="auto"/>
            <w:vAlign w:val="center"/>
          </w:tcPr>
          <w:p w14:paraId="5E315A43" w14:textId="77777777" w:rsidR="00A364E3" w:rsidRPr="00E07525" w:rsidRDefault="00A364E3" w:rsidP="000002D4">
            <w:pPr>
              <w:widowControl w:val="0"/>
              <w:autoSpaceDE w:val="0"/>
              <w:autoSpaceDN w:val="0"/>
              <w:adjustRightInd w:val="0"/>
              <w:spacing w:line="480" w:lineRule="auto"/>
              <w:jc w:val="center"/>
              <w:rPr>
                <w:rFonts w:ascii="Times New Roman" w:hAnsi="Times New Roman"/>
                <w:sz w:val="20"/>
                <w:lang w:val="en-US" w:eastAsia="en-US"/>
              </w:rPr>
            </w:pPr>
            <w:r w:rsidRPr="00E07525">
              <w:rPr>
                <w:rFonts w:ascii="Times New Roman" w:hAnsi="Times New Roman"/>
                <w:sz w:val="20"/>
                <w:lang w:val="en-US" w:eastAsia="en-US"/>
              </w:rPr>
              <w:t>0.2-2.0</w:t>
            </w:r>
          </w:p>
        </w:tc>
        <w:tc>
          <w:tcPr>
            <w:tcW w:w="853" w:type="pct"/>
            <w:shd w:val="clear" w:color="auto" w:fill="auto"/>
            <w:vAlign w:val="center"/>
          </w:tcPr>
          <w:p w14:paraId="26609AAD" w14:textId="77777777" w:rsidR="00A364E3" w:rsidRPr="00E07525" w:rsidRDefault="00A364E3" w:rsidP="000002D4">
            <w:pPr>
              <w:widowControl w:val="0"/>
              <w:autoSpaceDE w:val="0"/>
              <w:autoSpaceDN w:val="0"/>
              <w:adjustRightInd w:val="0"/>
              <w:spacing w:line="480" w:lineRule="auto"/>
              <w:jc w:val="center"/>
              <w:rPr>
                <w:rFonts w:ascii="Times New Roman" w:hAnsi="Times New Roman"/>
                <w:sz w:val="20"/>
                <w:lang w:val="en-US" w:eastAsia="en-US"/>
              </w:rPr>
            </w:pPr>
            <w:r w:rsidRPr="00E07525">
              <w:rPr>
                <w:rFonts w:ascii="Times New Roman" w:hAnsi="Times New Roman"/>
                <w:sz w:val="20"/>
                <w:lang w:val="en-US" w:eastAsia="en-US"/>
              </w:rPr>
              <w:t>1.0-10.0</w:t>
            </w:r>
          </w:p>
        </w:tc>
      </w:tr>
      <w:tr w:rsidR="00A364E3" w:rsidRPr="00F148CF" w14:paraId="6C0A1C01" w14:textId="77777777" w:rsidTr="000002D4">
        <w:trPr>
          <w:jc w:val="center"/>
        </w:trPr>
        <w:tc>
          <w:tcPr>
            <w:tcW w:w="2637" w:type="pct"/>
            <w:vAlign w:val="center"/>
          </w:tcPr>
          <w:p w14:paraId="115D3E6F" w14:textId="77777777" w:rsidR="00A364E3" w:rsidRPr="00E07525" w:rsidRDefault="00A364E3" w:rsidP="000002D4">
            <w:pPr>
              <w:widowControl w:val="0"/>
              <w:autoSpaceDE w:val="0"/>
              <w:autoSpaceDN w:val="0"/>
              <w:adjustRightInd w:val="0"/>
              <w:spacing w:line="480" w:lineRule="auto"/>
              <w:jc w:val="center"/>
              <w:rPr>
                <w:rFonts w:ascii="Times New Roman" w:hAnsi="Times New Roman"/>
                <w:sz w:val="20"/>
                <w:lang w:val="en-US" w:eastAsia="en-US"/>
              </w:rPr>
            </w:pPr>
            <w:r w:rsidRPr="00E07525">
              <w:rPr>
                <w:rFonts w:ascii="Times New Roman" w:hAnsi="Times New Roman"/>
                <w:sz w:val="20"/>
                <w:lang w:val="en-US" w:eastAsia="en-US"/>
              </w:rPr>
              <w:t>Air [ L/min]</w:t>
            </w:r>
          </w:p>
        </w:tc>
        <w:tc>
          <w:tcPr>
            <w:tcW w:w="755" w:type="pct"/>
            <w:shd w:val="clear" w:color="auto" w:fill="auto"/>
            <w:vAlign w:val="center"/>
          </w:tcPr>
          <w:p w14:paraId="4130E6AA" w14:textId="77777777" w:rsidR="00A364E3" w:rsidRPr="00E07525" w:rsidRDefault="00A364E3" w:rsidP="000002D4">
            <w:pPr>
              <w:widowControl w:val="0"/>
              <w:autoSpaceDE w:val="0"/>
              <w:autoSpaceDN w:val="0"/>
              <w:adjustRightInd w:val="0"/>
              <w:spacing w:line="480" w:lineRule="auto"/>
              <w:jc w:val="center"/>
              <w:rPr>
                <w:rFonts w:ascii="Times New Roman" w:hAnsi="Times New Roman"/>
                <w:sz w:val="20"/>
                <w:lang w:val="en-US" w:eastAsia="en-US"/>
              </w:rPr>
            </w:pPr>
            <w:r w:rsidRPr="00E07525">
              <w:rPr>
                <w:rFonts w:ascii="Times New Roman" w:hAnsi="Times New Roman"/>
                <w:sz w:val="20"/>
                <w:lang w:val="en-US" w:eastAsia="en-US"/>
              </w:rPr>
              <w:t>9</w:t>
            </w:r>
          </w:p>
        </w:tc>
        <w:tc>
          <w:tcPr>
            <w:tcW w:w="755" w:type="pct"/>
            <w:shd w:val="clear" w:color="auto" w:fill="auto"/>
            <w:vAlign w:val="center"/>
          </w:tcPr>
          <w:p w14:paraId="0C0DE665" w14:textId="77777777" w:rsidR="00A364E3" w:rsidRPr="00E07525" w:rsidRDefault="00A364E3" w:rsidP="000002D4">
            <w:pPr>
              <w:widowControl w:val="0"/>
              <w:autoSpaceDE w:val="0"/>
              <w:autoSpaceDN w:val="0"/>
              <w:adjustRightInd w:val="0"/>
              <w:spacing w:line="480" w:lineRule="auto"/>
              <w:jc w:val="center"/>
              <w:rPr>
                <w:rFonts w:ascii="Times New Roman" w:hAnsi="Times New Roman"/>
                <w:sz w:val="20"/>
                <w:lang w:val="en-US" w:eastAsia="en-US"/>
              </w:rPr>
            </w:pPr>
            <w:r w:rsidRPr="00E07525">
              <w:rPr>
                <w:rFonts w:ascii="Times New Roman" w:hAnsi="Times New Roman"/>
                <w:sz w:val="20"/>
                <w:lang w:val="en-US" w:eastAsia="en-US"/>
              </w:rPr>
              <w:t>10</w:t>
            </w:r>
          </w:p>
        </w:tc>
        <w:tc>
          <w:tcPr>
            <w:tcW w:w="853" w:type="pct"/>
            <w:shd w:val="clear" w:color="auto" w:fill="auto"/>
            <w:vAlign w:val="center"/>
          </w:tcPr>
          <w:p w14:paraId="0C4C73FB" w14:textId="77777777" w:rsidR="00A364E3" w:rsidRPr="00E07525" w:rsidRDefault="00A364E3" w:rsidP="000002D4">
            <w:pPr>
              <w:widowControl w:val="0"/>
              <w:autoSpaceDE w:val="0"/>
              <w:autoSpaceDN w:val="0"/>
              <w:adjustRightInd w:val="0"/>
              <w:spacing w:line="480" w:lineRule="auto"/>
              <w:jc w:val="center"/>
              <w:rPr>
                <w:rFonts w:ascii="Times New Roman" w:hAnsi="Times New Roman"/>
                <w:sz w:val="20"/>
                <w:lang w:val="en-US" w:eastAsia="en-US"/>
              </w:rPr>
            </w:pPr>
            <w:r w:rsidRPr="00E07525">
              <w:rPr>
                <w:rFonts w:ascii="Times New Roman" w:hAnsi="Times New Roman"/>
                <w:sz w:val="20"/>
                <w:lang w:val="en-US" w:eastAsia="en-US"/>
              </w:rPr>
              <w:t>10.8</w:t>
            </w:r>
          </w:p>
        </w:tc>
      </w:tr>
      <w:tr w:rsidR="00A364E3" w:rsidRPr="00F148CF" w14:paraId="311D210A" w14:textId="77777777" w:rsidTr="000002D4">
        <w:trPr>
          <w:jc w:val="center"/>
        </w:trPr>
        <w:tc>
          <w:tcPr>
            <w:tcW w:w="2637" w:type="pct"/>
            <w:vAlign w:val="center"/>
          </w:tcPr>
          <w:p w14:paraId="5AE13890" w14:textId="77777777" w:rsidR="00A364E3" w:rsidRPr="00E07525" w:rsidRDefault="00A364E3" w:rsidP="000002D4">
            <w:pPr>
              <w:widowControl w:val="0"/>
              <w:autoSpaceDE w:val="0"/>
              <w:autoSpaceDN w:val="0"/>
              <w:adjustRightInd w:val="0"/>
              <w:spacing w:line="480" w:lineRule="auto"/>
              <w:jc w:val="center"/>
              <w:rPr>
                <w:rFonts w:ascii="Times New Roman" w:hAnsi="Times New Roman"/>
                <w:sz w:val="20"/>
                <w:lang w:val="en-US" w:eastAsia="en-US"/>
              </w:rPr>
            </w:pPr>
            <w:r w:rsidRPr="00E07525">
              <w:rPr>
                <w:rFonts w:ascii="Times New Roman" w:hAnsi="Times New Roman"/>
                <w:sz w:val="20"/>
                <w:lang w:val="en-US" w:eastAsia="en-US"/>
              </w:rPr>
              <w:t>Acetylene [L/mn]</w:t>
            </w:r>
          </w:p>
        </w:tc>
        <w:tc>
          <w:tcPr>
            <w:tcW w:w="755" w:type="pct"/>
            <w:shd w:val="clear" w:color="auto" w:fill="auto"/>
            <w:vAlign w:val="center"/>
          </w:tcPr>
          <w:p w14:paraId="0D43E33A" w14:textId="77777777" w:rsidR="00A364E3" w:rsidRPr="00E07525" w:rsidRDefault="00A364E3" w:rsidP="000002D4">
            <w:pPr>
              <w:widowControl w:val="0"/>
              <w:autoSpaceDE w:val="0"/>
              <w:autoSpaceDN w:val="0"/>
              <w:adjustRightInd w:val="0"/>
              <w:spacing w:line="480" w:lineRule="auto"/>
              <w:jc w:val="center"/>
              <w:rPr>
                <w:rFonts w:ascii="Times New Roman" w:hAnsi="Times New Roman"/>
                <w:sz w:val="20"/>
                <w:lang w:val="en-US" w:eastAsia="en-US"/>
              </w:rPr>
            </w:pPr>
            <w:r w:rsidRPr="00E07525">
              <w:rPr>
                <w:rFonts w:ascii="Times New Roman" w:hAnsi="Times New Roman"/>
                <w:sz w:val="20"/>
                <w:lang w:val="en-US" w:eastAsia="en-US"/>
              </w:rPr>
              <w:t>2</w:t>
            </w:r>
          </w:p>
        </w:tc>
        <w:tc>
          <w:tcPr>
            <w:tcW w:w="755" w:type="pct"/>
            <w:shd w:val="clear" w:color="auto" w:fill="auto"/>
            <w:vAlign w:val="center"/>
          </w:tcPr>
          <w:p w14:paraId="0070E5AA" w14:textId="77777777" w:rsidR="00A364E3" w:rsidRPr="00E07525" w:rsidRDefault="00A364E3" w:rsidP="000002D4">
            <w:pPr>
              <w:widowControl w:val="0"/>
              <w:autoSpaceDE w:val="0"/>
              <w:autoSpaceDN w:val="0"/>
              <w:adjustRightInd w:val="0"/>
              <w:spacing w:line="480" w:lineRule="auto"/>
              <w:jc w:val="center"/>
              <w:rPr>
                <w:rFonts w:ascii="Times New Roman" w:hAnsi="Times New Roman"/>
                <w:sz w:val="20"/>
                <w:lang w:val="en-US" w:eastAsia="en-US"/>
              </w:rPr>
            </w:pPr>
            <w:r w:rsidRPr="00E07525">
              <w:rPr>
                <w:rFonts w:ascii="Times New Roman" w:hAnsi="Times New Roman"/>
                <w:sz w:val="20"/>
                <w:lang w:val="en-US" w:eastAsia="en-US"/>
              </w:rPr>
              <w:t>2</w:t>
            </w:r>
          </w:p>
        </w:tc>
        <w:tc>
          <w:tcPr>
            <w:tcW w:w="853" w:type="pct"/>
            <w:shd w:val="clear" w:color="auto" w:fill="auto"/>
            <w:vAlign w:val="center"/>
          </w:tcPr>
          <w:p w14:paraId="06276A13" w14:textId="77777777" w:rsidR="00A364E3" w:rsidRPr="00E07525" w:rsidRDefault="00A364E3" w:rsidP="000002D4">
            <w:pPr>
              <w:widowControl w:val="0"/>
              <w:autoSpaceDE w:val="0"/>
              <w:autoSpaceDN w:val="0"/>
              <w:adjustRightInd w:val="0"/>
              <w:spacing w:line="480" w:lineRule="auto"/>
              <w:jc w:val="center"/>
              <w:rPr>
                <w:rFonts w:ascii="Times New Roman" w:hAnsi="Times New Roman"/>
                <w:sz w:val="20"/>
                <w:lang w:val="en-US" w:eastAsia="en-US"/>
              </w:rPr>
            </w:pPr>
            <w:r w:rsidRPr="00E07525">
              <w:rPr>
                <w:rFonts w:ascii="Times New Roman" w:hAnsi="Times New Roman"/>
                <w:sz w:val="20"/>
                <w:lang w:val="en-US" w:eastAsia="en-US"/>
              </w:rPr>
              <w:t>2</w:t>
            </w:r>
          </w:p>
        </w:tc>
      </w:tr>
    </w:tbl>
    <w:p w14:paraId="45893C34" w14:textId="77777777" w:rsidR="00A364E3" w:rsidRDefault="00A364E3" w:rsidP="00A364E3">
      <w:pPr>
        <w:widowControl w:val="0"/>
        <w:autoSpaceDE w:val="0"/>
        <w:autoSpaceDN w:val="0"/>
        <w:adjustRightInd w:val="0"/>
        <w:spacing w:line="480" w:lineRule="auto"/>
        <w:jc w:val="both"/>
        <w:rPr>
          <w:rFonts w:ascii="Times New Roman" w:hAnsi="Times New Roman"/>
          <w:b/>
          <w:bCs/>
          <w:lang w:val="en-US" w:eastAsia="en-US"/>
        </w:rPr>
      </w:pPr>
    </w:p>
    <w:p w14:paraId="3CD780F4" w14:textId="77777777" w:rsidR="00A364E3" w:rsidRDefault="00A364E3" w:rsidP="00A364E3"/>
    <w:p w14:paraId="13D212FE" w14:textId="7D2F5E88" w:rsidR="00A364E3" w:rsidRDefault="00A364E3" w:rsidP="00A364E3">
      <w:pPr>
        <w:widowControl w:val="0"/>
        <w:autoSpaceDE w:val="0"/>
        <w:autoSpaceDN w:val="0"/>
        <w:adjustRightInd w:val="0"/>
        <w:spacing w:line="480" w:lineRule="auto"/>
        <w:ind w:firstLine="284"/>
        <w:jc w:val="both"/>
        <w:rPr>
          <w:rFonts w:cs="Times"/>
          <w:szCs w:val="24"/>
          <w:lang w:val="en-US"/>
        </w:rPr>
      </w:pPr>
    </w:p>
    <w:p w14:paraId="1D4A7375" w14:textId="77777777" w:rsidR="00A364E3" w:rsidRPr="00A364E3" w:rsidRDefault="00A364E3" w:rsidP="00A364E3">
      <w:pPr>
        <w:widowControl w:val="0"/>
        <w:autoSpaceDE w:val="0"/>
        <w:autoSpaceDN w:val="0"/>
        <w:adjustRightInd w:val="0"/>
        <w:spacing w:line="480" w:lineRule="auto"/>
        <w:ind w:firstLine="284"/>
        <w:jc w:val="both"/>
        <w:rPr>
          <w:rFonts w:cs="Times"/>
          <w:szCs w:val="24"/>
          <w:lang w:val="en-US"/>
        </w:rPr>
      </w:pPr>
    </w:p>
    <w:p w14:paraId="6FB1E4CE" w14:textId="77777777" w:rsidR="00A364E3" w:rsidRPr="00A364E3" w:rsidRDefault="00A364E3" w:rsidP="00A364E3">
      <w:pPr>
        <w:spacing w:line="480" w:lineRule="auto"/>
        <w:jc w:val="both"/>
        <w:rPr>
          <w:rFonts w:cs="Times"/>
          <w:lang w:val="en-US"/>
        </w:rPr>
      </w:pPr>
    </w:p>
    <w:sectPr w:rsidR="00A364E3" w:rsidRPr="00A364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imes">
    <w:altName w:val="Times New Roman"/>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DCF"/>
    <w:rsid w:val="000E6BCF"/>
    <w:rsid w:val="002B735E"/>
    <w:rsid w:val="00446831"/>
    <w:rsid w:val="004743B9"/>
    <w:rsid w:val="005B10E3"/>
    <w:rsid w:val="005E67D0"/>
    <w:rsid w:val="0068064F"/>
    <w:rsid w:val="006E214D"/>
    <w:rsid w:val="00860D8D"/>
    <w:rsid w:val="0095150E"/>
    <w:rsid w:val="00A364E3"/>
    <w:rsid w:val="00AB2479"/>
    <w:rsid w:val="00B34A33"/>
    <w:rsid w:val="00E4196C"/>
    <w:rsid w:val="00E93DCF"/>
    <w:rsid w:val="00F2417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302EF"/>
  <w15:chartTrackingRefBased/>
  <w15:docId w15:val="{61375BF6-C01D-41AF-B8B4-71C0B48E2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93DCF"/>
    <w:pPr>
      <w:spacing w:after="0" w:line="240" w:lineRule="auto"/>
    </w:pPr>
    <w:rPr>
      <w:rFonts w:ascii="Times" w:eastAsia="Times" w:hAnsi="Times" w:cs="Times New Roman"/>
      <w:sz w:val="24"/>
      <w:szCs w:val="20"/>
      <w:lang w:val="en-GB"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E93DCF"/>
    <w:rPr>
      <w:color w:val="0563C1" w:themeColor="hyperlink"/>
      <w:u w:val="single"/>
    </w:rPr>
  </w:style>
  <w:style w:type="character" w:styleId="Nierozpoznanawzmianka">
    <w:name w:val="Unresolved Mention"/>
    <w:basedOn w:val="Domylnaczcionkaakapitu"/>
    <w:uiPriority w:val="99"/>
    <w:semiHidden/>
    <w:unhideWhenUsed/>
    <w:rsid w:val="00E93DCF"/>
    <w:rPr>
      <w:color w:val="605E5C"/>
      <w:shd w:val="clear" w:color="auto" w:fill="E1DFDD"/>
    </w:rPr>
  </w:style>
  <w:style w:type="character" w:customStyle="1" w:styleId="identifier">
    <w:name w:val="identifier"/>
    <w:basedOn w:val="Domylnaczcionkaakapitu"/>
    <w:rsid w:val="006E214D"/>
  </w:style>
  <w:style w:type="character" w:customStyle="1" w:styleId="pozapaskiem">
    <w:name w:val="poza_paskiem"/>
    <w:basedOn w:val="Domylnaczcionkaakapitu"/>
    <w:rsid w:val="00AB2479"/>
  </w:style>
  <w:style w:type="character" w:customStyle="1" w:styleId="citation-doi">
    <w:name w:val="citation-doi"/>
    <w:basedOn w:val="Domylnaczcionkaakapitu"/>
    <w:rsid w:val="00AB2479"/>
  </w:style>
  <w:style w:type="table" w:styleId="Tabela-Siatka">
    <w:name w:val="Table Grid"/>
    <w:basedOn w:val="Standardowy"/>
    <w:uiPriority w:val="39"/>
    <w:rsid w:val="00A364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DD5AD1-59A9-458B-B511-C16991F1D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528</Words>
  <Characters>3174</Characters>
  <Application>Microsoft Office Word</Application>
  <DocSecurity>0</DocSecurity>
  <Lines>26</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Jurowski Kamil</dc:creator>
  <cp:keywords/>
  <dc:description/>
  <cp:lastModifiedBy>Jurowski Kamil</cp:lastModifiedBy>
  <cp:revision>4</cp:revision>
  <dcterms:created xsi:type="dcterms:W3CDTF">2021-04-26T06:13:00Z</dcterms:created>
  <dcterms:modified xsi:type="dcterms:W3CDTF">2021-05-12T18:57:00Z</dcterms:modified>
</cp:coreProperties>
</file>