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22"/>
          <w:szCs w:val="15"/>
        </w:rPr>
      </w:pPr>
      <w:r>
        <w:rPr>
          <w:rFonts w:ascii="Times New Roman" w:hAnsi="Times New Roman" w:cs="Times New Roman"/>
          <w:b/>
          <w:sz w:val="22"/>
          <w:szCs w:val="15"/>
        </w:rPr>
        <w:drawing>
          <wp:inline distT="0" distB="0" distL="114300" distR="114300">
            <wp:extent cx="5268595" cy="3350260"/>
            <wp:effectExtent l="0" t="0" r="14605" b="2540"/>
            <wp:docPr id="64" name="图片 64" descr="FIG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FIG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5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numPr>
          <w:ilvl w:val="0"/>
          <w:numId w:val="1"/>
        </w:numPr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CCK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-8 assay of different concentration of ciprofloxacin in VSMCs</w:t>
      </w:r>
      <w:bookmarkStart w:id="0" w:name="_GoBack"/>
      <w:bookmarkEnd w:id="0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numPr>
          <w:ilvl w:val="0"/>
          <w:numId w:val="1"/>
        </w:numPr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CCK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-8 assay examined the proliferation rate of control-VSMCs, AngII-VSMCs, CPFX-VSMCs and CPFX+AngII-VSMCs.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Bold">
    <w:altName w:val="Times New Roman"/>
    <w:panose1 w:val="02020803070505020304"/>
    <w:charset w:val="00"/>
    <w:family w:val="auto"/>
    <w:pitch w:val="default"/>
    <w:sig w:usb0="00000000" w:usb1="00000000" w:usb2="00000000" w:usb3="00000000" w:csb0="0000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078AE5"/>
    <w:multiLevelType w:val="singleLevel"/>
    <w:tmpl w:val="E9078AE5"/>
    <w:lvl w:ilvl="0" w:tentative="0">
      <w:start w:val="1"/>
      <w:numFmt w:val="upperLetter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7FDE51B1"/>
    <w:rsid w:val="08E94DF3"/>
    <w:rsid w:val="1B773A76"/>
    <w:rsid w:val="34CEC88B"/>
    <w:rsid w:val="7FD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2023-05-10T20:55:00Z</dcterms:created>
  <dc:creator>。然哥</dc:creator>
  <cp:lastModifiedBy>梁耀文</cp:lastModifiedBy>
  <dcterms:modified xsi:type="dcterms:W3CDTF">2023-08-22T16:01:37Z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3439E5CEA53B4DBDB54E6AFA7137FA90_13</vt:lpwstr>
  </property>
</Properties>
</file>