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4752C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Supplementary materials</w:t>
      </w:r>
    </w:p>
    <w:p w14:paraId="35DC1B60">
      <w:pPr>
        <w:rPr>
          <w:rFonts w:hint="default" w:ascii="Times New Roman" w:hAnsi="Times New Roman" w:cs="Times New Roman"/>
          <w:lang w:val="en-US" w:eastAsia="zh-CN"/>
        </w:rPr>
      </w:pPr>
    </w:p>
    <w:p w14:paraId="4335D9BE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Materials and Methods</w:t>
      </w:r>
    </w:p>
    <w:p w14:paraId="3CED8952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highlight w:val="none"/>
          <w:lang w:val="en-US" w:eastAsia="zh-CN"/>
        </w:rPr>
        <w:t>Data Sources.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We obtained the required microarray data from the GEO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database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and the following screening criteria were used: </w:t>
      </w:r>
      <w:r>
        <w:rPr>
          <w:rFonts w:hint="default" w:ascii="Times New Roman" w:hAnsi="Times New Roman" w:cs="Times New Roman"/>
          <w:lang w:val="en-US" w:eastAsia="zh-CN"/>
        </w:rPr>
        <w:t>1) The research type was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array-based expression proﬁling; 2) The organisms studied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had to be Homo sapiens; 3) Each dataset’s sample included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glomerular tissue;</w:t>
      </w:r>
      <w:r>
        <w:rPr>
          <w:rFonts w:hint="eastAsia" w:ascii="Times New Roman" w:hAnsi="Times New Roman" w:cs="Times New Roman"/>
          <w:lang w:val="en-US" w:eastAsia="zh-CN"/>
        </w:rPr>
        <w:t xml:space="preserve"> 4)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the normal group had more than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three 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sample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s, and the illness group had more than thirty.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Finally, the dataset GSE108109 wa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color w:val="auto"/>
          <w:lang w:val="en-US" w:eastAsia="zh-CN"/>
        </w:rPr>
        <w:t xml:space="preserve"> selected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 xml:space="preserve"> for analysis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, bas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ed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on the platform GPL19983. GSE108109 was released on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May 17, 2018 and was contributed by Grayson et al..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lang w:val="en-US" w:eastAsia="zh-CN"/>
        </w:rPr>
        <w:t xml:space="preserve">This dataset 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contained</w:t>
      </w:r>
      <w:r>
        <w:rPr>
          <w:rFonts w:hint="default" w:ascii="Times New Roman" w:hAnsi="Times New Roman" w:cs="Times New Roman"/>
          <w:color w:val="auto"/>
          <w:lang w:val="en-US" w:eastAsia="zh-CN"/>
        </w:rPr>
        <w:t xml:space="preserve"> the glomerular whole genome of 44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lang w:val="en-US" w:eastAsia="zh-CN"/>
        </w:rPr>
        <w:t>patients with IMN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lang w:val="en-US" w:eastAsia="zh-CN"/>
        </w:rPr>
        <w:t>30 patients with focal segmental glomerulosclerosis,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lang w:val="en-US" w:eastAsia="zh-CN"/>
        </w:rPr>
        <w:t>16 patients with minimal change disease, 15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lang w:val="en-US" w:eastAsia="zh-CN"/>
        </w:rPr>
        <w:t>patients with ANCA-associated small vessel vasculitis, and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lang w:val="en-US" w:eastAsia="zh-CN"/>
        </w:rPr>
        <w:t>6 healthy people.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We downloaded a series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of matrix ﬁles and data table descriptions to screen and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validate key genes associated with glomerular lesions in</w:t>
      </w:r>
      <w:r>
        <w:rPr>
          <w:rFonts w:hint="eastAsia" w:ascii="Times New Roman" w:hAnsi="Times New Roman" w:cs="Times New Roman"/>
          <w:lang w:val="en-US" w:eastAsia="zh-CN"/>
        </w:rPr>
        <w:t xml:space="preserve"> I</w:t>
      </w:r>
      <w:r>
        <w:rPr>
          <w:rFonts w:hint="default" w:ascii="Times New Roman" w:hAnsi="Times New Roman" w:cs="Times New Roman"/>
          <w:lang w:val="en-US" w:eastAsia="zh-CN"/>
        </w:rPr>
        <w:t>MN. The sample data for this research were freely available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from public sources and therefore did not require patient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consent or ethics committee approval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5E0829B5">
      <w:pPr>
        <w:rPr>
          <w:rFonts w:hint="default" w:ascii="Times New Roman" w:hAnsi="Times New Roman" w:cs="Times New Roman"/>
          <w:color w:val="FF0000"/>
          <w:lang w:val="en-US" w:eastAsia="zh-CN"/>
        </w:rPr>
      </w:pPr>
    </w:p>
    <w:p w14:paraId="35CACD82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2. </w:t>
      </w:r>
      <w:r>
        <w:rPr>
          <w:rFonts w:hint="default" w:ascii="Times New Roman" w:hAnsi="Times New Roman" w:cs="Times New Roman"/>
          <w:i/>
          <w:iCs/>
          <w:lang w:val="en-US" w:eastAsia="zh-CN"/>
        </w:rPr>
        <w:t xml:space="preserve">Analysis of Diﬀerentially Expressed Genes. </w:t>
      </w:r>
      <w:r>
        <w:rPr>
          <w:rFonts w:hint="default" w:ascii="Times New Roman" w:hAnsi="Times New Roman" w:cs="Times New Roman"/>
          <w:lang w:val="en-US" w:eastAsia="zh-CN"/>
        </w:rPr>
        <w:t>44 IMN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patients in the dataset GSE108109 were assigned as the illness group, while 6 healthy people were set as the control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group, and then analyzed using the online analytic tool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GEO2R (https://www.ncbi.nlm.nih.gov/geo/geo2r/). We</w:t>
      </w:r>
    </w:p>
    <w:p w14:paraId="0C39EBD0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download and ﬁlter the ﬁndings of the analysis. The screening criteria were adj</w:t>
      </w:r>
      <w:r>
        <w:rPr>
          <w:rFonts w:hint="eastAsia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  <w:i/>
          <w:iCs/>
          <w:lang w:val="en-US" w:eastAsia="zh-CN"/>
        </w:rPr>
        <w:t>P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.</w:t>
      </w:r>
      <w:r>
        <w:rPr>
          <w:rFonts w:hint="default" w:ascii="Times New Roman" w:hAnsi="Times New Roman" w:cs="Times New Roman"/>
          <w:lang w:val="en-US" w:eastAsia="zh-CN"/>
        </w:rPr>
        <w:t>Value &lt; 0:0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  <w:lang w:val="en-US" w:eastAsia="zh-CN"/>
        </w:rPr>
        <w:t>, ∣Log</w:t>
      </w:r>
      <w:r>
        <w:rPr>
          <w:rFonts w:hint="default" w:ascii="Times New Roman" w:hAnsi="Times New Roman" w:cs="Times New Roman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lang w:val="en-US" w:eastAsia="zh-CN"/>
        </w:rPr>
        <w:t xml:space="preserve"> Fold Change</w:t>
      </w:r>
      <w:r>
        <w:rPr>
          <w:rFonts w:hint="eastAsia" w:ascii="Times New Roman" w:hAnsi="Times New Roman" w:cs="Times New Roman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lang w:val="en-US" w:eastAsia="zh-CN"/>
        </w:rPr>
        <w:t>FC</w:t>
      </w:r>
      <w:r>
        <w:rPr>
          <w:rFonts w:hint="eastAsia" w:ascii="Times New Roman" w:hAnsi="Times New Roman" w:cs="Times New Roman"/>
          <w:lang w:val="en-US" w:eastAsia="zh-CN"/>
        </w:rPr>
        <w:t>)</w:t>
      </w:r>
      <w:r>
        <w:rPr>
          <w:rFonts w:hint="default" w:ascii="Times New Roman" w:hAnsi="Times New Roman" w:cs="Times New Roman"/>
          <w:lang w:val="en-US" w:eastAsia="zh-CN"/>
        </w:rPr>
        <w:t>∣ ≥</w:t>
      </w:r>
      <w:r>
        <w:rPr>
          <w:rFonts w:hint="eastAsia" w:ascii="Times New Roman" w:hAnsi="Times New Roman" w:cs="Times New Roman"/>
          <w:lang w:val="en-US" w:eastAsia="zh-CN"/>
        </w:rPr>
        <w:t xml:space="preserve"> 0.2</w:t>
      </w:r>
      <w:r>
        <w:rPr>
          <w:rFonts w:hint="default" w:ascii="Times New Roman" w:hAnsi="Times New Roman" w:cs="Times New Roman"/>
          <w:lang w:val="en-US" w:eastAsia="zh-CN"/>
        </w:rPr>
        <w:t>. And eventually, the diﬀerentially expressed genes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(DEGs) were determined between IMN and healthy people.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The DEGs were subsequently visualized as volcano plots employing R packages.</w:t>
      </w:r>
    </w:p>
    <w:p w14:paraId="1111687D">
      <w:pPr>
        <w:rPr>
          <w:rFonts w:hint="eastAsia" w:ascii="Times New Roman" w:hAnsi="Times New Roman" w:cs="Times New Roman"/>
          <w:lang w:val="en-US" w:eastAsia="zh-CN"/>
        </w:rPr>
      </w:pPr>
    </w:p>
    <w:p w14:paraId="618C56BC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RESULT</w:t>
      </w:r>
    </w:p>
    <w:p w14:paraId="6E4710D2">
      <w:pP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>A total of</w:t>
      </w:r>
      <w:r>
        <w:rPr>
          <w:rFonts w:hint="eastAsia" w:ascii="Times New Roman" w:hAnsi="Times New Roman" w:cs="Times New Roman"/>
          <w:i w:val="0"/>
          <w:iCs w:val="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>3572</w:t>
      </w:r>
      <w:r>
        <w:rPr>
          <w:rFonts w:hint="eastAsia" w:ascii="Times New Roman" w:hAnsi="Times New Roman" w:cs="Times New Roman"/>
          <w:i w:val="0"/>
          <w:iCs w:val="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 xml:space="preserve">genes were significantly differentially expressed in </w:t>
      </w:r>
      <w:r>
        <w:rPr>
          <w:rFonts w:hint="eastAsia" w:ascii="Times New Roman" w:hAnsi="Times New Roman" w:cs="Times New Roman"/>
          <w:i w:val="0"/>
          <w:iCs w:val="0"/>
          <w:highlight w:val="none"/>
          <w:lang w:val="en-US" w:eastAsia="zh-CN"/>
        </w:rPr>
        <w:t>IMN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 xml:space="preserve"> compared with </w:t>
      </w:r>
      <w:r>
        <w:rPr>
          <w:rFonts w:hint="eastAsia" w:ascii="Times New Roman" w:hAnsi="Times New Roman" w:cs="Times New Roman"/>
          <w:i w:val="0"/>
          <w:iCs w:val="0"/>
          <w:highlight w:val="none"/>
          <w:lang w:val="en-US" w:eastAsia="zh-CN"/>
        </w:rPr>
        <w:t>healthy control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 xml:space="preserve">. ( Fig. </w:t>
      </w:r>
      <w:r>
        <w:rPr>
          <w:rFonts w:hint="eastAsia" w:ascii="Times New Roman" w:hAnsi="Times New Roman" w:cs="Times New Roman"/>
          <w:i w:val="0"/>
          <w:iCs w:val="0"/>
          <w:highlight w:val="none"/>
          <w:lang w:val="en-US" w:eastAsia="zh-CN"/>
        </w:rPr>
        <w:t>S1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>) As shown in the volcano plot, 1</w:t>
      </w:r>
      <w:r>
        <w:rPr>
          <w:rFonts w:hint="eastAsia" w:ascii="Times New Roman" w:hAnsi="Times New Roman" w:cs="Times New Roman"/>
          <w:i w:val="0"/>
          <w:iCs w:val="0"/>
          <w:highlight w:val="none"/>
          <w:lang w:val="en-US" w:eastAsia="zh-CN"/>
        </w:rPr>
        <w:t xml:space="preserve">636 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 xml:space="preserve">DEGs were downregulated and </w:t>
      </w:r>
      <w:r>
        <w:rPr>
          <w:rFonts w:hint="eastAsia" w:ascii="Times New Roman" w:hAnsi="Times New Roman" w:cs="Times New Roman"/>
          <w:i w:val="0"/>
          <w:iCs w:val="0"/>
          <w:highlight w:val="none"/>
          <w:lang w:val="en-US" w:eastAsia="zh-CN"/>
        </w:rPr>
        <w:t>1939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 xml:space="preserve"> DEGs were upregulated in </w:t>
      </w:r>
      <w:r>
        <w:rPr>
          <w:rFonts w:hint="eastAsia" w:ascii="Times New Roman" w:hAnsi="Times New Roman" w:cs="Times New Roman"/>
          <w:i w:val="0"/>
          <w:iCs w:val="0"/>
          <w:highlight w:val="none"/>
          <w:lang w:val="en-US" w:eastAsia="zh-CN"/>
        </w:rPr>
        <w:t>IMN patients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i w:val="0"/>
          <w:iCs w:val="0"/>
          <w:highlight w:val="none"/>
          <w:lang w:val="en-US" w:eastAsia="zh-CN"/>
        </w:rPr>
        <w:t>Similarly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>, we found</w:t>
      </w:r>
      <w:r>
        <w:rPr>
          <w:rFonts w:hint="eastAsia" w:ascii="Times New Roman" w:hAnsi="Times New Roman" w:cs="Times New Roman"/>
          <w:i w:val="0"/>
          <w:iCs w:val="0"/>
          <w:highlight w:val="none"/>
          <w:lang w:val="en-US" w:eastAsia="zh-CN"/>
        </w:rPr>
        <w:t xml:space="preserve"> that LDHB, SDHD and FH were significantly down-regulated in glomerular of IMN patients, compared with control group. HK1, which is related to glycolysis regulation, were significantly up-regulated 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>(P &lt; 0.05).</w:t>
      </w:r>
      <w:r>
        <w:rPr>
          <w:rFonts w:hint="eastAsia" w:ascii="Times New Roman" w:hAnsi="Times New Roman" w:cs="Times New Roman"/>
          <w:i w:val="0"/>
          <w:iCs w:val="0"/>
          <w:highlight w:val="none"/>
          <w:lang w:val="en-US" w:eastAsia="zh-CN"/>
        </w:rPr>
        <w:t xml:space="preserve"> However, the other well-known genes related to glycolysis and TCA cycle mentioned in our manuscript were not significant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 xml:space="preserve">. (Table S1) </w:t>
      </w:r>
    </w:p>
    <w:p w14:paraId="6296F448">
      <w:pPr>
        <w:rPr>
          <w:rFonts w:hint="default" w:ascii="Times New Roman" w:hAnsi="Times New Roman" w:cs="Times New Roman"/>
          <w:i w:val="0"/>
          <w:iCs w:val="0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highlight w:val="yellow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58420</wp:posOffset>
            </wp:positionV>
            <wp:extent cx="1799590" cy="1799590"/>
            <wp:effectExtent l="0" t="0" r="3810" b="3810"/>
            <wp:wrapSquare wrapText="bothSides"/>
            <wp:docPr id="2" name="图片 2" descr="GSE108109-火山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SE108109-火山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BEF2EA">
      <w:pPr>
        <w:rPr>
          <w:rFonts w:hint="default" w:ascii="Times New Roman" w:hAnsi="Times New Roman" w:cs="Times New Roman"/>
          <w:i w:val="0"/>
          <w:iCs w:val="0"/>
          <w:highlight w:val="yellow"/>
          <w:lang w:val="en-US" w:eastAsia="zh-CN"/>
        </w:rPr>
      </w:pPr>
    </w:p>
    <w:p w14:paraId="3C7E6FBB">
      <w:pPr>
        <w:rPr>
          <w:rFonts w:hint="eastAsia" w:ascii="Times New Roman" w:hAnsi="Times New Roman" w:cs="Times New Roman"/>
          <w:lang w:val="en-US" w:eastAsia="zh-CN"/>
        </w:rPr>
      </w:pPr>
    </w:p>
    <w:p w14:paraId="0C464974">
      <w:pPr>
        <w:rPr>
          <w:rFonts w:hint="eastAsia" w:ascii="Times New Roman" w:hAnsi="Times New Roman" w:cs="Times New Roman"/>
          <w:lang w:val="en-US" w:eastAsia="zh-CN"/>
        </w:rPr>
      </w:pPr>
    </w:p>
    <w:p w14:paraId="6AE0F2F4">
      <w:pPr>
        <w:rPr>
          <w:rFonts w:hint="eastAsia" w:ascii="Times New Roman" w:hAnsi="Times New Roman" w:cs="Times New Roman"/>
          <w:lang w:val="en-US" w:eastAsia="zh-CN"/>
        </w:rPr>
      </w:pPr>
    </w:p>
    <w:p w14:paraId="42E64B02">
      <w:pPr>
        <w:rPr>
          <w:rFonts w:hint="eastAsia" w:ascii="Times New Roman" w:hAnsi="Times New Roman" w:cs="Times New Roman"/>
          <w:lang w:val="en-US" w:eastAsia="zh-CN"/>
        </w:rPr>
      </w:pPr>
    </w:p>
    <w:p w14:paraId="1ECF043B">
      <w:pPr>
        <w:rPr>
          <w:rFonts w:hint="eastAsia" w:ascii="Times New Roman" w:hAnsi="Times New Roman" w:cs="Times New Roman"/>
          <w:lang w:val="en-US" w:eastAsia="zh-CN"/>
        </w:rPr>
      </w:pPr>
    </w:p>
    <w:p w14:paraId="4F041834">
      <w:pPr>
        <w:rPr>
          <w:rFonts w:hint="eastAsia" w:ascii="Times New Roman" w:hAnsi="Times New Roman" w:cs="Times New Roman"/>
          <w:lang w:val="en-US" w:eastAsia="zh-CN"/>
        </w:rPr>
      </w:pPr>
    </w:p>
    <w:p w14:paraId="64CBF171">
      <w:pPr>
        <w:rPr>
          <w:rFonts w:hint="eastAsia" w:ascii="Times New Roman" w:hAnsi="Times New Roman" w:cs="Times New Roman"/>
          <w:lang w:val="en-US" w:eastAsia="zh-CN"/>
        </w:rPr>
      </w:pPr>
    </w:p>
    <w:p w14:paraId="16BC9DBE">
      <w:pPr>
        <w:rPr>
          <w:rFonts w:hint="eastAsia" w:ascii="Times New Roman" w:hAnsi="Times New Roman" w:cs="Times New Roman"/>
          <w:lang w:val="en-US" w:eastAsia="zh-CN"/>
        </w:rPr>
      </w:pPr>
    </w:p>
    <w:p w14:paraId="18D242C8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Figure S1 The volcano plot of DEGs. </w:t>
      </w:r>
      <w:r>
        <w:rPr>
          <w:rFonts w:hint="default" w:ascii="Times New Roman" w:hAnsi="Times New Roman" w:cs="Times New Roman"/>
          <w:lang w:val="en-US" w:eastAsia="zh-CN"/>
        </w:rPr>
        <w:t>Red dots represent upregulated genes and blue dots represent downregulated genes in renal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glomerular tissue from MN patients compared with normal controls.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DEG, differentially expressed gene; MN, membranous nephropathy.</w:t>
      </w:r>
    </w:p>
    <w:p w14:paraId="4FD17391">
      <w:pPr>
        <w:rPr>
          <w:rFonts w:hint="eastAsia" w:ascii="Times New Roman" w:hAnsi="Times New Roman" w:cs="Times New Roman"/>
          <w:lang w:val="en-US" w:eastAsia="zh-CN"/>
        </w:rPr>
      </w:pPr>
    </w:p>
    <w:p w14:paraId="1EF086AB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Table S1</w:t>
      </w:r>
      <w:r>
        <w:rPr>
          <w:rFonts w:hint="eastAsia" w:ascii="Times New Roman" w:hAnsi="Times New Roman" w:cs="Times New Roman"/>
          <w:lang w:val="en-US" w:eastAsia="zh-CN"/>
        </w:rPr>
        <w:t xml:space="preserve"> Glycolysis and TCA cycle associated- genes expression in MN group.</w:t>
      </w:r>
    </w:p>
    <w:tbl>
      <w:tblPr>
        <w:tblStyle w:val="2"/>
        <w:tblpPr w:leftFromText="180" w:rightFromText="180" w:vertAnchor="page" w:horzAnchor="page" w:tblpX="3907" w:tblpY="2502"/>
        <w:tblOverlap w:val="never"/>
        <w:tblW w:w="39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540"/>
        <w:gridCol w:w="1410"/>
      </w:tblGrid>
      <w:tr w14:paraId="16345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CEE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</w:t>
            </w:r>
          </w:p>
        </w:tc>
        <w:tc>
          <w:tcPr>
            <w:tcW w:w="15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EDDB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adj.P.Val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0062A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logFC</w:t>
            </w:r>
          </w:p>
        </w:tc>
      </w:tr>
      <w:tr w14:paraId="293A4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86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LDHB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BD2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E53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-0.7647 </w:t>
            </w:r>
          </w:p>
        </w:tc>
      </w:tr>
      <w:tr w14:paraId="23EE2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9B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HK1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000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8EE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0.6685 </w:t>
            </w:r>
          </w:p>
        </w:tc>
      </w:tr>
      <w:tr w14:paraId="42F3E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C9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SDHD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606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D23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-0.7352 </w:t>
            </w:r>
          </w:p>
        </w:tc>
      </w:tr>
      <w:tr w14:paraId="7AF03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FF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CFB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245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-0.6120 </w:t>
            </w:r>
          </w:p>
        </w:tc>
      </w:tr>
      <w:tr w14:paraId="55DB1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84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PKM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0F1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0.1970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090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0.3149 </w:t>
            </w:r>
          </w:p>
        </w:tc>
      </w:tr>
      <w:tr w14:paraId="086E3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B2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MTOR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45F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0.2280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62E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0.2191 </w:t>
            </w:r>
          </w:p>
        </w:tc>
      </w:tr>
      <w:tr w14:paraId="6F2E2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C4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PGK1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510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0.4090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F7A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0.1899 </w:t>
            </w:r>
          </w:p>
        </w:tc>
      </w:tr>
      <w:tr w14:paraId="31EC0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6B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LDHA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2E6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0.4580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2B8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0.2328 </w:t>
            </w:r>
          </w:p>
        </w:tc>
      </w:tr>
    </w:tbl>
    <w:p w14:paraId="3139C6CB">
      <w:pPr>
        <w:rPr>
          <w:rFonts w:hint="default" w:ascii="Times New Roman" w:hAnsi="Times New Roman" w:cs="Times New Roman"/>
          <w:lang w:val="en-US" w:eastAsia="zh-CN"/>
        </w:rPr>
      </w:pPr>
    </w:p>
    <w:p w14:paraId="66270972">
      <w:pPr>
        <w:rPr>
          <w:rFonts w:hint="default" w:ascii="Times New Roman" w:hAnsi="Times New Roman" w:cs="Times New Roman"/>
          <w:lang w:val="en-US" w:eastAsia="zh-CN"/>
        </w:rPr>
      </w:pPr>
    </w:p>
    <w:p w14:paraId="1D30C3A2">
      <w:pPr>
        <w:rPr>
          <w:rFonts w:hint="default" w:ascii="Times New Roman" w:hAnsi="Times New Roman" w:cs="Times New Roman"/>
          <w:lang w:val="en-US" w:eastAsia="zh-CN"/>
        </w:rPr>
      </w:pPr>
    </w:p>
    <w:p w14:paraId="6A986983">
      <w:pPr>
        <w:rPr>
          <w:rFonts w:hint="default" w:ascii="Times New Roman" w:hAnsi="Times New Roman" w:cs="Times New Roman"/>
          <w:lang w:val="en-US" w:eastAsia="zh-CN"/>
        </w:rPr>
      </w:pPr>
    </w:p>
    <w:p w14:paraId="6DADE53E">
      <w:pPr>
        <w:rPr>
          <w:rFonts w:hint="default" w:ascii="Times New Roman" w:hAnsi="Times New Roman" w:cs="Times New Roman"/>
          <w:lang w:val="en-US" w:eastAsia="zh-CN"/>
        </w:rPr>
      </w:pPr>
    </w:p>
    <w:p w14:paraId="32287728">
      <w:pPr>
        <w:rPr>
          <w:rFonts w:hint="default" w:ascii="Times New Roman" w:hAnsi="Times New Roman" w:cs="Times New Roman"/>
          <w:lang w:val="en-US" w:eastAsia="zh-CN"/>
        </w:rPr>
      </w:pPr>
    </w:p>
    <w:p w14:paraId="019012AA">
      <w:pPr>
        <w:rPr>
          <w:rFonts w:hint="default" w:ascii="Times New Roman" w:hAnsi="Times New Roman" w:cs="Times New Roman"/>
          <w:lang w:val="en-US" w:eastAsia="zh-CN"/>
        </w:rPr>
      </w:pPr>
    </w:p>
    <w:p w14:paraId="72F926F1">
      <w:pPr>
        <w:rPr>
          <w:rFonts w:hint="default" w:ascii="Times New Roman" w:hAnsi="Times New Roman" w:cs="Times New Roman"/>
          <w:lang w:val="en-US" w:eastAsia="zh-CN"/>
        </w:rPr>
      </w:pPr>
    </w:p>
    <w:p w14:paraId="18F27CB0">
      <w:pPr>
        <w:rPr>
          <w:rFonts w:hint="default" w:ascii="Times New Roman" w:hAnsi="Times New Roman" w:cs="Times New Roman"/>
          <w:lang w:val="en-US" w:eastAsia="zh-CN"/>
        </w:rPr>
      </w:pPr>
    </w:p>
    <w:p w14:paraId="77A98C9B">
      <w:pPr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</w:p>
    <w:p w14:paraId="304D283E">
      <w:pPr>
        <w:rPr>
          <w:rFonts w:hint="default" w:ascii="Times New Roman" w:hAnsi="Times New Roman" w:cs="Times New Roman"/>
          <w:lang w:val="en-US" w:eastAsia="zh-CN"/>
        </w:rPr>
      </w:pPr>
    </w:p>
    <w:p w14:paraId="7547CF19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Reference: P. C. Grayson, S. Eddy, J. N. Taroni et al., “Metabolic pathways and immunometabolism in rare kidney diseases,” Annals of the Rheumatic Diseases, vol. 77, no. 8, pp. 1226–1233, 2018.</w:t>
      </w:r>
    </w:p>
    <w:p w14:paraId="56A7B7DA">
      <w:p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QrhyrmMinion-Blac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mkkjqMinionProI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JqhyfgMinionPro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yllfbMinionProI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pgbmfMinionPro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mtfrwMinionMath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sjvjcTeXCMMaths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njnbxMinionMath 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xwrvmMinionMath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dhxnbTeXCMMaths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1ef757c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7d6df7ab . 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310e2d1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1ef757c0 + f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310e2d14 + 2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b316e848 . 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b316e848 . B + f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b65e897d . 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d86a71d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1ef757c0 + 2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yriad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qcddvMinionPro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E50E54"/>
    <w:rsid w:val="01DA5DE2"/>
    <w:rsid w:val="031C69F7"/>
    <w:rsid w:val="03661A20"/>
    <w:rsid w:val="05537902"/>
    <w:rsid w:val="0DAF6B6C"/>
    <w:rsid w:val="158E01D3"/>
    <w:rsid w:val="1BFD292A"/>
    <w:rsid w:val="1C345895"/>
    <w:rsid w:val="20765541"/>
    <w:rsid w:val="277316C0"/>
    <w:rsid w:val="280057E9"/>
    <w:rsid w:val="2AC27A0A"/>
    <w:rsid w:val="2AE50E54"/>
    <w:rsid w:val="2D4807F0"/>
    <w:rsid w:val="39C12C1E"/>
    <w:rsid w:val="3C553E04"/>
    <w:rsid w:val="41FE5998"/>
    <w:rsid w:val="45DC5690"/>
    <w:rsid w:val="468B45D1"/>
    <w:rsid w:val="49FC43CF"/>
    <w:rsid w:val="56F67268"/>
    <w:rsid w:val="5A2742DF"/>
    <w:rsid w:val="5A9658BC"/>
    <w:rsid w:val="6D6018AC"/>
    <w:rsid w:val="6DEB3A98"/>
    <w:rsid w:val="6DFE1856"/>
    <w:rsid w:val="6EDB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</Words>
  <Characters>77</Characters>
  <Lines>0</Lines>
  <Paragraphs>0</Paragraphs>
  <TotalTime>1</TotalTime>
  <ScaleCrop>false</ScaleCrop>
  <LinksUpToDate>false</LinksUpToDate>
  <CharactersWithSpaces>80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2025-02-10T15:40:00Z</dcterms:created>
  <dc:creator>Bao Jiwen</dc:creator>
  <cp:lastModifiedBy>Bao Jiwen</cp:lastModifiedBy>
  <dcterms:modified xsi:type="dcterms:W3CDTF">2025-02-11T16:26:21Z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440D3582B0054081875B145304A45B19_11</vt:lpwstr>
  </property>
  <property fmtid="{D5CDD505-2E9C-101B-9397-08002B2CF9AE}" pid="4" name="KSOTemplateDocerSaveRecord">
    <vt:lpwstr>eyJoZGlkIjoiYzhjMjRlODg5NDBlZTg2ZDI2M2Q4YzViMWExNTM0OWYiLCJ1c2VySWQiOiIyNzEwMzcxNjMifQ==</vt:lpwstr>
  </property>
</Properties>
</file>