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955" w:rsidRPr="00D66010" w:rsidRDefault="00EE0955" w:rsidP="00EE0955">
      <w:pPr>
        <w:pStyle w:val="Heading1"/>
        <w:spacing w:line="480" w:lineRule="auto"/>
        <w:jc w:val="both"/>
        <w:rPr>
          <w:sz w:val="20"/>
          <w:szCs w:val="20"/>
          <w:lang w:val="en-US"/>
        </w:rPr>
      </w:pPr>
      <w:bookmarkStart w:id="0" w:name="_Toc392145100"/>
      <w:r w:rsidRPr="00D66010">
        <w:rPr>
          <w:b/>
          <w:sz w:val="20"/>
          <w:szCs w:val="20"/>
          <w:lang w:val="en-US"/>
        </w:rPr>
        <w:t xml:space="preserve">Table </w:t>
      </w:r>
      <w:r>
        <w:rPr>
          <w:b/>
          <w:sz w:val="20"/>
          <w:szCs w:val="20"/>
          <w:lang w:val="en-US"/>
        </w:rPr>
        <w:t>S</w:t>
      </w:r>
      <w:r w:rsidRPr="00D66010">
        <w:rPr>
          <w:b/>
          <w:sz w:val="20"/>
          <w:szCs w:val="20"/>
          <w:lang w:val="en-US"/>
        </w:rPr>
        <w:t>1</w:t>
      </w:r>
      <w:r w:rsidRPr="00D66010">
        <w:rPr>
          <w:sz w:val="20"/>
          <w:szCs w:val="20"/>
          <w:lang w:val="en-US"/>
        </w:rPr>
        <w:t>. Primer sequences for detecting endogenous pluripotency gene expression, exogenous plasmids/Sendai vectors as well as for detecting the three different germ layers produced in EB-assay.</w:t>
      </w:r>
      <w:bookmarkEnd w:id="0"/>
    </w:p>
    <w:p w:rsidR="00EE0955" w:rsidRPr="00D66010" w:rsidRDefault="00EE0955" w:rsidP="00EE095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64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3"/>
        <w:gridCol w:w="2977"/>
        <w:gridCol w:w="2977"/>
        <w:gridCol w:w="1134"/>
      </w:tblGrid>
      <w:tr w:rsidR="00EE0955" w:rsidRPr="00D66010" w:rsidTr="00CE5D5C">
        <w:tc>
          <w:tcPr>
            <w:tcW w:w="1276" w:type="dxa"/>
          </w:tcPr>
          <w:p w:rsidR="00EE0955" w:rsidRPr="00D66010" w:rsidRDefault="00EE0955" w:rsidP="00CE5D5C">
            <w:pPr>
              <w:spacing w:before="20" w:after="20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b/>
                <w:sz w:val="20"/>
                <w:szCs w:val="20"/>
              </w:rPr>
              <w:t>Gene</w:t>
            </w:r>
          </w:p>
        </w:tc>
        <w:tc>
          <w:tcPr>
            <w:tcW w:w="3260" w:type="dxa"/>
            <w:gridSpan w:val="2"/>
          </w:tcPr>
          <w:p w:rsidR="00EE0955" w:rsidRPr="00D66010" w:rsidRDefault="00EE0955" w:rsidP="00CE5D5C">
            <w:pPr>
              <w:spacing w:before="20" w:after="20" w:line="480" w:lineRule="auto"/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660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Forward Primer 5’-3’</w:t>
            </w:r>
          </w:p>
        </w:tc>
        <w:tc>
          <w:tcPr>
            <w:tcW w:w="2977" w:type="dxa"/>
          </w:tcPr>
          <w:p w:rsidR="00EE0955" w:rsidRPr="00D66010" w:rsidRDefault="00EE0955" w:rsidP="00CE5D5C">
            <w:pPr>
              <w:spacing w:before="20" w:after="20" w:line="480" w:lineRule="auto"/>
              <w:ind w:right="5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660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Reverse Primer 5’-3’</w:t>
            </w:r>
          </w:p>
        </w:tc>
        <w:tc>
          <w:tcPr>
            <w:tcW w:w="1134" w:type="dxa"/>
          </w:tcPr>
          <w:p w:rsidR="00EE0955" w:rsidRPr="00D66010" w:rsidRDefault="00EE0955" w:rsidP="00CE5D5C">
            <w:pPr>
              <w:spacing w:before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Amplicon Size</w:t>
            </w:r>
          </w:p>
        </w:tc>
      </w:tr>
      <w:tr w:rsidR="00EE0955" w:rsidRPr="00D66010" w:rsidTr="00CE5D5C">
        <w:tc>
          <w:tcPr>
            <w:tcW w:w="4536" w:type="dxa"/>
            <w:gridSpan w:val="3"/>
          </w:tcPr>
          <w:p w:rsidR="00EE0955" w:rsidRPr="00D66010" w:rsidRDefault="00EE0955" w:rsidP="00CE5D5C">
            <w:pPr>
              <w:spacing w:before="20" w:after="20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b/>
                <w:sz w:val="20"/>
                <w:szCs w:val="20"/>
              </w:rPr>
              <w:t>Pluripotency markers</w:t>
            </w:r>
          </w:p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977" w:type="dxa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OCT3/4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caps/>
                <w:sz w:val="14"/>
                <w:szCs w:val="14"/>
              </w:rPr>
              <w:t>gacagggggaggggaggagctagg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caps/>
                <w:sz w:val="14"/>
                <w:szCs w:val="14"/>
              </w:rPr>
              <w:t>cttccctccaaccagttgccccaaac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c-MYC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caps/>
                <w:sz w:val="14"/>
                <w:szCs w:val="14"/>
              </w:rPr>
              <w:t>gcgtcctgggaagggagatccggagc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caps/>
                <w:sz w:val="14"/>
                <w:szCs w:val="14"/>
              </w:rPr>
              <w:t>ttgaggggcatcgtcgcgggaggctg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NANOG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caps/>
                <w:sz w:val="14"/>
                <w:szCs w:val="14"/>
              </w:rPr>
              <w:t>TGCAAATGTCTTCTGCTGAGAT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caps/>
                <w:sz w:val="14"/>
                <w:szCs w:val="14"/>
              </w:rPr>
              <w:t>GTTCAGGATGTTGGAGAGTTC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SOX2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caps/>
                <w:sz w:val="14"/>
                <w:szCs w:val="14"/>
              </w:rPr>
              <w:t>gggaaatgggaggggtgcaaaagagg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caps/>
                <w:sz w:val="14"/>
                <w:szCs w:val="14"/>
              </w:rPr>
              <w:t>ttgcgtgagtgtggatgggattggtg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REX1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caps/>
                <w:sz w:val="14"/>
                <w:szCs w:val="14"/>
              </w:rPr>
              <w:t>cagatcctaaacagctcgcagaat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caps/>
                <w:sz w:val="14"/>
                <w:szCs w:val="14"/>
              </w:rPr>
              <w:t>gcgtacgcaaattaaagtccaga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</w:tr>
      <w:tr w:rsidR="00EE0955" w:rsidRPr="00D66010" w:rsidTr="00CE5D5C">
        <w:tc>
          <w:tcPr>
            <w:tcW w:w="4536" w:type="dxa"/>
            <w:gridSpan w:val="3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EE0955" w:rsidRPr="00D66010" w:rsidRDefault="00EE0955" w:rsidP="00CE5D5C">
            <w:pPr>
              <w:spacing w:before="20" w:after="20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b/>
                <w:sz w:val="20"/>
                <w:szCs w:val="20"/>
              </w:rPr>
              <w:t>Plasmid detection</w:t>
            </w:r>
          </w:p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EBNA-1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sz w:val="14"/>
                <w:szCs w:val="14"/>
              </w:rPr>
              <w:t>GGGGTAGAGGACGTGAAAGA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sz w:val="14"/>
                <w:szCs w:val="14"/>
              </w:rPr>
              <w:t>GGTGGAAAAATGGCCTTCTA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OCT3/4</w:t>
            </w:r>
          </w:p>
          <w:p w:rsidR="00EE0955" w:rsidRPr="00D66010" w:rsidRDefault="00EE0955" w:rsidP="00CE5D5C">
            <w:pPr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i/>
                <w:sz w:val="14"/>
                <w:szCs w:val="14"/>
              </w:rPr>
              <w:t>(pCXLE-hOCT3/4-shp53-F)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sz w:val="14"/>
                <w:szCs w:val="14"/>
              </w:rPr>
              <w:t>CATTCAAACTGAGGTAAGGG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eastAsia="Times New Roman" w:hAnsi="Times New Roman" w:cs="Times New Roman"/>
                <w:sz w:val="14"/>
                <w:szCs w:val="14"/>
              </w:rPr>
              <w:t>TAGCGTAAAAGGAGCAACATAG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LIN28</w:t>
            </w:r>
          </w:p>
          <w:p w:rsidR="00EE0955" w:rsidRPr="00D66010" w:rsidRDefault="00EE0955" w:rsidP="00CE5D5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i/>
                <w:sz w:val="14"/>
                <w:szCs w:val="14"/>
              </w:rPr>
              <w:t>(pCXLE-hUL)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AGCCATATGGTAGCCTCATGTCCGC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TAGCGTAAAAGGAGCAACATAG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SOX2</w:t>
            </w:r>
          </w:p>
          <w:p w:rsidR="00EE0955" w:rsidRPr="00D66010" w:rsidRDefault="00EE0955" w:rsidP="00CE5D5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i/>
                <w:sz w:val="14"/>
                <w:szCs w:val="14"/>
              </w:rPr>
              <w:t>(pCXLE-hSK)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TTCACATGTCCCAGCACTACCAGA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TTTGTTTGACAGGAGCGACAAT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EE0955" w:rsidRPr="00D66010" w:rsidTr="00CE5D5C">
        <w:tc>
          <w:tcPr>
            <w:tcW w:w="4536" w:type="dxa"/>
            <w:gridSpan w:val="3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EE0955" w:rsidRPr="00D66010" w:rsidRDefault="00EE0955" w:rsidP="00CE5D5C">
            <w:pPr>
              <w:spacing w:before="20" w:after="20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b/>
                <w:sz w:val="20"/>
                <w:szCs w:val="20"/>
              </w:rPr>
              <w:t>Sendai vectors detection</w:t>
            </w:r>
          </w:p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SOX2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ATGCACCGCTACGCAGTGAGCGC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AATGTATCGAAGGTGCTCAA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OCT3/4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CCCGAAAGAGAAAGCGAACCA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AATGTATCGAAGGTGCTCAA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KLF4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TTCCTGCATGCCAGAGGAGCCC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AATGTATCGAAGGTGCTCAA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c-MYC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TAACTGACTAGCAGGCTTGTCG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TCCACATACAGTCCTGGATGATGATG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</w:tr>
      <w:tr w:rsidR="00EE0955" w:rsidRPr="00D66010" w:rsidTr="00CE5D5C">
        <w:tc>
          <w:tcPr>
            <w:tcW w:w="4536" w:type="dxa"/>
            <w:gridSpan w:val="3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b/>
                <w:sz w:val="20"/>
                <w:szCs w:val="20"/>
              </w:rPr>
              <w:t>EB primers</w:t>
            </w:r>
          </w:p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b/>
                <w:sz w:val="20"/>
                <w:szCs w:val="20"/>
              </w:rPr>
              <w:t>Endodermal</w:t>
            </w:r>
          </w:p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AFP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CATCCAGGAGAGCCAAGCAT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CGCCACAGGCCAATAGTTTG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SOX17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CGCACGGAATTTGAACAGTA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CACACGTCAGGATAGTTGCAG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</w:tr>
      <w:tr w:rsidR="00EE0955" w:rsidRPr="00D66010" w:rsidTr="00CE5D5C">
        <w:tc>
          <w:tcPr>
            <w:tcW w:w="4536" w:type="dxa"/>
            <w:gridSpan w:val="3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b/>
                <w:sz w:val="20"/>
                <w:szCs w:val="20"/>
              </w:rPr>
              <w:t>Ectodermal</w:t>
            </w:r>
          </w:p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PAX6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AACAGACACAGCCCTCACAAACA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CGGGAACTTGAACTGGAACTGAC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SOX1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AAAGTCAAAACGAGGCGAGA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AAGTGCTTGGACCTGCCTTA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</w:tr>
      <w:tr w:rsidR="00EE0955" w:rsidRPr="00D66010" w:rsidTr="00CE5D5C">
        <w:tc>
          <w:tcPr>
            <w:tcW w:w="4536" w:type="dxa"/>
            <w:gridSpan w:val="3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b/>
                <w:sz w:val="20"/>
                <w:szCs w:val="20"/>
              </w:rPr>
              <w:t>Mesodermal</w:t>
            </w:r>
          </w:p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KDR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GTGACCAACATGGAGTCGTG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TGCTTCACAGAAGACCATGC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ACTC1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GGAGTTATGGTGGGTATGGGTC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AGTGGTGACAAAGGAGTAGCCA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</w:tr>
      <w:tr w:rsidR="00EE0955" w:rsidRPr="00D66010" w:rsidTr="00CE5D5C">
        <w:tc>
          <w:tcPr>
            <w:tcW w:w="4536" w:type="dxa"/>
            <w:gridSpan w:val="3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b/>
                <w:sz w:val="20"/>
                <w:szCs w:val="20"/>
              </w:rPr>
              <w:t>Housekeeping</w:t>
            </w:r>
          </w:p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955" w:rsidRPr="00D66010" w:rsidTr="00CE5D5C">
        <w:tc>
          <w:tcPr>
            <w:tcW w:w="1559" w:type="dxa"/>
            <w:gridSpan w:val="2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AGCCACATCGCTCAGACACC</w:t>
            </w:r>
          </w:p>
        </w:tc>
        <w:tc>
          <w:tcPr>
            <w:tcW w:w="2977" w:type="dxa"/>
            <w:vAlign w:val="center"/>
          </w:tcPr>
          <w:p w:rsidR="00EE0955" w:rsidRPr="00D66010" w:rsidRDefault="00EE0955" w:rsidP="00CE5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14"/>
                <w:szCs w:val="14"/>
              </w:rPr>
              <w:t>GTACTCAGCGCCAGCATCG</w:t>
            </w:r>
          </w:p>
        </w:tc>
        <w:tc>
          <w:tcPr>
            <w:tcW w:w="1134" w:type="dxa"/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010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</w:tr>
      <w:tr w:rsidR="00EE0955" w:rsidRPr="00D66010" w:rsidTr="00CE5D5C">
        <w:tc>
          <w:tcPr>
            <w:tcW w:w="1559" w:type="dxa"/>
            <w:gridSpan w:val="2"/>
            <w:tcBorders>
              <w:bottom w:val="single" w:sz="6" w:space="0" w:color="auto"/>
            </w:tcBorders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6" w:space="0" w:color="auto"/>
            </w:tcBorders>
            <w:vAlign w:val="center"/>
          </w:tcPr>
          <w:p w:rsidR="00EE0955" w:rsidRPr="00D66010" w:rsidRDefault="00EE0955" w:rsidP="00CE5D5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7" w:type="dxa"/>
            <w:tcBorders>
              <w:bottom w:val="single" w:sz="6" w:space="0" w:color="auto"/>
            </w:tcBorders>
            <w:vAlign w:val="center"/>
          </w:tcPr>
          <w:p w:rsidR="00EE0955" w:rsidRPr="00D66010" w:rsidRDefault="00EE0955" w:rsidP="00CE5D5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EE0955" w:rsidRPr="00D66010" w:rsidRDefault="00EE0955" w:rsidP="00CE5D5C">
            <w:pPr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E0955" w:rsidRPr="00D66010" w:rsidRDefault="00EE0955" w:rsidP="00EE0955">
      <w:pPr>
        <w:rPr>
          <w:rFonts w:ascii="Times New Roman" w:hAnsi="Times New Roman" w:cs="Times New Roman"/>
          <w:sz w:val="20"/>
          <w:szCs w:val="20"/>
        </w:rPr>
      </w:pPr>
    </w:p>
    <w:p w:rsidR="00EE0955" w:rsidRPr="00D66010" w:rsidRDefault="00EE0955" w:rsidP="00EE0955">
      <w:pPr>
        <w:jc w:val="both"/>
        <w:rPr>
          <w:rFonts w:ascii="Times New Roman" w:hAnsi="Times New Roman" w:cs="Times New Roman"/>
          <w:sz w:val="16"/>
          <w:szCs w:val="16"/>
        </w:rPr>
      </w:pPr>
      <w:r w:rsidRPr="00D66010">
        <w:rPr>
          <w:rFonts w:ascii="Times New Roman" w:hAnsi="Times New Roman" w:cs="Times New Roman"/>
          <w:b/>
          <w:sz w:val="16"/>
          <w:szCs w:val="16"/>
        </w:rPr>
        <w:t xml:space="preserve">EB = </w:t>
      </w:r>
      <w:r w:rsidRPr="00D66010">
        <w:rPr>
          <w:rFonts w:ascii="Times New Roman" w:hAnsi="Times New Roman" w:cs="Times New Roman"/>
          <w:sz w:val="16"/>
          <w:szCs w:val="16"/>
        </w:rPr>
        <w:t>Embyonic Body</w:t>
      </w:r>
      <w:r w:rsidRPr="00D66010">
        <w:rPr>
          <w:rFonts w:ascii="Times New Roman" w:hAnsi="Times New Roman" w:cs="Times New Roman"/>
          <w:b/>
          <w:sz w:val="16"/>
          <w:szCs w:val="16"/>
        </w:rPr>
        <w:t>; OCT3/4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POU Class 5 Homeobox 1; </w:t>
      </w:r>
      <w:r w:rsidRPr="00D66010">
        <w:rPr>
          <w:rFonts w:ascii="Times New Roman" w:hAnsi="Times New Roman" w:cs="Times New Roman"/>
          <w:b/>
          <w:sz w:val="16"/>
          <w:szCs w:val="16"/>
        </w:rPr>
        <w:t>c-MYC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V-Myc Avian Myelocytomatosis Viral Oncogene Homolog1; </w:t>
      </w:r>
      <w:r w:rsidRPr="00D66010">
        <w:rPr>
          <w:rFonts w:ascii="Times New Roman" w:hAnsi="Times New Roman" w:cs="Times New Roman"/>
          <w:b/>
          <w:sz w:val="16"/>
          <w:szCs w:val="16"/>
        </w:rPr>
        <w:t>NANOG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Homeobox Transcription Factor Nanog; </w:t>
      </w:r>
      <w:r w:rsidRPr="00D66010">
        <w:rPr>
          <w:rFonts w:ascii="Times New Roman" w:hAnsi="Times New Roman" w:cs="Times New Roman"/>
          <w:b/>
          <w:sz w:val="16"/>
          <w:szCs w:val="16"/>
        </w:rPr>
        <w:t>SOX2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SRY (sex determining region Y)-box 2; </w:t>
      </w:r>
      <w:r w:rsidRPr="00D66010">
        <w:rPr>
          <w:rFonts w:ascii="Times New Roman" w:hAnsi="Times New Roman" w:cs="Times New Roman"/>
          <w:b/>
          <w:sz w:val="16"/>
          <w:szCs w:val="16"/>
        </w:rPr>
        <w:t>REX1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RNA Exonuclease 1 Homolog (S. Cerevisiae); </w:t>
      </w:r>
      <w:r w:rsidRPr="00D66010">
        <w:rPr>
          <w:rFonts w:ascii="Times New Roman" w:hAnsi="Times New Roman" w:cs="Times New Roman"/>
          <w:b/>
          <w:sz w:val="16"/>
          <w:szCs w:val="16"/>
        </w:rPr>
        <w:t>EBNA-1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Epstein–Barr nuclear antigen 1; </w:t>
      </w:r>
      <w:r w:rsidRPr="00D66010">
        <w:rPr>
          <w:rFonts w:ascii="Times New Roman" w:hAnsi="Times New Roman" w:cs="Times New Roman"/>
          <w:b/>
          <w:sz w:val="16"/>
          <w:szCs w:val="16"/>
        </w:rPr>
        <w:t>LIN28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RNA-Binding Protein LIN-28; </w:t>
      </w:r>
      <w:r w:rsidRPr="00D66010">
        <w:rPr>
          <w:rFonts w:ascii="Times New Roman" w:hAnsi="Times New Roman" w:cs="Times New Roman"/>
          <w:b/>
          <w:sz w:val="16"/>
          <w:szCs w:val="16"/>
        </w:rPr>
        <w:t>KLF4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Kruppel-Like Factor 4; AFP = alpha-fetoprotein; </w:t>
      </w:r>
      <w:r w:rsidRPr="00D66010">
        <w:rPr>
          <w:rFonts w:ascii="Times New Roman" w:hAnsi="Times New Roman" w:cs="Times New Roman"/>
          <w:b/>
          <w:sz w:val="16"/>
          <w:szCs w:val="16"/>
        </w:rPr>
        <w:t>SOX-17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SRY (sex determining region Y)-box 17; </w:t>
      </w:r>
      <w:r w:rsidRPr="00D66010">
        <w:rPr>
          <w:rFonts w:ascii="Times New Roman" w:hAnsi="Times New Roman" w:cs="Times New Roman"/>
          <w:b/>
          <w:sz w:val="16"/>
          <w:szCs w:val="16"/>
        </w:rPr>
        <w:t>PAX6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paired box 6; </w:t>
      </w:r>
      <w:r w:rsidRPr="00D66010">
        <w:rPr>
          <w:rFonts w:ascii="Times New Roman" w:hAnsi="Times New Roman" w:cs="Times New Roman"/>
          <w:b/>
          <w:sz w:val="16"/>
          <w:szCs w:val="16"/>
        </w:rPr>
        <w:t>SOX1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SRY (sex determining region Y)-box 1; </w:t>
      </w:r>
      <w:r w:rsidRPr="00D66010">
        <w:rPr>
          <w:rFonts w:ascii="Times New Roman" w:hAnsi="Times New Roman" w:cs="Times New Roman"/>
          <w:b/>
          <w:sz w:val="16"/>
          <w:szCs w:val="16"/>
        </w:rPr>
        <w:t>KDR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kinase insert domain receptor; </w:t>
      </w:r>
      <w:r w:rsidRPr="00D66010">
        <w:rPr>
          <w:rFonts w:ascii="Times New Roman" w:hAnsi="Times New Roman" w:cs="Times New Roman"/>
          <w:b/>
          <w:sz w:val="16"/>
          <w:szCs w:val="16"/>
        </w:rPr>
        <w:t>ACTC1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actin, alpha, cardiac muscle 1; </w:t>
      </w:r>
      <w:r w:rsidRPr="00D66010">
        <w:rPr>
          <w:rFonts w:ascii="Times New Roman" w:hAnsi="Times New Roman" w:cs="Times New Roman"/>
          <w:b/>
          <w:sz w:val="16"/>
          <w:szCs w:val="16"/>
        </w:rPr>
        <w:t>GAPDH</w:t>
      </w:r>
      <w:r w:rsidRPr="00D66010">
        <w:rPr>
          <w:rFonts w:ascii="Times New Roman" w:hAnsi="Times New Roman" w:cs="Times New Roman"/>
          <w:sz w:val="16"/>
          <w:szCs w:val="16"/>
        </w:rPr>
        <w:t xml:space="preserve"> = glyceraldehyde-3-phosphate dehydrogenase</w:t>
      </w:r>
    </w:p>
    <w:p w:rsidR="00EE0955" w:rsidRPr="00C4577D" w:rsidRDefault="00EE0955" w:rsidP="00EE0955"/>
    <w:p w:rsidR="00592AF8" w:rsidRPr="00B76158" w:rsidRDefault="00592AF8" w:rsidP="00B76158">
      <w:pPr>
        <w:spacing w:line="480" w:lineRule="auto"/>
        <w:rPr>
          <w:rFonts w:ascii="Times" w:hAnsi="Times" w:cs="Times"/>
          <w:lang w:val="en-US"/>
        </w:rPr>
      </w:pPr>
      <w:bookmarkStart w:id="1" w:name="_GoBack"/>
      <w:bookmarkEnd w:id="1"/>
    </w:p>
    <w:sectPr w:rsidR="00592AF8" w:rsidRPr="00B76158" w:rsidSect="00EE09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864"/>
    <w:rsid w:val="00592AF8"/>
    <w:rsid w:val="00667864"/>
    <w:rsid w:val="00B76158"/>
    <w:rsid w:val="00EE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864"/>
    <w:pPr>
      <w:spacing w:after="0" w:line="240" w:lineRule="auto"/>
    </w:pPr>
    <w:rPr>
      <w:rFonts w:eastAsiaTheme="minorEastAsia"/>
      <w:sz w:val="24"/>
      <w:szCs w:val="24"/>
      <w:lang w:val="it-IT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0955"/>
    <w:pPr>
      <w:keepNext/>
      <w:keepLines/>
      <w:spacing w:before="240" w:line="259" w:lineRule="auto"/>
      <w:outlineLvl w:val="0"/>
    </w:pPr>
    <w:rPr>
      <w:rFonts w:ascii="Times New Roman" w:eastAsia="MS Gothic" w:hAnsi="Times New Roman" w:cs="Times New Roman"/>
      <w:color w:val="000000"/>
      <w:szCs w:val="32"/>
      <w:lang w:val="fi-F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78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864"/>
    <w:rPr>
      <w:rFonts w:ascii="Tahoma" w:eastAsiaTheme="minorEastAsia" w:hAnsi="Tahoma" w:cs="Tahoma"/>
      <w:sz w:val="16"/>
      <w:szCs w:val="16"/>
      <w:lang w:val="it-IT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EE0955"/>
    <w:rPr>
      <w:rFonts w:ascii="Times New Roman" w:eastAsia="MS Gothic" w:hAnsi="Times New Roman" w:cs="Times New Roman"/>
      <w:color w:val="000000"/>
      <w:sz w:val="24"/>
      <w:szCs w:val="32"/>
      <w:lang w:val="fi-FI"/>
    </w:rPr>
  </w:style>
  <w:style w:type="table" w:styleId="TableGrid">
    <w:name w:val="Table Grid"/>
    <w:basedOn w:val="TableNormal"/>
    <w:uiPriority w:val="59"/>
    <w:rsid w:val="00EE0955"/>
    <w:pPr>
      <w:spacing w:after="0" w:line="240" w:lineRule="auto"/>
    </w:pPr>
    <w:rPr>
      <w:rFonts w:eastAsiaTheme="minorEastAsia"/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864"/>
    <w:pPr>
      <w:spacing w:after="0" w:line="240" w:lineRule="auto"/>
    </w:pPr>
    <w:rPr>
      <w:rFonts w:eastAsiaTheme="minorEastAsia"/>
      <w:sz w:val="24"/>
      <w:szCs w:val="24"/>
      <w:lang w:val="it-IT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0955"/>
    <w:pPr>
      <w:keepNext/>
      <w:keepLines/>
      <w:spacing w:before="240" w:line="259" w:lineRule="auto"/>
      <w:outlineLvl w:val="0"/>
    </w:pPr>
    <w:rPr>
      <w:rFonts w:ascii="Times New Roman" w:eastAsia="MS Gothic" w:hAnsi="Times New Roman" w:cs="Times New Roman"/>
      <w:color w:val="000000"/>
      <w:szCs w:val="32"/>
      <w:lang w:val="fi-F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78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864"/>
    <w:rPr>
      <w:rFonts w:ascii="Tahoma" w:eastAsiaTheme="minorEastAsia" w:hAnsi="Tahoma" w:cs="Tahoma"/>
      <w:sz w:val="16"/>
      <w:szCs w:val="16"/>
      <w:lang w:val="it-IT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EE0955"/>
    <w:rPr>
      <w:rFonts w:ascii="Times New Roman" w:eastAsia="MS Gothic" w:hAnsi="Times New Roman" w:cs="Times New Roman"/>
      <w:color w:val="000000"/>
      <w:sz w:val="24"/>
      <w:szCs w:val="32"/>
      <w:lang w:val="fi-FI"/>
    </w:rPr>
  </w:style>
  <w:style w:type="table" w:styleId="TableGrid">
    <w:name w:val="Table Grid"/>
    <w:basedOn w:val="TableNormal"/>
    <w:uiPriority w:val="59"/>
    <w:rsid w:val="00EE0955"/>
    <w:pPr>
      <w:spacing w:after="0" w:line="240" w:lineRule="auto"/>
    </w:pPr>
    <w:rPr>
      <w:rFonts w:eastAsiaTheme="minorEastAsia"/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Processing, Data</dc:creator>
  <cp:keywords/>
  <dc:description/>
  <cp:lastModifiedBy>Processing, Data</cp:lastModifiedBy>
  <cp:revision>2</cp:revision>
  <dcterms:created xsi:type="dcterms:W3CDTF">2015-08-25T05:09:00Z</dcterms:created>
  <dcterms:modified xsi:type="dcterms:W3CDTF">2015-08-25T05:09:00Z</dcterms:modified>
</cp:coreProperties>
</file>