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861DD" w14:textId="2A2E78D2" w:rsidR="009C5F8E" w:rsidRDefault="009C5F8E" w:rsidP="00EE55C5">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Material</w:t>
      </w:r>
    </w:p>
    <w:p w14:paraId="7E92085E" w14:textId="00EE3BCA" w:rsidR="003A1571" w:rsidRDefault="003A1571" w:rsidP="00EE55C5">
      <w:pPr>
        <w:spacing w:line="480" w:lineRule="auto"/>
        <w:jc w:val="both"/>
        <w:rPr>
          <w:rFonts w:ascii="Times New Roman" w:hAnsi="Times New Roman" w:cs="Times New Roman"/>
          <w:b/>
          <w:bCs/>
          <w:sz w:val="24"/>
          <w:szCs w:val="24"/>
          <w:lang w:val="en-US"/>
        </w:rPr>
      </w:pPr>
      <w:r w:rsidRPr="003A1571">
        <w:rPr>
          <w:rFonts w:ascii="Times New Roman" w:hAnsi="Times New Roman" w:cs="Times New Roman"/>
          <w:b/>
          <w:bCs/>
          <w:sz w:val="24"/>
          <w:szCs w:val="24"/>
          <w:lang w:val="en-US"/>
        </w:rPr>
        <w:t>Materials &amp; Methods</w:t>
      </w:r>
    </w:p>
    <w:p w14:paraId="7D37B635" w14:textId="3D4B6085" w:rsidR="00D061DE" w:rsidRDefault="008C4C1D" w:rsidP="00EE55C5">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Evaluation of </w:t>
      </w:r>
      <w:proofErr w:type="spellStart"/>
      <w:r>
        <w:rPr>
          <w:rFonts w:ascii="Times New Roman" w:hAnsi="Times New Roman" w:cs="Times New Roman"/>
          <w:b/>
          <w:bCs/>
          <w:sz w:val="24"/>
          <w:szCs w:val="24"/>
          <w:lang w:val="en-US"/>
        </w:rPr>
        <w:t>adipogenic</w:t>
      </w:r>
      <w:proofErr w:type="spellEnd"/>
      <w:r>
        <w:rPr>
          <w:rFonts w:ascii="Times New Roman" w:hAnsi="Times New Roman" w:cs="Times New Roman"/>
          <w:b/>
          <w:bCs/>
          <w:sz w:val="24"/>
          <w:szCs w:val="24"/>
          <w:lang w:val="en-US"/>
        </w:rPr>
        <w:t xml:space="preserve"> and osteogenic differentiation potential of DPSCs</w:t>
      </w:r>
    </w:p>
    <w:p w14:paraId="3305BA56" w14:textId="7383EAA1" w:rsidR="008C4C1D" w:rsidRPr="008C4C1D" w:rsidRDefault="008C4C1D" w:rsidP="008C4C1D">
      <w:pPr>
        <w:spacing w:line="480" w:lineRule="auto"/>
        <w:jc w:val="both"/>
        <w:rPr>
          <w:rFonts w:ascii="Times New Roman" w:hAnsi="Times New Roman" w:cs="Times New Roman"/>
          <w:sz w:val="24"/>
          <w:szCs w:val="24"/>
          <w:lang w:val="en-US"/>
        </w:rPr>
      </w:pPr>
      <w:r w:rsidRPr="008C4C1D">
        <w:rPr>
          <w:rFonts w:ascii="Times New Roman" w:hAnsi="Times New Roman" w:cs="Times New Roman"/>
          <w:sz w:val="24"/>
          <w:szCs w:val="24"/>
          <w:lang w:val="en-US"/>
        </w:rPr>
        <w:t xml:space="preserve">For the assessment of DPSCs </w:t>
      </w:r>
      <w:proofErr w:type="spellStart"/>
      <w:r>
        <w:rPr>
          <w:rFonts w:ascii="Times New Roman" w:hAnsi="Times New Roman" w:cs="Times New Roman"/>
          <w:sz w:val="24"/>
          <w:szCs w:val="24"/>
          <w:lang w:val="en-US"/>
        </w:rPr>
        <w:t>adipogenic</w:t>
      </w:r>
      <w:proofErr w:type="spellEnd"/>
      <w:r w:rsidRPr="008C4C1D">
        <w:rPr>
          <w:rFonts w:ascii="Times New Roman" w:hAnsi="Times New Roman" w:cs="Times New Roman"/>
          <w:sz w:val="24"/>
          <w:szCs w:val="24"/>
          <w:lang w:val="en-US"/>
        </w:rPr>
        <w:t xml:space="preserve"> potential, cells</w:t>
      </w:r>
      <w:r>
        <w:rPr>
          <w:rFonts w:ascii="Times New Roman" w:hAnsi="Times New Roman" w:cs="Times New Roman"/>
          <w:sz w:val="24"/>
          <w:szCs w:val="24"/>
          <w:lang w:val="en-US"/>
        </w:rPr>
        <w:t xml:space="preserve"> </w:t>
      </w:r>
      <w:r w:rsidRPr="008C4C1D">
        <w:rPr>
          <w:rFonts w:ascii="Times New Roman" w:hAnsi="Times New Roman" w:cs="Times New Roman"/>
          <w:sz w:val="24"/>
          <w:szCs w:val="24"/>
          <w:lang w:val="en-US"/>
        </w:rPr>
        <w:t>from established cultures were seeded at 3 × 10</w:t>
      </w:r>
      <w:r w:rsidRPr="00F85D5E">
        <w:rPr>
          <w:rFonts w:ascii="Times New Roman" w:hAnsi="Times New Roman" w:cs="Times New Roman"/>
          <w:sz w:val="24"/>
          <w:szCs w:val="24"/>
          <w:vertAlign w:val="superscript"/>
          <w:lang w:val="en-US"/>
        </w:rPr>
        <w:t>5</w:t>
      </w:r>
      <w:r w:rsidRPr="008C4C1D">
        <w:rPr>
          <w:rFonts w:ascii="Times New Roman" w:hAnsi="Times New Roman" w:cs="Times New Roman"/>
          <w:sz w:val="24"/>
          <w:szCs w:val="24"/>
          <w:lang w:val="en-US"/>
        </w:rPr>
        <w:t xml:space="preserve"> cells/well</w:t>
      </w:r>
      <w:r>
        <w:rPr>
          <w:rFonts w:ascii="Times New Roman" w:hAnsi="Times New Roman" w:cs="Times New Roman"/>
          <w:sz w:val="24"/>
          <w:szCs w:val="24"/>
          <w:lang w:val="en-US"/>
        </w:rPr>
        <w:t xml:space="preserve"> </w:t>
      </w:r>
      <w:r w:rsidRPr="008C4C1D">
        <w:rPr>
          <w:rFonts w:ascii="Times New Roman" w:hAnsi="Times New Roman" w:cs="Times New Roman"/>
          <w:sz w:val="24"/>
          <w:szCs w:val="24"/>
          <w:lang w:val="en-US"/>
        </w:rPr>
        <w:t>in 6-well plates in CCM until reaching confluency. DPSCs</w:t>
      </w:r>
    </w:p>
    <w:p w14:paraId="3ADF0B03" w14:textId="49AD38D2" w:rsidR="008C4C1D" w:rsidRDefault="008C4C1D" w:rsidP="00F85D5E">
      <w:pPr>
        <w:spacing w:line="480" w:lineRule="auto"/>
        <w:jc w:val="both"/>
        <w:rPr>
          <w:rFonts w:ascii="Times New Roman" w:hAnsi="Times New Roman" w:cs="Times New Roman"/>
          <w:sz w:val="24"/>
          <w:szCs w:val="24"/>
          <w:lang w:val="en-US"/>
        </w:rPr>
      </w:pPr>
      <w:r w:rsidRPr="008C4C1D">
        <w:rPr>
          <w:rFonts w:ascii="Times New Roman" w:hAnsi="Times New Roman" w:cs="Times New Roman"/>
          <w:sz w:val="24"/>
          <w:szCs w:val="24"/>
          <w:lang w:val="en-US"/>
        </w:rPr>
        <w:t xml:space="preserve">were then exposed to </w:t>
      </w:r>
      <w:proofErr w:type="spellStart"/>
      <w:r>
        <w:rPr>
          <w:rFonts w:ascii="Times New Roman" w:hAnsi="Times New Roman" w:cs="Times New Roman"/>
          <w:sz w:val="24"/>
          <w:szCs w:val="24"/>
          <w:lang w:val="en-US"/>
        </w:rPr>
        <w:t>adipogenic</w:t>
      </w:r>
      <w:proofErr w:type="spellEnd"/>
      <w:r w:rsidRPr="008C4C1D">
        <w:rPr>
          <w:rFonts w:ascii="Times New Roman" w:hAnsi="Times New Roman" w:cs="Times New Roman"/>
          <w:sz w:val="24"/>
          <w:szCs w:val="24"/>
          <w:lang w:val="en-US"/>
        </w:rPr>
        <w:t xml:space="preserve"> medium (</w:t>
      </w:r>
      <w:r w:rsidR="00F85D5E" w:rsidRPr="00F85D5E">
        <w:rPr>
          <w:rFonts w:ascii="Times New Roman" w:hAnsi="Times New Roman" w:cs="Times New Roman"/>
          <w:sz w:val="24"/>
          <w:szCs w:val="24"/>
          <w:lang w:val="en-US"/>
        </w:rPr>
        <w:t>a-MEM CCM, supplemented with</w:t>
      </w:r>
      <w:r w:rsidR="00F85D5E">
        <w:rPr>
          <w:rFonts w:ascii="Times New Roman" w:hAnsi="Times New Roman" w:cs="Times New Roman"/>
          <w:sz w:val="24"/>
          <w:szCs w:val="24"/>
          <w:lang w:val="en-US"/>
        </w:rPr>
        <w:t xml:space="preserve"> </w:t>
      </w:r>
      <w:r w:rsidR="00F85D5E" w:rsidRPr="00F85D5E">
        <w:rPr>
          <w:rFonts w:ascii="Times New Roman" w:hAnsi="Times New Roman" w:cs="Times New Roman"/>
          <w:sz w:val="24"/>
          <w:szCs w:val="24"/>
          <w:lang w:val="en-US"/>
        </w:rPr>
        <w:t xml:space="preserve">0.5 mM </w:t>
      </w:r>
      <w:proofErr w:type="spellStart"/>
      <w:r w:rsidR="00F85D5E" w:rsidRPr="00F85D5E">
        <w:rPr>
          <w:rFonts w:ascii="Times New Roman" w:hAnsi="Times New Roman" w:cs="Times New Roman"/>
          <w:sz w:val="24"/>
          <w:szCs w:val="24"/>
          <w:lang w:val="en-US"/>
        </w:rPr>
        <w:t>isobutylmethylxanthine</w:t>
      </w:r>
      <w:proofErr w:type="spellEnd"/>
      <w:r w:rsidR="00F85D5E" w:rsidRPr="00F85D5E">
        <w:rPr>
          <w:rFonts w:ascii="Times New Roman" w:hAnsi="Times New Roman" w:cs="Times New Roman"/>
          <w:sz w:val="24"/>
          <w:szCs w:val="24"/>
          <w:lang w:val="en-US"/>
        </w:rPr>
        <w:t xml:space="preserve"> (IBMX), 0.5 mM hydrocortisone,</w:t>
      </w:r>
      <w:r w:rsidR="00F85D5E">
        <w:rPr>
          <w:rFonts w:ascii="Times New Roman" w:hAnsi="Times New Roman" w:cs="Times New Roman"/>
          <w:sz w:val="24"/>
          <w:szCs w:val="24"/>
          <w:lang w:val="en-US"/>
        </w:rPr>
        <w:t xml:space="preserve"> </w:t>
      </w:r>
      <w:r w:rsidR="00F85D5E" w:rsidRPr="00F85D5E">
        <w:rPr>
          <w:rFonts w:ascii="Times New Roman" w:hAnsi="Times New Roman" w:cs="Times New Roman"/>
          <w:sz w:val="24"/>
          <w:szCs w:val="24"/>
          <w:lang w:val="en-US"/>
        </w:rPr>
        <w:t>60 mM indomethacin and 5 mg/ml insulin</w:t>
      </w:r>
      <w:r w:rsidR="00F85D5E">
        <w:rPr>
          <w:rFonts w:ascii="Times New Roman" w:hAnsi="Times New Roman" w:cs="Times New Roman"/>
          <w:sz w:val="24"/>
          <w:szCs w:val="24"/>
          <w:lang w:val="en-US"/>
        </w:rPr>
        <w:t xml:space="preserve">, </w:t>
      </w:r>
      <w:r w:rsidR="00F85D5E" w:rsidRPr="00F85D5E">
        <w:rPr>
          <w:rFonts w:ascii="Times New Roman" w:hAnsi="Times New Roman" w:cs="Times New Roman"/>
          <w:sz w:val="24"/>
          <w:szCs w:val="24"/>
          <w:lang w:val="en-US"/>
        </w:rPr>
        <w:t>all from</w:t>
      </w:r>
      <w:r w:rsidR="00F85D5E">
        <w:rPr>
          <w:rFonts w:ascii="Times New Roman" w:hAnsi="Times New Roman" w:cs="Times New Roman"/>
          <w:sz w:val="24"/>
          <w:szCs w:val="24"/>
          <w:lang w:val="en-US"/>
        </w:rPr>
        <w:t xml:space="preserve"> </w:t>
      </w:r>
      <w:r w:rsidR="00F85D5E" w:rsidRPr="00F85D5E">
        <w:rPr>
          <w:rFonts w:ascii="Times New Roman" w:hAnsi="Times New Roman" w:cs="Times New Roman"/>
          <w:sz w:val="24"/>
          <w:szCs w:val="24"/>
          <w:lang w:val="en-US"/>
        </w:rPr>
        <w:t>Sigma–Aldrich</w:t>
      </w:r>
      <w:r w:rsidRPr="008C4C1D">
        <w:rPr>
          <w:rFonts w:ascii="Times New Roman" w:hAnsi="Times New Roman" w:cs="Times New Roman"/>
          <w:sz w:val="24"/>
          <w:szCs w:val="24"/>
          <w:lang w:val="en-US"/>
        </w:rPr>
        <w:t xml:space="preserve">) for 21 days, followed by </w:t>
      </w:r>
      <w:r w:rsidR="009300CB" w:rsidRPr="009300CB">
        <w:rPr>
          <w:rFonts w:ascii="Times New Roman" w:hAnsi="Times New Roman" w:cs="Times New Roman"/>
          <w:sz w:val="24"/>
          <w:szCs w:val="24"/>
          <w:lang w:val="en-US"/>
        </w:rPr>
        <w:t>Oil-Red-O (Sigma–Aldrich</w:t>
      </w:r>
      <w:r w:rsidR="009300CB">
        <w:rPr>
          <w:rFonts w:ascii="Times New Roman" w:hAnsi="Times New Roman" w:cs="Times New Roman"/>
          <w:sz w:val="24"/>
          <w:szCs w:val="24"/>
          <w:lang w:val="en-US"/>
        </w:rPr>
        <w:t xml:space="preserve">) </w:t>
      </w:r>
      <w:r w:rsidRPr="008C4C1D">
        <w:rPr>
          <w:rFonts w:ascii="Times New Roman" w:hAnsi="Times New Roman" w:cs="Times New Roman"/>
          <w:sz w:val="24"/>
          <w:szCs w:val="24"/>
          <w:lang w:val="en-US"/>
        </w:rPr>
        <w:t>staining and visualization under light microscopy</w:t>
      </w:r>
      <w:r>
        <w:rPr>
          <w:rFonts w:ascii="Times New Roman" w:hAnsi="Times New Roman" w:cs="Times New Roman"/>
          <w:sz w:val="24"/>
          <w:szCs w:val="24"/>
          <w:lang w:val="en-US"/>
        </w:rPr>
        <w:t xml:space="preserve">. </w:t>
      </w:r>
    </w:p>
    <w:p w14:paraId="5C32FEF5" w14:textId="75453A7C" w:rsidR="00D316B4" w:rsidRPr="008C4C1D" w:rsidRDefault="008C4C1D" w:rsidP="008C4C1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Additionally, for the assessment of osteogenic differentiation potential </w:t>
      </w:r>
      <w:r w:rsidR="00F85D5E">
        <w:rPr>
          <w:rFonts w:ascii="Times New Roman" w:hAnsi="Times New Roman" w:cs="Times New Roman"/>
          <w:sz w:val="24"/>
          <w:szCs w:val="24"/>
          <w:lang w:val="en-US"/>
        </w:rPr>
        <w:t xml:space="preserve">of DPSCs, seeded cells were cultured with </w:t>
      </w:r>
      <w:proofErr w:type="spellStart"/>
      <w:r w:rsidR="00F85D5E">
        <w:rPr>
          <w:rFonts w:ascii="Times New Roman" w:hAnsi="Times New Roman" w:cs="Times New Roman"/>
          <w:sz w:val="24"/>
          <w:szCs w:val="24"/>
          <w:lang w:val="en-US"/>
        </w:rPr>
        <w:t>osteoegenic</w:t>
      </w:r>
      <w:proofErr w:type="spellEnd"/>
      <w:r w:rsidR="00F85D5E">
        <w:rPr>
          <w:rFonts w:ascii="Times New Roman" w:hAnsi="Times New Roman" w:cs="Times New Roman"/>
          <w:sz w:val="24"/>
          <w:szCs w:val="24"/>
          <w:lang w:val="en-US"/>
        </w:rPr>
        <w:t xml:space="preserve"> medium</w:t>
      </w:r>
      <w:r w:rsidR="00D316B4">
        <w:rPr>
          <w:rFonts w:ascii="Times New Roman" w:hAnsi="Times New Roman" w:cs="Times New Roman"/>
          <w:sz w:val="24"/>
          <w:szCs w:val="24"/>
          <w:lang w:val="en-US"/>
        </w:rPr>
        <w:t xml:space="preserve"> () for 21 days, followed by Alizarin Red S</w:t>
      </w:r>
      <w:r w:rsidR="009300CB">
        <w:rPr>
          <w:rFonts w:ascii="Times New Roman" w:hAnsi="Times New Roman" w:cs="Times New Roman"/>
          <w:sz w:val="24"/>
          <w:szCs w:val="24"/>
          <w:lang w:val="en-US"/>
        </w:rPr>
        <w:t xml:space="preserve"> </w:t>
      </w:r>
      <w:r w:rsidR="009300CB" w:rsidRPr="009300CB">
        <w:rPr>
          <w:rFonts w:ascii="Times New Roman" w:hAnsi="Times New Roman" w:cs="Times New Roman"/>
          <w:sz w:val="24"/>
          <w:szCs w:val="24"/>
          <w:lang w:val="en-US"/>
        </w:rPr>
        <w:t>(Sigma-Aldrich)</w:t>
      </w:r>
      <w:r w:rsidR="00D316B4">
        <w:rPr>
          <w:rFonts w:ascii="Times New Roman" w:hAnsi="Times New Roman" w:cs="Times New Roman"/>
          <w:sz w:val="24"/>
          <w:szCs w:val="24"/>
          <w:lang w:val="en-US"/>
        </w:rPr>
        <w:t xml:space="preserve"> staining and visualization under light microscopy.</w:t>
      </w:r>
    </w:p>
    <w:p w14:paraId="7C8917B9" w14:textId="02B89753" w:rsidR="00CD6FA3" w:rsidRPr="003A1571" w:rsidRDefault="00CD6FA3" w:rsidP="00EE55C5">
      <w:pPr>
        <w:spacing w:line="480" w:lineRule="auto"/>
        <w:jc w:val="both"/>
        <w:rPr>
          <w:rFonts w:ascii="Times New Roman" w:hAnsi="Times New Roman" w:cs="Times New Roman"/>
          <w:b/>
          <w:bCs/>
          <w:sz w:val="24"/>
          <w:szCs w:val="24"/>
          <w:lang w:val="en-US"/>
        </w:rPr>
      </w:pPr>
      <w:r w:rsidRPr="003A1571">
        <w:rPr>
          <w:rFonts w:ascii="Times New Roman" w:hAnsi="Times New Roman" w:cs="Times New Roman"/>
          <w:b/>
          <w:bCs/>
          <w:sz w:val="24"/>
          <w:szCs w:val="24"/>
          <w:lang w:val="en-US"/>
        </w:rPr>
        <w:t>Sample size analysis</w:t>
      </w:r>
    </w:p>
    <w:p w14:paraId="270ED0B7" w14:textId="06C6326C" w:rsidR="00650CBA" w:rsidRPr="003A1571"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lang w:val="en-US"/>
        </w:rPr>
        <w:t>The calculation of the sample size was performed with the "head withdrawal threshold" as the main variable and was based on the mathematical formula:</w:t>
      </w:r>
    </w:p>
    <w:p w14:paraId="7E69C336" w14:textId="77777777" w:rsidR="00650CBA" w:rsidRPr="003A1571" w:rsidRDefault="00650CBA" w:rsidP="00EE55C5">
      <w:pPr>
        <w:spacing w:line="480" w:lineRule="auto"/>
        <w:jc w:val="both"/>
        <w:rPr>
          <w:rFonts w:ascii="Times New Roman" w:hAnsi="Times New Roman" w:cs="Times New Roman"/>
          <w:sz w:val="24"/>
          <w:szCs w:val="24"/>
        </w:rPr>
      </w:pPr>
      <w:r w:rsidRPr="003A1571">
        <w:rPr>
          <w:rFonts w:ascii="Times New Roman" w:hAnsi="Times New Roman" w:cs="Times New Roman"/>
          <w:sz w:val="24"/>
          <w:szCs w:val="24"/>
        </w:rPr>
        <w:t xml:space="preserve">n= 2×(z1-a/2 + </w:t>
      </w:r>
      <w:proofErr w:type="spellStart"/>
      <w:r w:rsidRPr="003A1571">
        <w:rPr>
          <w:rFonts w:ascii="Times New Roman" w:hAnsi="Times New Roman" w:cs="Times New Roman"/>
          <w:sz w:val="24"/>
          <w:szCs w:val="24"/>
        </w:rPr>
        <w:t>zβ</w:t>
      </w:r>
      <w:proofErr w:type="spellEnd"/>
      <w:r w:rsidRPr="003A1571">
        <w:rPr>
          <w:rFonts w:ascii="Times New Roman" w:hAnsi="Times New Roman" w:cs="Times New Roman"/>
          <w:sz w:val="24"/>
          <w:szCs w:val="24"/>
        </w:rPr>
        <w:t xml:space="preserve"> )2×σ2×(1+(m-1)×ρ)/(m×Δ2)</w:t>
      </w:r>
    </w:p>
    <w:p w14:paraId="3A72DA71" w14:textId="77777777" w:rsidR="00650CBA" w:rsidRPr="003A1571"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rPr>
        <w:t xml:space="preserve">  </w:t>
      </w:r>
      <w:r w:rsidRPr="003A1571">
        <w:rPr>
          <w:rFonts w:ascii="Times New Roman" w:hAnsi="Times New Roman" w:cs="Times New Roman"/>
          <w:sz w:val="24"/>
          <w:szCs w:val="24"/>
          <w:lang w:val="en-US"/>
        </w:rPr>
        <w:t>= 2×(z1-a/2 + z</w:t>
      </w:r>
      <w:r w:rsidRPr="003A1571">
        <w:rPr>
          <w:rFonts w:ascii="Times New Roman" w:hAnsi="Times New Roman" w:cs="Times New Roman"/>
          <w:sz w:val="24"/>
          <w:szCs w:val="24"/>
        </w:rPr>
        <w:t>β</w:t>
      </w:r>
      <w:r w:rsidRPr="003A1571">
        <w:rPr>
          <w:rFonts w:ascii="Times New Roman" w:hAnsi="Times New Roman" w:cs="Times New Roman"/>
          <w:sz w:val="24"/>
          <w:szCs w:val="24"/>
          <w:lang w:val="en-US"/>
        </w:rPr>
        <w:t xml:space="preserve"> )2×(</w:t>
      </w:r>
      <w:r w:rsidRPr="003A1571">
        <w:rPr>
          <w:rFonts w:ascii="Times New Roman" w:hAnsi="Times New Roman" w:cs="Times New Roman"/>
          <w:sz w:val="24"/>
          <w:szCs w:val="24"/>
        </w:rPr>
        <w:t>σ</w:t>
      </w:r>
      <w:r w:rsidRPr="003A1571">
        <w:rPr>
          <w:rFonts w:ascii="Times New Roman" w:hAnsi="Times New Roman" w:cs="Times New Roman"/>
          <w:sz w:val="24"/>
          <w:szCs w:val="24"/>
          <w:lang w:val="en-US"/>
        </w:rPr>
        <w:t xml:space="preserve">2/ </w:t>
      </w:r>
      <w:r w:rsidRPr="003A1571">
        <w:rPr>
          <w:rFonts w:ascii="Times New Roman" w:hAnsi="Times New Roman" w:cs="Times New Roman"/>
          <w:sz w:val="24"/>
          <w:szCs w:val="24"/>
        </w:rPr>
        <w:t>Δ</w:t>
      </w:r>
      <w:r w:rsidRPr="003A1571">
        <w:rPr>
          <w:rFonts w:ascii="Times New Roman" w:hAnsi="Times New Roman" w:cs="Times New Roman"/>
          <w:sz w:val="24"/>
          <w:szCs w:val="24"/>
          <w:lang w:val="en-US"/>
        </w:rPr>
        <w:t>2)×(1+(m-1)×</w:t>
      </w:r>
      <w:r w:rsidRPr="003A1571">
        <w:rPr>
          <w:rFonts w:ascii="Times New Roman" w:hAnsi="Times New Roman" w:cs="Times New Roman"/>
          <w:sz w:val="24"/>
          <w:szCs w:val="24"/>
        </w:rPr>
        <w:t>ρ</w:t>
      </w:r>
      <w:r w:rsidRPr="003A1571">
        <w:rPr>
          <w:rFonts w:ascii="Times New Roman" w:hAnsi="Times New Roman" w:cs="Times New Roman"/>
          <w:sz w:val="24"/>
          <w:szCs w:val="24"/>
          <w:lang w:val="en-US"/>
        </w:rPr>
        <w:t>)/m                                                       (1)</w:t>
      </w:r>
    </w:p>
    <w:p w14:paraId="6332E336" w14:textId="77777777" w:rsidR="00650CBA" w:rsidRPr="003A1571"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lang w:val="en-US"/>
        </w:rPr>
        <w:t>presented by H. Brown &amp; R. Prescott [21]. It applies to designs with repeated measurements, where the dependent variable follows a normal distribution and the sphericity assumption is applied [21].</w:t>
      </w:r>
    </w:p>
    <w:p w14:paraId="3243775E" w14:textId="79764963" w:rsidR="00650CBA" w:rsidRPr="003A1571"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lang w:val="en-US"/>
        </w:rPr>
        <w:lastRenderedPageBreak/>
        <w:t xml:space="preserve">In formula (1) the ratio </w:t>
      </w:r>
      <w:r w:rsidRPr="003A1571">
        <w:rPr>
          <w:rFonts w:ascii="Times New Roman" w:hAnsi="Times New Roman" w:cs="Times New Roman"/>
          <w:sz w:val="24"/>
          <w:szCs w:val="24"/>
        </w:rPr>
        <w:t>Δ</w:t>
      </w:r>
      <w:r w:rsidRPr="003A1571">
        <w:rPr>
          <w:rFonts w:ascii="Times New Roman" w:hAnsi="Times New Roman" w:cs="Times New Roman"/>
          <w:sz w:val="24"/>
          <w:szCs w:val="24"/>
          <w:lang w:val="en-US"/>
        </w:rPr>
        <w:t>/</w:t>
      </w:r>
      <w:r w:rsidRPr="003A1571">
        <w:rPr>
          <w:rFonts w:ascii="Times New Roman" w:hAnsi="Times New Roman" w:cs="Times New Roman"/>
          <w:sz w:val="24"/>
          <w:szCs w:val="24"/>
        </w:rPr>
        <w:t>σ</w:t>
      </w:r>
      <w:r w:rsidRPr="003A1571">
        <w:rPr>
          <w:rFonts w:ascii="Times New Roman" w:hAnsi="Times New Roman" w:cs="Times New Roman"/>
          <w:sz w:val="24"/>
          <w:szCs w:val="24"/>
          <w:lang w:val="en-US"/>
        </w:rPr>
        <w:t xml:space="preserve"> corresponds to the ratio of the mean difference between the experimental and control groups to the standard deviation of the measurements (</w:t>
      </w:r>
      <w:r w:rsidRPr="003A1571">
        <w:rPr>
          <w:rFonts w:ascii="Times New Roman" w:hAnsi="Times New Roman" w:cs="Times New Roman"/>
          <w:sz w:val="24"/>
          <w:szCs w:val="24"/>
        </w:rPr>
        <w:t>σ</w:t>
      </w:r>
      <w:r w:rsidRPr="003A1571">
        <w:rPr>
          <w:rFonts w:ascii="Times New Roman" w:hAnsi="Times New Roman" w:cs="Times New Roman"/>
          <w:sz w:val="24"/>
          <w:szCs w:val="24"/>
          <w:lang w:val="en-US"/>
        </w:rPr>
        <w:t xml:space="preserve">2 is the between-patient variation). This ratio (inverse of the coefficient of variation) devoid of units of measurement was approximated by the article by Wu et al. 2010 [22] and was used for the initial estimation of the study sample size. More precisely, from a bar chart that depicts the mean and standard error of the 'head withdrawal threshold' variable, it was estimated that after the experimental OA, an average decrease of 21.5 points was observed while the standard deviation was calculated to be √5. × 5 = 11.18, where value 5 corresponds to the standard error (SE) of the mean and √5 is the square root of the number of laboratory animals (sample size in reference article [22] which gave estimates after OA challenge). Using the previous values, </w:t>
      </w:r>
      <w:r w:rsidRPr="003A1571">
        <w:rPr>
          <w:rFonts w:ascii="Times New Roman" w:hAnsi="Times New Roman" w:cs="Times New Roman"/>
          <w:sz w:val="24"/>
          <w:szCs w:val="24"/>
        </w:rPr>
        <w:t>Δ</w:t>
      </w:r>
      <w:r w:rsidRPr="003A1571">
        <w:rPr>
          <w:rFonts w:ascii="Times New Roman" w:hAnsi="Times New Roman" w:cs="Times New Roman"/>
          <w:sz w:val="24"/>
          <w:szCs w:val="24"/>
          <w:lang w:val="en-US"/>
        </w:rPr>
        <w:t xml:space="preserve"> / </w:t>
      </w:r>
      <w:r w:rsidRPr="003A1571">
        <w:rPr>
          <w:rFonts w:ascii="Times New Roman" w:hAnsi="Times New Roman" w:cs="Times New Roman"/>
          <w:sz w:val="24"/>
          <w:szCs w:val="24"/>
        </w:rPr>
        <w:t>σ</w:t>
      </w:r>
      <w:r w:rsidRPr="003A1571">
        <w:rPr>
          <w:rFonts w:ascii="Times New Roman" w:hAnsi="Times New Roman" w:cs="Times New Roman"/>
          <w:sz w:val="24"/>
          <w:szCs w:val="24"/>
          <w:lang w:val="en-US"/>
        </w:rPr>
        <w:t xml:space="preserve"> = 1.9 was calculated and this value was used in formula (1). In </w:t>
      </w:r>
      <w:r w:rsidR="008D5259" w:rsidRPr="003A1571">
        <w:rPr>
          <w:rFonts w:ascii="Times New Roman" w:hAnsi="Times New Roman" w:cs="Times New Roman"/>
          <w:sz w:val="24"/>
          <w:szCs w:val="24"/>
          <w:lang w:val="en-US"/>
        </w:rPr>
        <w:t>addition,</w:t>
      </w:r>
      <w:r w:rsidRPr="003A1571">
        <w:rPr>
          <w:rFonts w:ascii="Times New Roman" w:hAnsi="Times New Roman" w:cs="Times New Roman"/>
          <w:sz w:val="24"/>
          <w:szCs w:val="24"/>
          <w:lang w:val="en-US"/>
        </w:rPr>
        <w:t xml:space="preserve"> it was assumed that there would be m = 4 repetitive measurements (2 measurement times, before OA application and after treatment completion and two left and right side measurements of each animal, one of which will be used as control). The probability of a Type I error (level of statistical significance) was set at alpha = 0.05 (hence z1-a / 2 = 1.964), study power equal to 80% (hence </w:t>
      </w:r>
      <w:proofErr w:type="spellStart"/>
      <w:r w:rsidRPr="003A1571">
        <w:rPr>
          <w:rFonts w:ascii="Times New Roman" w:hAnsi="Times New Roman" w:cs="Times New Roman"/>
          <w:sz w:val="24"/>
          <w:szCs w:val="24"/>
          <w:lang w:val="en-US"/>
        </w:rPr>
        <w:t>zb</w:t>
      </w:r>
      <w:proofErr w:type="spellEnd"/>
      <w:r w:rsidRPr="003A1571">
        <w:rPr>
          <w:rFonts w:ascii="Times New Roman" w:hAnsi="Times New Roman" w:cs="Times New Roman"/>
          <w:sz w:val="24"/>
          <w:szCs w:val="24"/>
          <w:lang w:val="en-US"/>
        </w:rPr>
        <w:t xml:space="preserve"> = 0.842), and the linear correlation coefficient between replicates, equal to p = 0.5. So formula (1) gave:</w:t>
      </w:r>
    </w:p>
    <w:p w14:paraId="61472870" w14:textId="77777777" w:rsidR="00650CBA" w:rsidRPr="003A1571"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lang w:val="en-US"/>
        </w:rPr>
        <w:t>n = 2 × (1.96 + 0.842) 2 × (1.9) 2 × (1 + 3 × 0.5) / 4 = 19.1</w:t>
      </w:r>
    </w:p>
    <w:p w14:paraId="01E741FC" w14:textId="77777777" w:rsidR="00650CBA" w:rsidRPr="003A1571"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lang w:val="en-US"/>
        </w:rPr>
        <w:t>that is, 19 laboratory animals per group. However, considering that there may be up to 10% loss, attrition rate = 10%, the final number per group is set to:</w:t>
      </w:r>
    </w:p>
    <w:p w14:paraId="1FDB063D" w14:textId="77777777" w:rsidR="00650CBA" w:rsidRPr="003A1571"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lang w:val="en-US"/>
        </w:rPr>
        <w:t>n = 19 × 100 / (100-10) = 21.</w:t>
      </w:r>
    </w:p>
    <w:p w14:paraId="308B13A7" w14:textId="77777777" w:rsidR="00650CBA" w:rsidRPr="003A1571"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lang w:val="en-US"/>
        </w:rPr>
        <w:t xml:space="preserve">Therefore, the initial estimate is that 21 laboratory animals will be needed so that the study has an 80% chance of showing a statistically significant difference between the </w:t>
      </w:r>
      <w:r w:rsidRPr="003A1571">
        <w:rPr>
          <w:rFonts w:ascii="Times New Roman" w:hAnsi="Times New Roman" w:cs="Times New Roman"/>
          <w:sz w:val="24"/>
          <w:szCs w:val="24"/>
          <w:lang w:val="en-US"/>
        </w:rPr>
        <w:lastRenderedPageBreak/>
        <w:t>experimental and the control group, almost equal to the improvement near complete recovery.</w:t>
      </w:r>
    </w:p>
    <w:p w14:paraId="627DAEB4" w14:textId="77777777" w:rsidR="00EE55C5" w:rsidRDefault="00650CBA" w:rsidP="00EE55C5">
      <w:pPr>
        <w:spacing w:line="480" w:lineRule="auto"/>
        <w:jc w:val="both"/>
        <w:rPr>
          <w:rFonts w:ascii="Times New Roman" w:hAnsi="Times New Roman" w:cs="Times New Roman"/>
          <w:sz w:val="24"/>
          <w:szCs w:val="24"/>
          <w:lang w:val="en-US"/>
        </w:rPr>
      </w:pPr>
      <w:r w:rsidRPr="003A1571">
        <w:rPr>
          <w:rFonts w:ascii="Times New Roman" w:hAnsi="Times New Roman" w:cs="Times New Roman"/>
          <w:sz w:val="24"/>
          <w:szCs w:val="24"/>
          <w:lang w:val="en-US"/>
        </w:rPr>
        <w:t>The randomization of the laboratory animals to the control joint will be done by block randomization.</w:t>
      </w:r>
    </w:p>
    <w:p w14:paraId="22C22463" w14:textId="6982C37E" w:rsidR="00D316B4" w:rsidRDefault="00D316B4" w:rsidP="00EE55C5">
      <w:pPr>
        <w:spacing w:line="480" w:lineRule="auto"/>
        <w:jc w:val="both"/>
        <w:rPr>
          <w:rFonts w:ascii="Times New Roman" w:hAnsi="Times New Roman" w:cs="Times New Roman"/>
          <w:b/>
          <w:bCs/>
          <w:sz w:val="24"/>
          <w:szCs w:val="24"/>
          <w:lang w:val="en-US"/>
        </w:rPr>
      </w:pPr>
      <w:r w:rsidRPr="00D316B4">
        <w:rPr>
          <w:rFonts w:ascii="Times New Roman" w:hAnsi="Times New Roman" w:cs="Times New Roman"/>
          <w:b/>
          <w:bCs/>
          <w:sz w:val="24"/>
          <w:szCs w:val="24"/>
          <w:lang w:val="en-US"/>
        </w:rPr>
        <w:t>Results</w:t>
      </w:r>
    </w:p>
    <w:p w14:paraId="0D1D3F89" w14:textId="27367FD5" w:rsidR="009300CB" w:rsidRDefault="009300CB" w:rsidP="00EE55C5">
      <w:pPr>
        <w:spacing w:line="48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Adipogenic</w:t>
      </w:r>
      <w:proofErr w:type="spellEnd"/>
      <w:r>
        <w:rPr>
          <w:rFonts w:ascii="Times New Roman" w:hAnsi="Times New Roman" w:cs="Times New Roman"/>
          <w:b/>
          <w:bCs/>
          <w:sz w:val="24"/>
          <w:szCs w:val="24"/>
          <w:lang w:val="en-US"/>
        </w:rPr>
        <w:t xml:space="preserve"> and osteogenic differentiation of DSPCs</w:t>
      </w:r>
    </w:p>
    <w:p w14:paraId="63188110" w14:textId="7E4849A9" w:rsidR="009300CB" w:rsidRPr="009300CB" w:rsidRDefault="009300CB" w:rsidP="009300CB">
      <w:pPr>
        <w:spacing w:line="480" w:lineRule="auto"/>
        <w:jc w:val="both"/>
        <w:rPr>
          <w:rFonts w:ascii="Times New Roman" w:hAnsi="Times New Roman" w:cs="Times New Roman"/>
          <w:sz w:val="24"/>
          <w:szCs w:val="24"/>
          <w:lang w:val="en-US"/>
        </w:rPr>
      </w:pPr>
      <w:proofErr w:type="spellStart"/>
      <w:r w:rsidRPr="009300CB">
        <w:rPr>
          <w:rFonts w:ascii="Times New Roman" w:hAnsi="Times New Roman" w:cs="Times New Roman"/>
          <w:sz w:val="24"/>
          <w:szCs w:val="24"/>
          <w:lang w:val="en-US"/>
        </w:rPr>
        <w:t>Adipogenic</w:t>
      </w:r>
      <w:proofErr w:type="spellEnd"/>
      <w:r w:rsidRPr="009300CB">
        <w:rPr>
          <w:rFonts w:ascii="Times New Roman" w:hAnsi="Times New Roman" w:cs="Times New Roman"/>
          <w:sz w:val="24"/>
          <w:szCs w:val="24"/>
          <w:lang w:val="en-US"/>
        </w:rPr>
        <w:t xml:space="preserve"> differentiation </w:t>
      </w:r>
      <w:r>
        <w:rPr>
          <w:rFonts w:ascii="Times New Roman" w:hAnsi="Times New Roman" w:cs="Times New Roman"/>
          <w:sz w:val="24"/>
          <w:szCs w:val="24"/>
          <w:lang w:val="en-US"/>
        </w:rPr>
        <w:t xml:space="preserve">of DPSCs </w:t>
      </w:r>
      <w:r w:rsidRPr="009300CB">
        <w:rPr>
          <w:rFonts w:ascii="Times New Roman" w:hAnsi="Times New Roman" w:cs="Times New Roman"/>
          <w:sz w:val="24"/>
          <w:szCs w:val="24"/>
          <w:lang w:val="en-US"/>
        </w:rPr>
        <w:t>was shown by formation of Oil-Red-O positive,</w:t>
      </w:r>
      <w:r>
        <w:rPr>
          <w:rFonts w:ascii="Times New Roman" w:hAnsi="Times New Roman" w:cs="Times New Roman"/>
          <w:sz w:val="24"/>
          <w:szCs w:val="24"/>
          <w:lang w:val="en-US"/>
        </w:rPr>
        <w:t xml:space="preserve"> </w:t>
      </w:r>
      <w:r w:rsidRPr="009300CB">
        <w:rPr>
          <w:rFonts w:ascii="Times New Roman" w:hAnsi="Times New Roman" w:cs="Times New Roman"/>
          <w:sz w:val="24"/>
          <w:szCs w:val="24"/>
          <w:lang w:val="en-US"/>
        </w:rPr>
        <w:t>lipid-rich</w:t>
      </w:r>
      <w:r>
        <w:rPr>
          <w:rFonts w:ascii="Times New Roman" w:hAnsi="Times New Roman" w:cs="Times New Roman"/>
          <w:sz w:val="24"/>
          <w:szCs w:val="24"/>
          <w:lang w:val="en-US"/>
        </w:rPr>
        <w:t xml:space="preserve"> </w:t>
      </w:r>
      <w:r w:rsidRPr="009300CB">
        <w:rPr>
          <w:rFonts w:ascii="Times New Roman" w:hAnsi="Times New Roman" w:cs="Times New Roman"/>
          <w:sz w:val="24"/>
          <w:szCs w:val="24"/>
          <w:lang w:val="en-US"/>
        </w:rPr>
        <w:t>vacuoles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Supl</w:t>
      </w:r>
      <w:proofErr w:type="spellEnd"/>
      <w:r>
        <w:rPr>
          <w:rFonts w:ascii="Times New Roman" w:hAnsi="Times New Roman" w:cs="Times New Roman"/>
          <w:sz w:val="24"/>
          <w:szCs w:val="24"/>
          <w:lang w:val="en-US"/>
        </w:rPr>
        <w:t>. Fig. 1a), while osteogenic differentiation of DPSCs was shown by calcified deposits as shown by the positive Alizarine Red S staining (</w:t>
      </w:r>
      <w:proofErr w:type="spellStart"/>
      <w:r>
        <w:rPr>
          <w:rFonts w:ascii="Times New Roman" w:hAnsi="Times New Roman" w:cs="Times New Roman"/>
          <w:sz w:val="24"/>
          <w:szCs w:val="24"/>
          <w:lang w:val="en-US"/>
        </w:rPr>
        <w:t>Supl</w:t>
      </w:r>
      <w:proofErr w:type="spellEnd"/>
      <w:r>
        <w:rPr>
          <w:rFonts w:ascii="Times New Roman" w:hAnsi="Times New Roman" w:cs="Times New Roman"/>
          <w:sz w:val="24"/>
          <w:szCs w:val="24"/>
          <w:lang w:val="en-US"/>
        </w:rPr>
        <w:t>. Fig. 1b).</w:t>
      </w:r>
    </w:p>
    <w:p w14:paraId="45BE1076" w14:textId="77777777" w:rsidR="009300CB" w:rsidRDefault="009300CB" w:rsidP="009300CB">
      <w:pPr>
        <w:rPr>
          <w:rFonts w:ascii="Times New Roman" w:hAnsi="Times New Roman" w:cs="Times New Roman"/>
          <w:b/>
          <w:bCs/>
          <w:sz w:val="24"/>
          <w:szCs w:val="24"/>
          <w:lang w:val="en-US"/>
        </w:rPr>
      </w:pPr>
      <w:r w:rsidRPr="009C5F8E">
        <w:rPr>
          <w:rFonts w:ascii="Times New Roman" w:hAnsi="Times New Roman" w:cs="Times New Roman"/>
          <w:b/>
          <w:bCs/>
          <w:sz w:val="24"/>
          <w:szCs w:val="24"/>
          <w:lang w:val="en-US"/>
        </w:rPr>
        <w:t>Supplementary Figures</w:t>
      </w:r>
    </w:p>
    <w:p w14:paraId="7481328B" w14:textId="7DBF588B" w:rsidR="009C5F8E" w:rsidRPr="009300CB" w:rsidRDefault="009300CB" w:rsidP="00EE55C5">
      <w:pPr>
        <w:spacing w:line="480" w:lineRule="auto"/>
        <w:jc w:val="both"/>
        <w:rPr>
          <w:rFonts w:ascii="Times New Roman" w:hAnsi="Times New Roman" w:cs="Times New Roman"/>
          <w:sz w:val="24"/>
          <w:szCs w:val="24"/>
          <w:lang w:val="en-US"/>
        </w:rPr>
      </w:pPr>
      <w:r>
        <w:rPr>
          <w:noProof/>
        </w:rPr>
        <w:drawing>
          <wp:inline distT="0" distB="0" distL="0" distR="0" wp14:anchorId="1FE74C74" wp14:editId="41D11DC6">
            <wp:extent cx="4714240" cy="2185035"/>
            <wp:effectExtent l="0" t="0" r="0" b="5715"/>
            <wp:docPr id="1432968181" name="Εικόνα 1" descr="Εικόνα που περιέχει στιγμιότυπο οθόνης, τέχ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68181" name="Εικόνα 1" descr="Εικόνα που περιέχει στιγμιότυπο οθόνης, τέχνη&#10;&#10;Περιγραφή που δημιουργήθηκε αυτόματα"/>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14240" cy="2185035"/>
                    </a:xfrm>
                    <a:prstGeom prst="rect">
                      <a:avLst/>
                    </a:prstGeom>
                    <a:noFill/>
                    <a:ln>
                      <a:noFill/>
                    </a:ln>
                  </pic:spPr>
                </pic:pic>
              </a:graphicData>
            </a:graphic>
          </wp:inline>
        </w:drawing>
      </w:r>
    </w:p>
    <w:p w14:paraId="521329C0" w14:textId="1104F0C1" w:rsidR="00D316B4" w:rsidRPr="003A1571" w:rsidRDefault="00D316B4" w:rsidP="00D316B4">
      <w:pPr>
        <w:spacing w:line="480" w:lineRule="auto"/>
        <w:jc w:val="both"/>
        <w:rPr>
          <w:rFonts w:ascii="Times New Roman" w:eastAsia="Calibri" w:hAnsi="Times New Roman" w:cs="Times New Roman"/>
          <w:sz w:val="24"/>
          <w:szCs w:val="24"/>
          <w:lang w:val="en-US" w:eastAsia="el-GR"/>
        </w:rPr>
      </w:pPr>
      <w:r w:rsidRPr="00D316B4">
        <w:rPr>
          <w:rFonts w:ascii="Times New Roman" w:eastAsia="Calibri" w:hAnsi="Times New Roman" w:cs="Times New Roman"/>
          <w:b/>
          <w:bCs/>
          <w:sz w:val="24"/>
          <w:szCs w:val="24"/>
          <w:lang w:val="en-US" w:eastAsia="el-GR"/>
        </w:rPr>
        <w:t>Supplementary Fig. 1</w:t>
      </w:r>
      <w:r>
        <w:rPr>
          <w:rFonts w:ascii="Times New Roman" w:eastAsia="Calibri" w:hAnsi="Times New Roman" w:cs="Times New Roman"/>
          <w:sz w:val="24"/>
          <w:szCs w:val="24"/>
          <w:lang w:val="en-US" w:eastAsia="el-GR"/>
        </w:rPr>
        <w:t xml:space="preserve"> </w:t>
      </w:r>
      <w:r w:rsidRPr="00D316B4">
        <w:rPr>
          <w:rFonts w:ascii="Times New Roman" w:eastAsia="Calibri" w:hAnsi="Times New Roman" w:cs="Times New Roman"/>
          <w:sz w:val="24"/>
          <w:szCs w:val="24"/>
          <w:lang w:val="en-US" w:eastAsia="el-GR"/>
        </w:rPr>
        <w:t xml:space="preserve">Optical microscopy image of </w:t>
      </w:r>
      <w:r w:rsidR="009300CB">
        <w:rPr>
          <w:rFonts w:ascii="Times New Roman" w:eastAsia="Calibri" w:hAnsi="Times New Roman" w:cs="Times New Roman"/>
          <w:sz w:val="24"/>
          <w:szCs w:val="24"/>
          <w:lang w:val="en-US" w:eastAsia="el-GR"/>
        </w:rPr>
        <w:t>Oil-Red-O (a) and Alizarin Red S (b)</w:t>
      </w:r>
      <w:r w:rsidRPr="00D316B4">
        <w:rPr>
          <w:rFonts w:ascii="Times New Roman" w:eastAsia="Calibri" w:hAnsi="Times New Roman" w:cs="Times New Roman"/>
          <w:sz w:val="24"/>
          <w:szCs w:val="24"/>
          <w:lang w:val="en-US" w:eastAsia="el-GR"/>
        </w:rPr>
        <w:t xml:space="preserve"> staining of</w:t>
      </w:r>
      <w:r w:rsidR="009300CB">
        <w:rPr>
          <w:rFonts w:ascii="Times New Roman" w:eastAsia="Calibri" w:hAnsi="Times New Roman" w:cs="Times New Roman"/>
          <w:sz w:val="24"/>
          <w:szCs w:val="24"/>
          <w:lang w:val="en-US" w:eastAsia="el-GR"/>
        </w:rPr>
        <w:t xml:space="preserve"> </w:t>
      </w:r>
      <w:r w:rsidRPr="00D316B4">
        <w:rPr>
          <w:rFonts w:ascii="Times New Roman" w:eastAsia="Calibri" w:hAnsi="Times New Roman" w:cs="Times New Roman"/>
          <w:sz w:val="24"/>
          <w:szCs w:val="24"/>
          <w:lang w:val="en-US" w:eastAsia="el-GR"/>
        </w:rPr>
        <w:t xml:space="preserve">DPSCs in 2D TCPS surfaces when exposed to </w:t>
      </w:r>
      <w:proofErr w:type="spellStart"/>
      <w:r w:rsidR="009300CB">
        <w:rPr>
          <w:rFonts w:ascii="Times New Roman" w:eastAsia="Calibri" w:hAnsi="Times New Roman" w:cs="Times New Roman"/>
          <w:sz w:val="24"/>
          <w:szCs w:val="24"/>
          <w:lang w:val="en-US" w:eastAsia="el-GR"/>
        </w:rPr>
        <w:t>adipogenic</w:t>
      </w:r>
      <w:proofErr w:type="spellEnd"/>
      <w:r w:rsidR="009300CB">
        <w:rPr>
          <w:rFonts w:ascii="Times New Roman" w:eastAsia="Calibri" w:hAnsi="Times New Roman" w:cs="Times New Roman"/>
          <w:sz w:val="24"/>
          <w:szCs w:val="24"/>
          <w:lang w:val="en-US" w:eastAsia="el-GR"/>
        </w:rPr>
        <w:t xml:space="preserve"> and osteogenic</w:t>
      </w:r>
      <w:r w:rsidRPr="00D316B4">
        <w:rPr>
          <w:rFonts w:ascii="Times New Roman" w:eastAsia="Calibri" w:hAnsi="Times New Roman" w:cs="Times New Roman"/>
          <w:sz w:val="24"/>
          <w:szCs w:val="24"/>
          <w:lang w:val="en-US" w:eastAsia="el-GR"/>
        </w:rPr>
        <w:t xml:space="preserve"> medium</w:t>
      </w:r>
      <w:r w:rsidR="009300CB">
        <w:rPr>
          <w:rFonts w:ascii="Times New Roman" w:eastAsia="Calibri" w:hAnsi="Times New Roman" w:cs="Times New Roman"/>
          <w:sz w:val="24"/>
          <w:szCs w:val="24"/>
          <w:lang w:val="en-US" w:eastAsia="el-GR"/>
        </w:rPr>
        <w:t xml:space="preserve">, respectively, </w:t>
      </w:r>
      <w:r w:rsidRPr="00D316B4">
        <w:rPr>
          <w:rFonts w:ascii="Times New Roman" w:eastAsia="Calibri" w:hAnsi="Times New Roman" w:cs="Times New Roman"/>
          <w:sz w:val="24"/>
          <w:szCs w:val="24"/>
          <w:lang w:val="en-US" w:eastAsia="el-GR"/>
        </w:rPr>
        <w:t>for 21 days</w:t>
      </w:r>
      <w:r w:rsidR="009300CB">
        <w:rPr>
          <w:rFonts w:ascii="Times New Roman" w:eastAsia="Calibri" w:hAnsi="Times New Roman" w:cs="Times New Roman"/>
          <w:sz w:val="24"/>
          <w:szCs w:val="24"/>
          <w:lang w:val="en-US" w:eastAsia="el-GR"/>
        </w:rPr>
        <w:t>.</w:t>
      </w:r>
    </w:p>
    <w:p w14:paraId="7917BA02" w14:textId="1DDB36E6" w:rsidR="009C5F8E" w:rsidRDefault="009C5F8E" w:rsidP="00650CBA">
      <w:pPr>
        <w:rPr>
          <w:rFonts w:ascii="Times New Roman" w:hAnsi="Times New Roman" w:cs="Times New Roman"/>
          <w:b/>
          <w:bCs/>
          <w:sz w:val="24"/>
          <w:szCs w:val="24"/>
          <w:lang w:val="en-US"/>
        </w:rPr>
      </w:pPr>
      <w:r>
        <w:rPr>
          <w:noProof/>
        </w:rPr>
        <w:lastRenderedPageBreak/>
        <w:drawing>
          <wp:inline distT="0" distB="0" distL="0" distR="0" wp14:anchorId="7DD5CB5A" wp14:editId="00802490">
            <wp:extent cx="5274310" cy="5729605"/>
            <wp:effectExtent l="0" t="0" r="2540" b="4445"/>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5729605"/>
                    </a:xfrm>
                    <a:prstGeom prst="rect">
                      <a:avLst/>
                    </a:prstGeom>
                    <a:noFill/>
                    <a:ln>
                      <a:noFill/>
                    </a:ln>
                  </pic:spPr>
                </pic:pic>
              </a:graphicData>
            </a:graphic>
          </wp:inline>
        </w:drawing>
      </w:r>
    </w:p>
    <w:p w14:paraId="25E5032E" w14:textId="24D6711D" w:rsidR="009C5F8E" w:rsidRPr="009C5F8E" w:rsidRDefault="009C5F8E" w:rsidP="009C5F8E">
      <w:pPr>
        <w:spacing w:line="480" w:lineRule="auto"/>
        <w:jc w:val="both"/>
        <w:rPr>
          <w:rFonts w:eastAsiaTheme="minorEastAsia"/>
          <w:lang w:val="en-US" w:eastAsia="el-GR"/>
        </w:rPr>
      </w:pPr>
      <w:r w:rsidRPr="009C5F8E">
        <w:rPr>
          <w:rFonts w:eastAsiaTheme="minorEastAsia"/>
          <w:b/>
          <w:bCs/>
          <w:lang w:val="en-US" w:eastAsia="el-GR"/>
        </w:rPr>
        <w:t xml:space="preserve">Supplementary Fig. </w:t>
      </w:r>
      <w:r w:rsidR="00D316B4">
        <w:rPr>
          <w:rFonts w:eastAsiaTheme="minorEastAsia"/>
          <w:b/>
          <w:bCs/>
          <w:lang w:val="en-US" w:eastAsia="el-GR"/>
        </w:rPr>
        <w:t>2</w:t>
      </w:r>
      <w:r w:rsidRPr="009C5F8E">
        <w:rPr>
          <w:rFonts w:eastAsiaTheme="minorEastAsia"/>
          <w:b/>
          <w:bCs/>
          <w:lang w:val="en-US" w:eastAsia="el-GR"/>
        </w:rPr>
        <w:t>A</w:t>
      </w:r>
      <w:r w:rsidRPr="009C5F8E">
        <w:rPr>
          <w:rFonts w:eastAsiaTheme="minorEastAsia"/>
          <w:lang w:val="en-US" w:eastAsia="el-GR"/>
        </w:rPr>
        <w:t xml:space="preserve"> Morphological assessment of DPSCs after the application of preconditioning. (a) Control DPSCs and (b) DPSCs preconditioned in 5% hypoxia and TNF-a. TNF-a preconditioning for 24h and 5% hypoxia for 72h affects the morphology of the cells, since cells adopt an elongated morphology. </w:t>
      </w:r>
      <w:r w:rsidR="00D316B4">
        <w:rPr>
          <w:rFonts w:eastAsiaTheme="minorEastAsia"/>
          <w:b/>
          <w:bCs/>
          <w:lang w:val="en-US" w:eastAsia="el-GR"/>
        </w:rPr>
        <w:t>2</w:t>
      </w:r>
      <w:r w:rsidRPr="009C5F8E">
        <w:rPr>
          <w:rFonts w:eastAsiaTheme="minorEastAsia"/>
          <w:b/>
          <w:bCs/>
          <w:lang w:val="en-US" w:eastAsia="el-GR"/>
        </w:rPr>
        <w:t>B</w:t>
      </w:r>
      <w:r w:rsidRPr="009C5F8E">
        <w:rPr>
          <w:rFonts w:eastAsiaTheme="minorEastAsia"/>
          <w:lang w:val="en-US" w:eastAsia="el-GR"/>
        </w:rPr>
        <w:t xml:space="preserve"> Cytotoxicity assessment of the preconditioning methods on DPSCs.</w:t>
      </w:r>
    </w:p>
    <w:p w14:paraId="5DB7D2ED" w14:textId="77777777" w:rsidR="009C5F8E" w:rsidRPr="009C5F8E" w:rsidRDefault="009C5F8E" w:rsidP="009C5F8E">
      <w:pPr>
        <w:spacing w:line="480" w:lineRule="auto"/>
        <w:jc w:val="both"/>
        <w:rPr>
          <w:rFonts w:ascii="Times New Roman" w:eastAsiaTheme="minorEastAsia" w:hAnsi="Times New Roman" w:cs="Times New Roman"/>
          <w:sz w:val="20"/>
          <w:szCs w:val="20"/>
          <w:lang w:val="en-US" w:eastAsia="el-GR"/>
        </w:rPr>
      </w:pPr>
      <w:r w:rsidRPr="009C5F8E">
        <w:rPr>
          <w:rFonts w:eastAsiaTheme="minorEastAsia"/>
          <w:noProof/>
          <w:lang w:eastAsia="el-GR"/>
        </w:rPr>
        <w:lastRenderedPageBreak/>
        <w:drawing>
          <wp:inline distT="0" distB="0" distL="0" distR="0" wp14:anchorId="6FDA8CEE" wp14:editId="2E5D6D1D">
            <wp:extent cx="5274310" cy="3113405"/>
            <wp:effectExtent l="0" t="0" r="2540" b="0"/>
            <wp:docPr id="22" name="Εικόνα 22"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Εικόνα 22" descr="Εικόνα που περιέχει διάγραμμα&#10;&#10;Περιγραφή που δημιουργήθηκε αυτόματ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113405"/>
                    </a:xfrm>
                    <a:prstGeom prst="rect">
                      <a:avLst/>
                    </a:prstGeom>
                    <a:noFill/>
                    <a:ln>
                      <a:noFill/>
                    </a:ln>
                  </pic:spPr>
                </pic:pic>
              </a:graphicData>
            </a:graphic>
          </wp:inline>
        </w:drawing>
      </w:r>
    </w:p>
    <w:p w14:paraId="7023B86B" w14:textId="496660EF" w:rsidR="009C5F8E" w:rsidRPr="009C5F8E" w:rsidRDefault="009C5F8E" w:rsidP="009C5F8E">
      <w:pPr>
        <w:spacing w:line="480" w:lineRule="auto"/>
        <w:jc w:val="both"/>
        <w:rPr>
          <w:rFonts w:eastAsiaTheme="minorEastAsia"/>
          <w:lang w:val="en-US" w:eastAsia="el-GR"/>
        </w:rPr>
      </w:pPr>
      <w:r w:rsidRPr="009C5F8E">
        <w:rPr>
          <w:rFonts w:eastAsiaTheme="minorEastAsia"/>
          <w:b/>
          <w:bCs/>
          <w:lang w:val="en-US" w:eastAsia="el-GR"/>
        </w:rPr>
        <w:t xml:space="preserve">Supplementary Fig. </w:t>
      </w:r>
      <w:r w:rsidR="00D316B4">
        <w:rPr>
          <w:rFonts w:eastAsiaTheme="minorEastAsia"/>
          <w:b/>
          <w:bCs/>
          <w:lang w:val="en-US" w:eastAsia="el-GR"/>
        </w:rPr>
        <w:t>3</w:t>
      </w:r>
      <w:r w:rsidRPr="009C5F8E">
        <w:rPr>
          <w:rFonts w:eastAsiaTheme="minorEastAsia"/>
          <w:b/>
          <w:bCs/>
          <w:lang w:val="en-US" w:eastAsia="el-GR"/>
        </w:rPr>
        <w:t>A</w:t>
      </w:r>
      <w:r w:rsidRPr="009C5F8E">
        <w:rPr>
          <w:rFonts w:eastAsiaTheme="minorEastAsia"/>
          <w:lang w:val="en-US" w:eastAsia="el-GR"/>
        </w:rPr>
        <w:t xml:space="preserve"> Morphological assessment of RAW cells after the application of LPS and CM. Normal RAW cells display an irregular form with pseudopodia (a). LPS application (b) affected the morphology of RAW cells, which were transformed into a totally circular form after 24 and 48 h of the LPS application (c and d). This effect was partly reversed by the application of CM_5%Hyp+TNF-a after 24h (e), and totally reversed after 48h in culture with CM_5%Hyp+TNF-a (f). </w:t>
      </w:r>
      <w:r w:rsidR="00D316B4">
        <w:rPr>
          <w:rFonts w:eastAsiaTheme="minorEastAsia"/>
          <w:b/>
          <w:bCs/>
          <w:lang w:val="en-US" w:eastAsia="el-GR"/>
        </w:rPr>
        <w:t>3</w:t>
      </w:r>
      <w:r w:rsidRPr="009C5F8E">
        <w:rPr>
          <w:rFonts w:eastAsiaTheme="minorEastAsia"/>
          <w:b/>
          <w:bCs/>
          <w:lang w:val="en-US" w:eastAsia="el-GR"/>
        </w:rPr>
        <w:t>B</w:t>
      </w:r>
      <w:r w:rsidRPr="009C5F8E">
        <w:rPr>
          <w:rFonts w:eastAsiaTheme="minorEastAsia"/>
          <w:lang w:val="en-US" w:eastAsia="el-GR"/>
        </w:rPr>
        <w:t xml:space="preserve"> Viability/proliferation of RAW cells after the application of LPS and CM. Addition of CM_5%Hyp+TNF-a had a stimulatory effect on RAW cell viability/proliferation after all the time-points assessed, resulting in significant increase in cell viability compared to control RAW cells (p&lt;0.0001). This stimulatory effect was significant against LPS (p&lt;0.0001) after 72h. ****p&lt;0.0001.</w:t>
      </w:r>
    </w:p>
    <w:p w14:paraId="2566D769" w14:textId="77777777" w:rsidR="009C5F8E" w:rsidRPr="009C5F8E" w:rsidRDefault="009C5F8E" w:rsidP="009C5F8E">
      <w:pPr>
        <w:spacing w:line="480" w:lineRule="auto"/>
        <w:jc w:val="both"/>
        <w:rPr>
          <w:rFonts w:eastAsiaTheme="minorEastAsia"/>
          <w:noProof/>
          <w:lang w:eastAsia="el-GR"/>
        </w:rPr>
      </w:pPr>
    </w:p>
    <w:p w14:paraId="75629867" w14:textId="77777777" w:rsidR="009C5F8E" w:rsidRPr="009C5F8E" w:rsidRDefault="009C5F8E" w:rsidP="009C5F8E">
      <w:pPr>
        <w:spacing w:line="480" w:lineRule="auto"/>
        <w:jc w:val="both"/>
        <w:rPr>
          <w:rFonts w:ascii="Times New Roman" w:eastAsiaTheme="minorEastAsia" w:hAnsi="Times New Roman" w:cs="Times New Roman"/>
          <w:sz w:val="20"/>
          <w:szCs w:val="20"/>
          <w:lang w:val="en-US" w:eastAsia="el-GR"/>
        </w:rPr>
      </w:pPr>
    </w:p>
    <w:p w14:paraId="627DAFA3" w14:textId="77777777" w:rsidR="009C5F8E" w:rsidRPr="009C5F8E" w:rsidRDefault="009C5F8E" w:rsidP="009C5F8E">
      <w:pPr>
        <w:spacing w:line="480" w:lineRule="auto"/>
        <w:jc w:val="both"/>
        <w:rPr>
          <w:rFonts w:ascii="Times New Roman" w:eastAsiaTheme="minorEastAsia" w:hAnsi="Times New Roman" w:cs="Times New Roman"/>
          <w:sz w:val="20"/>
          <w:szCs w:val="20"/>
          <w:lang w:val="en-US" w:eastAsia="el-GR"/>
        </w:rPr>
      </w:pPr>
    </w:p>
    <w:p w14:paraId="0AC7E2C0" w14:textId="77777777" w:rsidR="009C5F8E" w:rsidRPr="009C5F8E" w:rsidRDefault="009C5F8E" w:rsidP="009C5F8E">
      <w:pPr>
        <w:spacing w:line="480" w:lineRule="auto"/>
        <w:jc w:val="both"/>
        <w:rPr>
          <w:rFonts w:ascii="Times New Roman" w:eastAsiaTheme="minorEastAsia" w:hAnsi="Times New Roman" w:cs="Times New Roman"/>
          <w:sz w:val="20"/>
          <w:szCs w:val="20"/>
          <w:lang w:val="en-US" w:eastAsia="el-GR"/>
        </w:rPr>
      </w:pPr>
      <w:r w:rsidRPr="009C5F8E">
        <w:rPr>
          <w:rFonts w:eastAsiaTheme="minorEastAsia"/>
          <w:noProof/>
          <w:lang w:eastAsia="el-GR"/>
        </w:rPr>
        <w:lastRenderedPageBreak/>
        <w:drawing>
          <wp:inline distT="0" distB="0" distL="0" distR="0" wp14:anchorId="512FC5AE" wp14:editId="30BF7D60">
            <wp:extent cx="5274310" cy="3154680"/>
            <wp:effectExtent l="0" t="0" r="2540" b="762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154680"/>
                    </a:xfrm>
                    <a:prstGeom prst="rect">
                      <a:avLst/>
                    </a:prstGeom>
                    <a:noFill/>
                    <a:ln>
                      <a:noFill/>
                    </a:ln>
                  </pic:spPr>
                </pic:pic>
              </a:graphicData>
            </a:graphic>
          </wp:inline>
        </w:drawing>
      </w:r>
    </w:p>
    <w:p w14:paraId="31528DC2" w14:textId="61A3D60C" w:rsidR="009C5F8E" w:rsidRPr="009C5F8E" w:rsidRDefault="009C5F8E" w:rsidP="009C5F8E">
      <w:pPr>
        <w:spacing w:line="480" w:lineRule="auto"/>
        <w:jc w:val="both"/>
        <w:rPr>
          <w:rFonts w:ascii="Times New Roman" w:eastAsiaTheme="minorEastAsia" w:hAnsi="Times New Roman" w:cs="Times New Roman"/>
          <w:sz w:val="20"/>
          <w:szCs w:val="20"/>
          <w:lang w:val="en-US" w:eastAsia="el-GR"/>
        </w:rPr>
      </w:pPr>
      <w:r w:rsidRPr="009C5F8E">
        <w:rPr>
          <w:rFonts w:eastAsiaTheme="minorEastAsia"/>
          <w:b/>
          <w:bCs/>
          <w:lang w:val="en-US" w:eastAsia="el-GR"/>
        </w:rPr>
        <w:t xml:space="preserve">Supplementary Fig. </w:t>
      </w:r>
      <w:r w:rsidR="00D316B4">
        <w:rPr>
          <w:rFonts w:eastAsiaTheme="minorEastAsia"/>
          <w:b/>
          <w:bCs/>
          <w:lang w:val="en-US" w:eastAsia="el-GR"/>
        </w:rPr>
        <w:t>4</w:t>
      </w:r>
      <w:r w:rsidRPr="009C5F8E">
        <w:rPr>
          <w:rFonts w:eastAsiaTheme="minorEastAsia"/>
          <w:b/>
          <w:bCs/>
          <w:lang w:val="en-US" w:eastAsia="el-GR"/>
        </w:rPr>
        <w:t>A</w:t>
      </w:r>
      <w:r w:rsidRPr="009C5F8E">
        <w:rPr>
          <w:rFonts w:eastAsiaTheme="minorEastAsia"/>
          <w:lang w:val="en-US" w:eastAsia="el-GR"/>
        </w:rPr>
        <w:t xml:space="preserve"> 3D model of a rat TMJ scanned in a Brucker </w:t>
      </w:r>
      <w:r w:rsidRPr="009C5F8E">
        <w:rPr>
          <w:rFonts w:eastAsiaTheme="minorEastAsia"/>
          <w:lang w:eastAsia="el-GR"/>
        </w:rPr>
        <w:t>μ</w:t>
      </w:r>
      <w:r w:rsidRPr="009C5F8E">
        <w:rPr>
          <w:rFonts w:eastAsiaTheme="minorEastAsia"/>
          <w:lang w:val="en-US" w:eastAsia="el-GR"/>
        </w:rPr>
        <w:t xml:space="preserve">CT scanner. </w:t>
      </w:r>
      <w:r w:rsidR="00D316B4">
        <w:rPr>
          <w:rFonts w:eastAsiaTheme="minorEastAsia"/>
          <w:b/>
          <w:bCs/>
          <w:lang w:val="en-US" w:eastAsia="el-GR"/>
        </w:rPr>
        <w:t>4</w:t>
      </w:r>
      <w:r w:rsidRPr="009C5F8E">
        <w:rPr>
          <w:rFonts w:eastAsiaTheme="minorEastAsia"/>
          <w:b/>
          <w:bCs/>
          <w:lang w:val="en-US" w:eastAsia="el-GR"/>
        </w:rPr>
        <w:t>B</w:t>
      </w:r>
      <w:r w:rsidRPr="009C5F8E">
        <w:rPr>
          <w:rFonts w:eastAsiaTheme="minorEastAsia"/>
          <w:lang w:val="en-US" w:eastAsia="el-GR"/>
        </w:rPr>
        <w:t xml:space="preserve"> Initial </w:t>
      </w:r>
      <w:proofErr w:type="spellStart"/>
      <w:r w:rsidRPr="009C5F8E">
        <w:rPr>
          <w:rFonts w:eastAsiaTheme="minorEastAsia"/>
          <w:lang w:val="en-US" w:eastAsia="el-GR"/>
        </w:rPr>
        <w:t>attepts</w:t>
      </w:r>
      <w:proofErr w:type="spellEnd"/>
      <w:r w:rsidRPr="009C5F8E">
        <w:rPr>
          <w:rFonts w:eastAsiaTheme="minorEastAsia"/>
          <w:lang w:val="en-US" w:eastAsia="el-GR"/>
        </w:rPr>
        <w:t xml:space="preserve"> to select the region of interest (ROI). </w:t>
      </w:r>
      <w:r w:rsidR="00D316B4">
        <w:rPr>
          <w:rFonts w:eastAsiaTheme="minorEastAsia"/>
          <w:b/>
          <w:bCs/>
          <w:lang w:val="en-US" w:eastAsia="el-GR"/>
        </w:rPr>
        <w:t>4</w:t>
      </w:r>
      <w:r w:rsidRPr="009C5F8E">
        <w:rPr>
          <w:rFonts w:eastAsiaTheme="minorEastAsia"/>
          <w:b/>
          <w:bCs/>
          <w:lang w:val="en-US" w:eastAsia="el-GR"/>
        </w:rPr>
        <w:t>C</w:t>
      </w:r>
      <w:r w:rsidRPr="009C5F8E">
        <w:rPr>
          <w:rFonts w:eastAsiaTheme="minorEastAsia"/>
          <w:lang w:val="en-US" w:eastAsia="el-GR"/>
        </w:rPr>
        <w:t xml:space="preserve"> Final ROI used in the study.</w:t>
      </w:r>
    </w:p>
    <w:p w14:paraId="4715132F" w14:textId="77777777" w:rsidR="009C5F8E" w:rsidRPr="009C5F8E" w:rsidRDefault="009C5F8E" w:rsidP="009C5F8E">
      <w:pPr>
        <w:spacing w:line="480" w:lineRule="auto"/>
        <w:jc w:val="both"/>
        <w:rPr>
          <w:rFonts w:ascii="Times New Roman" w:eastAsiaTheme="minorEastAsia" w:hAnsi="Times New Roman" w:cs="Times New Roman"/>
          <w:sz w:val="20"/>
          <w:szCs w:val="20"/>
          <w:lang w:val="en-US" w:eastAsia="el-GR"/>
        </w:rPr>
      </w:pPr>
      <w:r w:rsidRPr="009C5F8E">
        <w:rPr>
          <w:rFonts w:eastAsiaTheme="minorEastAsia"/>
          <w:noProof/>
          <w:lang w:eastAsia="el-GR"/>
        </w:rPr>
        <w:lastRenderedPageBreak/>
        <w:drawing>
          <wp:inline distT="0" distB="0" distL="0" distR="0" wp14:anchorId="3D39AB8F" wp14:editId="68776510">
            <wp:extent cx="5274310" cy="6802755"/>
            <wp:effectExtent l="0" t="0" r="2540" b="0"/>
            <wp:docPr id="24" name="Εικόνα 24" descr="Εικόνα που περιέχει κείμενο, απόδειξη,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Εικόνα 24" descr="Εικόνα που περιέχει κείμενο, απόδειξη, στιγμιότυπο οθόνης&#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802755"/>
                    </a:xfrm>
                    <a:prstGeom prst="rect">
                      <a:avLst/>
                    </a:prstGeom>
                    <a:noFill/>
                    <a:ln>
                      <a:noFill/>
                    </a:ln>
                  </pic:spPr>
                </pic:pic>
              </a:graphicData>
            </a:graphic>
          </wp:inline>
        </w:drawing>
      </w:r>
    </w:p>
    <w:p w14:paraId="0E8DC566" w14:textId="6718AE43" w:rsidR="009C5F8E" w:rsidRDefault="009C5F8E" w:rsidP="009C5F8E">
      <w:pPr>
        <w:spacing w:line="480" w:lineRule="auto"/>
        <w:jc w:val="both"/>
        <w:rPr>
          <w:rFonts w:eastAsiaTheme="minorEastAsia"/>
          <w:lang w:val="en-US" w:eastAsia="el-GR"/>
        </w:rPr>
      </w:pPr>
      <w:r w:rsidRPr="009C5F8E">
        <w:rPr>
          <w:rFonts w:eastAsiaTheme="minorEastAsia"/>
          <w:b/>
          <w:bCs/>
          <w:lang w:val="en-US" w:eastAsia="el-GR"/>
        </w:rPr>
        <w:t xml:space="preserve">Supplementary Fig. </w:t>
      </w:r>
      <w:r w:rsidR="00D316B4">
        <w:rPr>
          <w:rFonts w:eastAsiaTheme="minorEastAsia"/>
          <w:b/>
          <w:bCs/>
          <w:lang w:val="en-US" w:eastAsia="el-GR"/>
        </w:rPr>
        <w:t>5</w:t>
      </w:r>
      <w:r w:rsidRPr="009C5F8E">
        <w:rPr>
          <w:rFonts w:eastAsiaTheme="minorEastAsia"/>
          <w:b/>
          <w:bCs/>
          <w:lang w:val="en-US" w:eastAsia="el-GR"/>
        </w:rPr>
        <w:t>.</w:t>
      </w:r>
      <w:r w:rsidRPr="009C5F8E">
        <w:rPr>
          <w:rFonts w:eastAsiaTheme="minorEastAsia"/>
          <w:lang w:val="en-US" w:eastAsia="el-GR"/>
        </w:rPr>
        <w:t xml:space="preserve"> Timeline of experimental procedures of the in vivo study.</w:t>
      </w:r>
    </w:p>
    <w:p w14:paraId="56BD6088" w14:textId="70610736" w:rsidR="001A11C1" w:rsidRDefault="001A11C1" w:rsidP="009C5F8E">
      <w:pPr>
        <w:spacing w:line="480" w:lineRule="auto"/>
        <w:jc w:val="both"/>
        <w:rPr>
          <w:rFonts w:eastAsiaTheme="minorEastAsia"/>
          <w:lang w:val="en-US" w:eastAsia="el-GR"/>
        </w:rPr>
      </w:pPr>
      <w:r>
        <w:rPr>
          <w:rFonts w:eastAsiaTheme="minorEastAsia"/>
          <w:noProof/>
          <w:lang w:val="en-US" w:eastAsia="el-GR"/>
        </w:rPr>
        <w:lastRenderedPageBreak/>
        <w:drawing>
          <wp:inline distT="0" distB="0" distL="0" distR="0" wp14:anchorId="555E8B97" wp14:editId="6B2DC4BC">
            <wp:extent cx="4322660" cy="2773707"/>
            <wp:effectExtent l="0" t="0" r="1905" b="0"/>
            <wp:docPr id="1628392824" name="Εικόνα 1" descr="Εικόνα που περιέχει μοβ, βιολέτα, ματζέντα, παιδική τέχ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92824" name="Εικόνα 1" descr="Εικόνα που περιέχει μοβ, βιολέτα, ματζέντα, παιδική τέχνη&#10;&#10;Περιγραφή που δημιουργήθηκε αυτόματα"/>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2660" cy="2773707"/>
                    </a:xfrm>
                    <a:prstGeom prst="rect">
                      <a:avLst/>
                    </a:prstGeom>
                  </pic:spPr>
                </pic:pic>
              </a:graphicData>
            </a:graphic>
          </wp:inline>
        </w:drawing>
      </w:r>
    </w:p>
    <w:p w14:paraId="30AC38C3" w14:textId="44CDFE49" w:rsidR="001A11C1" w:rsidRPr="009C5F8E" w:rsidRDefault="001A11C1" w:rsidP="009C5F8E">
      <w:pPr>
        <w:spacing w:line="480" w:lineRule="auto"/>
        <w:jc w:val="both"/>
        <w:rPr>
          <w:rFonts w:ascii="Times New Roman" w:eastAsiaTheme="minorEastAsia" w:hAnsi="Times New Roman" w:cs="Times New Roman"/>
          <w:sz w:val="20"/>
          <w:szCs w:val="20"/>
          <w:lang w:val="en-US" w:eastAsia="el-GR"/>
        </w:rPr>
      </w:pPr>
      <w:r w:rsidRPr="00097F72">
        <w:rPr>
          <w:rFonts w:eastAsiaTheme="minorEastAsia"/>
          <w:b/>
          <w:bCs/>
          <w:lang w:val="en-US" w:eastAsia="el-GR"/>
        </w:rPr>
        <w:t xml:space="preserve">Supplementary Fig. 6. </w:t>
      </w:r>
      <w:r w:rsidR="00097F72" w:rsidRPr="00097F72">
        <w:rPr>
          <w:rFonts w:ascii="Times New Roman" w:hAnsi="Times New Roman" w:cs="Times New Roman"/>
          <w:b/>
          <w:bCs/>
          <w:lang w:val="en-US"/>
        </w:rPr>
        <w:t>H</w:t>
      </w:r>
      <w:r w:rsidR="00097F72" w:rsidRPr="00C7413D">
        <w:rPr>
          <w:rFonts w:ascii="Times New Roman" w:hAnsi="Times New Roman" w:cs="Times New Roman"/>
          <w:b/>
          <w:bCs/>
          <w:lang w:val="en-US"/>
        </w:rPr>
        <w:t xml:space="preserve">&amp;E stain of histological sections. </w:t>
      </w:r>
      <w:r w:rsidR="00097F72" w:rsidRPr="00C7413D">
        <w:rPr>
          <w:rFonts w:ascii="Times New Roman" w:hAnsi="Times New Roman" w:cs="Times New Roman"/>
          <w:lang w:val="en-US"/>
        </w:rPr>
        <w:t>H&amp;E stain of histological sections of saline-treated TMJ after 4wks of treatment</w:t>
      </w:r>
      <w:r w:rsidR="00097F72" w:rsidRPr="00C7413D" w:rsidDel="007963E5">
        <w:rPr>
          <w:rFonts w:ascii="Times New Roman" w:hAnsi="Times New Roman" w:cs="Times New Roman"/>
          <w:lang w:val="en-US"/>
        </w:rPr>
        <w:t xml:space="preserve"> </w:t>
      </w:r>
      <w:r w:rsidR="00097F72" w:rsidRPr="00C7413D">
        <w:rPr>
          <w:rFonts w:ascii="Times New Roman" w:hAnsi="Times New Roman" w:cs="Times New Roman"/>
          <w:lang w:val="en-US"/>
        </w:rPr>
        <w:t>(</w:t>
      </w:r>
      <w:r w:rsidR="00097F72">
        <w:rPr>
          <w:rFonts w:ascii="Times New Roman" w:hAnsi="Times New Roman" w:cs="Times New Roman"/>
          <w:lang w:val="en-US"/>
        </w:rPr>
        <w:t>a, b</w:t>
      </w:r>
      <w:r w:rsidR="00097F72" w:rsidRPr="00C7413D">
        <w:rPr>
          <w:rFonts w:ascii="Times New Roman" w:hAnsi="Times New Roman" w:cs="Times New Roman"/>
          <w:lang w:val="en-US"/>
        </w:rPr>
        <w:t>), SECR-treated TMJ after 4wks of treatment (</w:t>
      </w:r>
      <w:r w:rsidR="00097F72">
        <w:rPr>
          <w:rFonts w:ascii="Times New Roman" w:hAnsi="Times New Roman" w:cs="Times New Roman"/>
          <w:lang w:val="en-US"/>
        </w:rPr>
        <w:t>c, d</w:t>
      </w:r>
      <w:r w:rsidR="00097F72" w:rsidRPr="00C7413D">
        <w:rPr>
          <w:rFonts w:ascii="Times New Roman" w:hAnsi="Times New Roman" w:cs="Times New Roman"/>
          <w:lang w:val="en-US"/>
        </w:rPr>
        <w:t>)</w:t>
      </w:r>
      <w:r w:rsidR="00097F72">
        <w:rPr>
          <w:rFonts w:ascii="Times New Roman" w:hAnsi="Times New Roman" w:cs="Times New Roman"/>
          <w:lang w:val="en-US"/>
        </w:rPr>
        <w:t>(40x, scale bar 20</w:t>
      </w:r>
      <w:r w:rsidR="00097F72">
        <w:rPr>
          <w:rFonts w:ascii="Times New Roman" w:hAnsi="Times New Roman" w:cs="Times New Roman"/>
        </w:rPr>
        <w:t>μ</w:t>
      </w:r>
      <w:r w:rsidR="00097F72">
        <w:rPr>
          <w:rFonts w:ascii="Times New Roman" w:hAnsi="Times New Roman" w:cs="Times New Roman"/>
          <w:lang w:val="en-US"/>
        </w:rPr>
        <w:t>m)</w:t>
      </w:r>
      <w:r w:rsidR="00097F72" w:rsidRPr="00C7413D">
        <w:rPr>
          <w:rFonts w:ascii="Times New Roman" w:hAnsi="Times New Roman" w:cs="Times New Roman"/>
          <w:lang w:val="en-US"/>
        </w:rPr>
        <w:t>.</w:t>
      </w:r>
      <w:r w:rsidR="00097F72" w:rsidRPr="00097F72">
        <w:rPr>
          <w:rFonts w:ascii="Times New Roman" w:hAnsi="Times New Roman" w:cs="Times New Roman"/>
          <w:lang w:val="en-US"/>
        </w:rPr>
        <w:t xml:space="preserve"> </w:t>
      </w:r>
      <w:r w:rsidR="00097F72" w:rsidRPr="00C7413D">
        <w:rPr>
          <w:rFonts w:ascii="Times New Roman" w:hAnsi="Times New Roman" w:cs="Times New Roman"/>
          <w:lang w:val="en-US"/>
        </w:rPr>
        <w:t>The SECR-treated group showed improved cartilage surface, reduced bone erosion, and improved cartilage thickness (</w:t>
      </w:r>
      <w:r w:rsidR="00C522ED">
        <w:rPr>
          <w:rFonts w:ascii="Times New Roman" w:hAnsi="Times New Roman" w:cs="Times New Roman"/>
          <w:lang w:val="en-US"/>
        </w:rPr>
        <w:t>a, b</w:t>
      </w:r>
      <w:r w:rsidR="00097F72" w:rsidRPr="00C7413D">
        <w:rPr>
          <w:rFonts w:ascii="Times New Roman" w:hAnsi="Times New Roman" w:cs="Times New Roman"/>
          <w:lang w:val="en-US"/>
        </w:rPr>
        <w:t xml:space="preserve">) and </w:t>
      </w:r>
      <w:r w:rsidR="00097F72" w:rsidRPr="00C7413D">
        <w:rPr>
          <w:rFonts w:ascii="Times New Roman" w:eastAsia="Calibri" w:hAnsi="Times New Roman" w:cs="Times New Roman"/>
          <w:lang w:val="en-US"/>
        </w:rPr>
        <w:t>the saline-treated group (n=4) exhibited extensive bone erosion, surface irregularities with pannus formation (black arrows), along with diffuse</w:t>
      </w:r>
      <w:r w:rsidR="00097F72" w:rsidRPr="00C7413D">
        <w:rPr>
          <w:rFonts w:ascii="Times New Roman" w:hAnsi="Times New Roman" w:cs="Times New Roman"/>
          <w:lang w:val="en-US"/>
        </w:rPr>
        <w:t xml:space="preserve"> </w:t>
      </w:r>
      <w:r w:rsidR="00097F72" w:rsidRPr="00C7413D">
        <w:rPr>
          <w:rFonts w:ascii="Times New Roman" w:eastAsia="Calibri" w:hAnsi="Times New Roman" w:cs="Times New Roman"/>
          <w:lang w:val="en-US"/>
        </w:rPr>
        <w:t>hypercellularity and bone erosion (red arrows), and chondrocyte cloning or apoptosis (green arrow) (</w:t>
      </w:r>
      <w:r w:rsidR="00097F72">
        <w:rPr>
          <w:rFonts w:ascii="Times New Roman" w:eastAsia="Calibri" w:hAnsi="Times New Roman" w:cs="Times New Roman"/>
          <w:lang w:val="en-US"/>
        </w:rPr>
        <w:t>c</w:t>
      </w:r>
      <w:r w:rsidR="00C522ED">
        <w:rPr>
          <w:rFonts w:ascii="Times New Roman" w:eastAsia="Calibri" w:hAnsi="Times New Roman" w:cs="Times New Roman"/>
          <w:lang w:val="en-US"/>
        </w:rPr>
        <w:t>, d</w:t>
      </w:r>
      <w:r w:rsidR="00097F72" w:rsidRPr="00C7413D">
        <w:rPr>
          <w:rFonts w:ascii="Times New Roman" w:eastAsia="Calibri" w:hAnsi="Times New Roman" w:cs="Times New Roman"/>
          <w:lang w:val="en-US"/>
        </w:rPr>
        <w:t>).</w:t>
      </w:r>
    </w:p>
    <w:p w14:paraId="6856462F" w14:textId="77777777" w:rsidR="009C5F8E" w:rsidRPr="009C5F8E" w:rsidRDefault="009C5F8E" w:rsidP="00650CBA">
      <w:pPr>
        <w:rPr>
          <w:rFonts w:ascii="Times New Roman" w:hAnsi="Times New Roman" w:cs="Times New Roman"/>
          <w:b/>
          <w:bCs/>
          <w:sz w:val="24"/>
          <w:szCs w:val="24"/>
          <w:lang w:val="en-US"/>
        </w:rPr>
      </w:pPr>
    </w:p>
    <w:sectPr w:rsidR="009C5F8E" w:rsidRPr="009C5F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CBA"/>
    <w:rsid w:val="00097F72"/>
    <w:rsid w:val="001A11C1"/>
    <w:rsid w:val="002E4BE7"/>
    <w:rsid w:val="003A1571"/>
    <w:rsid w:val="00650CBA"/>
    <w:rsid w:val="008C4C1D"/>
    <w:rsid w:val="008D5259"/>
    <w:rsid w:val="009300CB"/>
    <w:rsid w:val="009C5F8E"/>
    <w:rsid w:val="009E607C"/>
    <w:rsid w:val="00C522ED"/>
    <w:rsid w:val="00CD6FA3"/>
    <w:rsid w:val="00D061DE"/>
    <w:rsid w:val="00D316B4"/>
    <w:rsid w:val="00EE55C5"/>
    <w:rsid w:val="00F85D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9FE06"/>
  <w15:docId w15:val="{49CBB7BD-F71C-466B-989C-31C52869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650CBA"/>
    <w:rPr>
      <w:sz w:val="16"/>
      <w:szCs w:val="16"/>
    </w:rPr>
  </w:style>
  <w:style w:type="paragraph" w:styleId="a4">
    <w:name w:val="annotation text"/>
    <w:basedOn w:val="a"/>
    <w:link w:val="Char"/>
    <w:uiPriority w:val="99"/>
    <w:unhideWhenUsed/>
    <w:rsid w:val="00650CBA"/>
    <w:pPr>
      <w:spacing w:line="240" w:lineRule="auto"/>
    </w:pPr>
    <w:rPr>
      <w:rFonts w:ascii="Calibri" w:eastAsia="Calibri" w:hAnsi="Calibri" w:cs="Times New Roman"/>
      <w:sz w:val="20"/>
      <w:szCs w:val="20"/>
      <w:lang w:eastAsia="el-GR"/>
    </w:rPr>
  </w:style>
  <w:style w:type="character" w:customStyle="1" w:styleId="Char">
    <w:name w:val="Κείμενο σχολίου Char"/>
    <w:basedOn w:val="a0"/>
    <w:link w:val="a4"/>
    <w:uiPriority w:val="99"/>
    <w:rsid w:val="00650CBA"/>
    <w:rPr>
      <w:rFonts w:ascii="Calibri" w:eastAsia="Calibri" w:hAnsi="Calibri" w:cs="Times New Roman"/>
      <w:sz w:val="20"/>
      <w:szCs w:val="20"/>
      <w:lang w:eastAsia="el-GR"/>
    </w:rPr>
  </w:style>
  <w:style w:type="paragraph" w:styleId="a5">
    <w:name w:val="Balloon Text"/>
    <w:basedOn w:val="a"/>
    <w:link w:val="Char0"/>
    <w:uiPriority w:val="99"/>
    <w:semiHidden/>
    <w:unhideWhenUsed/>
    <w:rsid w:val="00650CBA"/>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650C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953</Words>
  <Characters>5149</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Bousnaki</dc:creator>
  <cp:lastModifiedBy>Maria Bousnaki</cp:lastModifiedBy>
  <cp:revision>8</cp:revision>
  <dcterms:created xsi:type="dcterms:W3CDTF">2023-09-05T17:07:00Z</dcterms:created>
  <dcterms:modified xsi:type="dcterms:W3CDTF">2023-09-05T20:31:00Z</dcterms:modified>
</cp:coreProperties>
</file>