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8D" w:rsidRDefault="00BE74B8" w:rsidP="0060290A">
      <w:pPr>
        <w:jc w:val="both"/>
        <w:rPr>
          <w:rFonts w:ascii="Arial" w:hAnsi="Arial" w:cs="Arial"/>
          <w:b/>
          <w:color w:val="333333"/>
          <w:shd w:val="clear" w:color="auto" w:fill="FFFFFF"/>
          <w:lang w:val="en-GB"/>
        </w:rPr>
      </w:pPr>
      <w:r w:rsidRPr="007A00CE">
        <w:rPr>
          <w:rFonts w:ascii="Arial" w:hAnsi="Arial" w:cs="Arial"/>
          <w:b/>
          <w:color w:val="333333"/>
          <w:shd w:val="clear" w:color="auto" w:fill="FFFFFF"/>
          <w:lang w:val="en-GB"/>
        </w:rPr>
        <w:t xml:space="preserve">Figure legend for </w:t>
      </w:r>
      <w:proofErr w:type="spellStart"/>
      <w:r w:rsidRPr="007A00CE">
        <w:rPr>
          <w:rFonts w:ascii="Arial" w:hAnsi="Arial" w:cs="Arial"/>
          <w:b/>
          <w:color w:val="333333"/>
          <w:shd w:val="clear" w:color="auto" w:fill="FFFFFF"/>
          <w:lang w:val="en-GB"/>
        </w:rPr>
        <w:t>Supp</w:t>
      </w:r>
      <w:proofErr w:type="spellEnd"/>
      <w:r w:rsidRPr="007A00CE">
        <w:rPr>
          <w:rFonts w:ascii="Arial" w:hAnsi="Arial" w:cs="Arial"/>
          <w:b/>
          <w:color w:val="333333"/>
          <w:shd w:val="clear" w:color="auto" w:fill="FFFFFF"/>
          <w:lang w:val="en-GB"/>
        </w:rPr>
        <w:t xml:space="preserve"> figures </w:t>
      </w:r>
    </w:p>
    <w:p w:rsidR="007A00CE" w:rsidRPr="007A00CE" w:rsidRDefault="007A00CE" w:rsidP="0060290A">
      <w:pPr>
        <w:jc w:val="both"/>
        <w:rPr>
          <w:rFonts w:ascii="Arial" w:hAnsi="Arial" w:cs="Arial"/>
          <w:b/>
          <w:color w:val="333333"/>
          <w:shd w:val="clear" w:color="auto" w:fill="FFFFFF"/>
          <w:lang w:val="en-GB"/>
        </w:rPr>
      </w:pPr>
    </w:p>
    <w:p w:rsidR="0018118D" w:rsidRPr="0061357A" w:rsidRDefault="0018118D" w:rsidP="0060290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</w:pPr>
      <w:r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Figure</w:t>
      </w:r>
      <w:r w:rsidR="008216F0"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 xml:space="preserve"> </w:t>
      </w:r>
      <w:r w:rsidR="00AB43EF"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S1</w:t>
      </w:r>
      <w:r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:</w:t>
      </w:r>
      <w:r w:rsidR="00AB43EF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="00AB43EF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Immunofluroscence</w:t>
      </w:r>
      <w:proofErr w:type="spellEnd"/>
      <w:r w:rsidR="00AB43EF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of </w:t>
      </w:r>
      <w:proofErr w:type="spellStart"/>
      <w:r w:rsidR="00AB43EF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iPSCs</w:t>
      </w:r>
      <w:proofErr w:type="spellEnd"/>
      <w:r w:rsidR="00AB43EF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for (A) Oct3/4, (B) </w:t>
      </w:r>
      <w:proofErr w:type="spellStart"/>
      <w:r w:rsidR="00AB43EF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Nanog</w:t>
      </w:r>
      <w:proofErr w:type="spellEnd"/>
      <w:r w:rsidR="00AB43EF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, (C) Representative</w:t>
      </w:r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</w:t>
      </w:r>
      <w:proofErr w:type="spellStart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karyogram</w:t>
      </w:r>
      <w:proofErr w:type="spellEnd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of the </w:t>
      </w:r>
      <w:proofErr w:type="spellStart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iPSCs</w:t>
      </w:r>
      <w:proofErr w:type="spellEnd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no Chromosomal </w:t>
      </w:r>
      <w:r w:rsidR="00AB43EF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abrasion</w:t>
      </w:r>
      <w:r w:rsidR="00B02909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was observed. </w:t>
      </w:r>
      <w:r w:rsidR="00AB43EF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</w:t>
      </w:r>
    </w:p>
    <w:p w:rsidR="00725826" w:rsidRPr="0061357A" w:rsidRDefault="00725826" w:rsidP="0060290A">
      <w:pPr>
        <w:jc w:val="both"/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</w:pPr>
      <w:r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Figure S2:</w:t>
      </w:r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Flow </w:t>
      </w:r>
      <w:proofErr w:type="spellStart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cytometery</w:t>
      </w:r>
      <w:proofErr w:type="spellEnd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for </w:t>
      </w:r>
      <w:proofErr w:type="spellStart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triliniage</w:t>
      </w:r>
      <w:proofErr w:type="spellEnd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differentiation (A)CD140b (mesoderm) (B) CXCR4 (endoderm) (C) Pax6 (ectoderm) (D) VE cadherin (Mesoderm) (E) SOX17 (endoderm) (F) Sox2 (ectoderm). </w:t>
      </w:r>
      <w:r w:rsidR="00B02909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Representative </w:t>
      </w:r>
      <w:proofErr w:type="spellStart"/>
      <w:r w:rsidR="00B02909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immunofluroscence</w:t>
      </w:r>
      <w:proofErr w:type="spellEnd"/>
      <w:r w:rsidR="00B02909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images (G) </w:t>
      </w:r>
      <w:r w:rsidR="00B02909" w:rsidRPr="0061357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CXCR4 (definitive endoderm) for normal and for </w:t>
      </w:r>
      <w:proofErr w:type="spellStart"/>
      <w:r w:rsidR="00B02909" w:rsidRPr="0061357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cmO</w:t>
      </w:r>
      <w:proofErr w:type="spellEnd"/>
      <w:r w:rsidR="00B02909" w:rsidRPr="0061357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(H) </w:t>
      </w:r>
      <w:proofErr w:type="spellStart"/>
      <w:r w:rsidR="00B02909" w:rsidRPr="0061357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Epcam</w:t>
      </w:r>
      <w:proofErr w:type="spellEnd"/>
      <w:r w:rsidR="00B02909" w:rsidRPr="0061357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(Anterior foregut endoderm) for normal (I) and for </w:t>
      </w:r>
      <w:proofErr w:type="spellStart"/>
      <w:r w:rsidR="00B02909" w:rsidRPr="0061357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cmO</w:t>
      </w:r>
      <w:proofErr w:type="spellEnd"/>
      <w:r w:rsidR="00B02909" w:rsidRPr="0061357A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(J).</w:t>
      </w:r>
    </w:p>
    <w:p w:rsidR="00826DCC" w:rsidRPr="00183CC2" w:rsidRDefault="00AB43EF" w:rsidP="008216F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</w:pPr>
      <w:r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Fig</w:t>
      </w:r>
      <w:r w:rsidR="008216F0"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ure S</w:t>
      </w:r>
      <w:r w:rsidR="007A00CE"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3</w:t>
      </w:r>
      <w:r w:rsidR="008216F0"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 xml:space="preserve">: </w:t>
      </w:r>
      <w:r w:rsidR="008216F0" w:rsidRPr="0061357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Gating strategy of FACS: </w:t>
      </w:r>
      <w:r w:rsidR="00A85E2B" w:rsidRPr="0061357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For each sample, at least 10,000 live, single events were recorded and gating was done </w:t>
      </w:r>
      <w:r w:rsidR="00857E0E" w:rsidRPr="0061357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using the IDEAS software by AMNIS</w:t>
      </w:r>
      <w:r w:rsidR="0035035F" w:rsidRPr="0061357A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, the fcs files were used to analyse the Image Stream data and to calculate the compensation</w:t>
      </w:r>
      <w:r w:rsidR="00A85E2B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. Debris was excluded from single cells. Live cells were differentiated by Live/Dead staining. Single stained beads were used for each fluorophore to decide on the gates along with unstained samples of each cell type.</w:t>
      </w:r>
      <w:r w:rsidR="00B1286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</w:t>
      </w:r>
      <w:r w:rsidR="00183C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Since </w:t>
      </w:r>
      <w:r w:rsidR="00183CC2" w:rsidRPr="00183C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laser imaging flow cytometry directly measure</w:t>
      </w:r>
      <w:r w:rsidR="00183C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s</w:t>
      </w:r>
      <w:r w:rsidR="00183CC2" w:rsidRPr="00183C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spatial variation in the </w:t>
      </w:r>
      <w:proofErr w:type="spellStart"/>
      <w:r w:rsidR="00183CC2" w:rsidRPr="00183C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brightfield</w:t>
      </w:r>
      <w:proofErr w:type="spellEnd"/>
      <w:r w:rsidR="00183CC2" w:rsidRPr="00183C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="00183CC2" w:rsidRPr="00183C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da</w:t>
      </w:r>
      <w:r w:rsidR="00183CC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rkfie</w:t>
      </w:r>
      <w:r w:rsidR="00826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ld</w:t>
      </w:r>
      <w:proofErr w:type="spellEnd"/>
      <w:r w:rsidR="00826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and fluorescence images, </w:t>
      </w:r>
      <w:r w:rsid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in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a well-focused </w:t>
      </w:r>
      <w:proofErr w:type="spellStart"/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brightfield</w:t>
      </w:r>
      <w:proofErr w:type="spellEnd"/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image, the cell boundaries create a sharp intensity change </w:t>
      </w:r>
      <w:r w:rsid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and hence a high gradient value. T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he in-focus sub-population </w:t>
      </w:r>
      <w:r w:rsid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are then defined and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made with a high-pass gating of the gradient histogram. </w:t>
      </w:r>
      <w:r w:rsid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After defining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the in-focus </w:t>
      </w:r>
      <w:r w:rsid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cellular 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events, the </w:t>
      </w:r>
      <w:r w:rsidR="00826DCC" w:rsidRPr="00826DCC">
        <w:rPr>
          <w:rFonts w:ascii="Times New Roman" w:hAnsi="Times New Roman" w:cs="Times New Roman"/>
          <w:i/>
          <w:iCs/>
          <w:sz w:val="24"/>
          <w:szCs w:val="24"/>
          <w:lang w:val="en-GB"/>
        </w:rPr>
        <w:t>focus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 sub-population </w:t>
      </w:r>
      <w:r w:rsid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is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further filtered to select single cells. </w:t>
      </w:r>
      <w:r w:rsidR="0048604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Based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on morphological features obtained from the </w:t>
      </w:r>
      <w:proofErr w:type="spellStart"/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brightfield</w:t>
      </w:r>
      <w:proofErr w:type="spellEnd"/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image </w:t>
      </w:r>
      <w:r w:rsidR="0048604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produce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a 2D scatter plot of aspect ratio versus area. A single-cell sub-population </w:t>
      </w:r>
      <w:r w:rsidR="0048604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is 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defined from the dense cluster of events with high aspect ratio (tending to circular shape) and intermediate area (lying above a band of </w:t>
      </w:r>
      <w:bookmarkStart w:id="0" w:name="_GoBack"/>
      <w:bookmarkEnd w:id="0"/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smaller objects corresponding to debris, and below higher points representing images containing multiple cells). After gating to define the single cell, in focus population</w:t>
      </w:r>
      <w:r w:rsidR="0048604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the lasers are defined and the images are analysed using the IDEAS software as defined before</w:t>
      </w:r>
      <w:r w:rsidR="00826DCC" w:rsidRPr="00826DCC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826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fldChar w:fldCharType="begin"/>
      </w:r>
      <w:r w:rsidR="00826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instrText xml:space="preserve"> ADDIN EN.CITE &lt;EndNote&gt;&lt;Cite&gt;&lt;Author&gt;Rees&lt;/Author&gt;&lt;Year&gt;2022&lt;/Year&gt;&lt;RecNum&gt;405&lt;/RecNum&gt;&lt;DisplayText&gt;[1]&lt;/DisplayText&gt;&lt;record&gt;&lt;rec-number&gt;405&lt;/rec-number&gt;&lt;foreign-keys&gt;&lt;key app="EN" db-id="9xa22dpscpxfe7epzda5va5iwvdpzvvz9v9e" timestamp="1722600503"&gt;405&lt;/key&gt;&lt;/foreign-keys&gt;&lt;ref-type name="Journal Article"&gt;17&lt;/ref-type&gt;&lt;contributors&gt;&lt;authors&gt;&lt;author&gt;Rees, P.&lt;/author&gt;&lt;author&gt;Summers, H. D.&lt;/author&gt;&lt;author&gt;Filby, A.&lt;/author&gt;&lt;author&gt;Carpenter, A. E.&lt;/author&gt;&lt;author&gt;Doan, M.&lt;/author&gt;&lt;/authors&gt;&lt;/contributors&gt;&lt;auth-address&gt;Department of Biomedical Engineering, Swansea University, Bay Campus, Swansea SA1 8EN, United Kingdom.&amp;#xD;Imaging Platform, Broad Institute of Harvard and MIT, Cambridge, Massachusetts MA 02142, United States of America.&amp;#xD;Flow Cytometry Core Facility and Innovation, Methodology and Application Research Theme, Biosciences Institute, Faculty of Medical Sciences, Newcastle University, Newcastle upon Tyne, United Kingdom.&amp;#xD;Bioimaging Analytics, GlaxoSmithKline, Collegeville, PA, United States of America.&lt;/auth-address&gt;&lt;titles&gt;&lt;title&gt;Imaging flow cytometry: a primer&lt;/title&gt;&lt;secondary-title&gt;Nat Rev Methods Primers&lt;/secondary-title&gt;&lt;/titles&gt;&lt;periodical&gt;&lt;full-title&gt;Nat Rev Methods Primers&lt;/full-title&gt;&lt;/periodical&gt;&lt;volume&gt;2&lt;/volume&gt;&lt;edition&gt;20221103&lt;/edition&gt;&lt;dates&gt;&lt;year&gt;2022&lt;/year&gt;&lt;/dates&gt;&lt;isbn&gt;2662-8449&lt;/isbn&gt;&lt;accession-num&gt;37655209&lt;/accession-num&gt;&lt;urls&gt;&lt;/urls&gt;&lt;custom2&gt;PMC10468826&lt;/custom2&gt;&lt;custom6&gt;NIHMS1902365&lt;/custom6&gt;&lt;electronic-resource-num&gt;10.1038/s43586-022-00167-x&lt;/electronic-resource-num&gt;&lt;remote-database-provider&gt;NLM&lt;/remote-database-provider&gt;&lt;language&gt;eng&lt;/language&gt;&lt;/record&gt;&lt;/Cite&gt;&lt;/EndNote&gt;</w:instrText>
      </w:r>
      <w:r w:rsidR="00826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fldChar w:fldCharType="separate"/>
      </w:r>
      <w:r w:rsidR="00826DCC"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val="en-GB"/>
        </w:rPr>
        <w:t>[1]</w:t>
      </w:r>
      <w:r w:rsidR="00826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fldChar w:fldCharType="end"/>
      </w:r>
      <w:r w:rsidR="00826DC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.</w:t>
      </w:r>
    </w:p>
    <w:p w:rsidR="00A85E2B" w:rsidRPr="0061357A" w:rsidRDefault="00A85E2B" w:rsidP="0061357A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</w:pPr>
      <w:r w:rsidRPr="0061357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Definitive Endoderm (DE): </w:t>
      </w:r>
      <w:r w:rsidR="0061357A" w:rsidRPr="0061357A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61357A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3a. </w:t>
      </w:r>
      <w:r w:rsidR="00486040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Definitive endoderm </w:t>
      </w:r>
      <w:r w:rsidR="001A3778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unstained (normal)</w:t>
      </w:r>
      <w:r w:rsidR="00486040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3</w:t>
      </w:r>
      <w:r w:rsidR="0061357A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b.</w:t>
      </w:r>
      <w:r w:rsidR="001A3778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</w:t>
      </w:r>
      <w:r w:rsidR="001A3778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>Definitive endoderm stained (normal) for CXCR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4</w:t>
      </w:r>
      <w:proofErr w:type="gramStart"/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+  C</w:t>
      </w:r>
      <w:proofErr w:type="gramEnd"/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-Kit+</w:t>
      </w:r>
      <w:r w:rsidR="0035035F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&amp;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</w:t>
      </w:r>
      <w:r w:rsidR="0035035F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NKX2-1+ </w:t>
      </w:r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population was gated for single cells in live cells. Similarly for the </w:t>
      </w:r>
      <w:proofErr w:type="spellStart"/>
      <w:proofErr w:type="gramStart"/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cmO</w:t>
      </w:r>
      <w:proofErr w:type="spellEnd"/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 </w:t>
      </w:r>
      <w:r w:rsidR="001A3778" w:rsidRPr="00146E63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  <w:lang w:val="en-GB"/>
        </w:rPr>
        <w:t>3</w:t>
      </w:r>
      <w:proofErr w:type="gramEnd"/>
      <w:r w:rsidR="001A3778" w:rsidRPr="00146E63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  <w:lang w:val="en-GB"/>
        </w:rPr>
        <w:t>c</w:t>
      </w:r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.definitive endoderm unstained (</w:t>
      </w:r>
      <w:proofErr w:type="spellStart"/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cmO</w:t>
      </w:r>
      <w:proofErr w:type="spellEnd"/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); </w:t>
      </w:r>
      <w:r w:rsidR="001A3778" w:rsidRPr="00146E63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  <w:lang w:val="en-GB"/>
        </w:rPr>
        <w:t>3d</w:t>
      </w:r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.definitive endoderm stained (</w:t>
      </w:r>
      <w:proofErr w:type="spellStart"/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cmO</w:t>
      </w:r>
      <w:proofErr w:type="spellEnd"/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). </w:t>
      </w:r>
      <w:r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Anterior Foregut </w:t>
      </w:r>
      <w:r w:rsidR="001A3778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Endoderm</w:t>
      </w:r>
      <w:r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(AFE</w:t>
      </w:r>
      <w:r w:rsidR="006E63CB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):</w:t>
      </w:r>
      <w:r w:rsidR="001A3778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3e</w:t>
      </w:r>
      <w:r w:rsidR="0061357A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. </w:t>
      </w:r>
      <w:r w:rsidR="0061357A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>Unstained</w:t>
      </w:r>
      <w:r w:rsidR="001A3778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 xml:space="preserve"> (normal),</w:t>
      </w:r>
      <w:r w:rsidR="001A3778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3f</w:t>
      </w:r>
      <w:r w:rsidR="0061357A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.</w:t>
      </w:r>
      <w:r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</w:t>
      </w:r>
      <w:r w:rsidR="001A3778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>AFE (normal)</w:t>
      </w:r>
      <w:r w:rsidR="001A3778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NKX2-1</w:t>
      </w:r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+, </w:t>
      </w:r>
      <w:proofErr w:type="spellStart"/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EpCAM</w:t>
      </w:r>
      <w:proofErr w:type="spellEnd"/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+</w:t>
      </w:r>
      <w:r w:rsidR="001A377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, Sox9+, Pax9+ positive cells were gated for single cells in live cells. </w:t>
      </w:r>
      <w:r w:rsidR="004A0109" w:rsidRPr="00146E63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  <w:lang w:val="en-GB"/>
        </w:rPr>
        <w:t>3g.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AFE (</w:t>
      </w:r>
      <w:proofErr w:type="spellStart"/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cmO</w:t>
      </w:r>
      <w:proofErr w:type="spellEnd"/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) unstained, </w:t>
      </w:r>
      <w:r w:rsidR="004A0109" w:rsidRPr="00146E63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  <w:lang w:val="en-GB"/>
        </w:rPr>
        <w:t>3h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. AFE (stained). </w:t>
      </w:r>
      <w:r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Early Alveolar Lung Orga</w:t>
      </w:r>
      <w:r w:rsidR="004A0109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noids (Organoids in Suspension) 3i. </w:t>
      </w:r>
      <w:r w:rsidR="004A0109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>ELBO Unstained (normal)</w:t>
      </w:r>
      <w:r w:rsidR="004A0109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, 3j</w:t>
      </w:r>
      <w:r w:rsidR="0061357A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.</w:t>
      </w:r>
      <w:r w:rsidR="004A0109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</w:t>
      </w:r>
      <w:r w:rsidR="004A0109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>ELBO stained (normal)</w:t>
      </w:r>
      <w:r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NKX2-1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+, </w:t>
      </w:r>
      <w:proofErr w:type="spellStart"/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EpCAM</w:t>
      </w:r>
      <w:proofErr w:type="spellEnd"/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+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and Sox9+ population were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gated for under live cells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;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SFTPB+ and SFTPC+ populations were gated under EPCAM+ cells.</w:t>
      </w:r>
      <w:r w:rsidR="004A0109" w:rsidRPr="00146E63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  <w:lang w:val="en-GB"/>
        </w:rPr>
        <w:t xml:space="preserve"> 3k.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ELBO unstained (</w:t>
      </w:r>
      <w:proofErr w:type="spellStart"/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cmO</w:t>
      </w:r>
      <w:proofErr w:type="spellEnd"/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), </w:t>
      </w:r>
      <w:r w:rsidR="004A0109" w:rsidRPr="00146E63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  <w:lang w:val="en-GB"/>
        </w:rPr>
        <w:t>3l.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ELBO stained (</w:t>
      </w:r>
      <w:proofErr w:type="spellStart"/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cmO</w:t>
      </w:r>
      <w:proofErr w:type="spellEnd"/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).</w:t>
      </w:r>
      <w:r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Mature Alveolar Lung Organoids (Organoids in </w:t>
      </w:r>
      <w:proofErr w:type="spellStart"/>
      <w:r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Matrigel</w:t>
      </w:r>
      <w:proofErr w:type="spellEnd"/>
      <w:r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Sandwich)</w:t>
      </w:r>
      <w:r w:rsidR="0061357A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</w:t>
      </w:r>
      <w:r w:rsidR="004A0109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3m.</w:t>
      </w:r>
      <w:r w:rsidR="0061357A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 xml:space="preserve"> </w:t>
      </w:r>
      <w:r w:rsidR="004A0109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>u</w:t>
      </w:r>
      <w:r w:rsidR="0061357A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>ns</w:t>
      </w:r>
      <w:r w:rsidR="004A0109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>tained (normal)</w:t>
      </w:r>
      <w:r w:rsidR="004A0109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, 3n</w:t>
      </w:r>
      <w:r w:rsidR="0061357A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>.</w:t>
      </w:r>
      <w:r w:rsidR="004A0109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</w:t>
      </w:r>
      <w:r w:rsidR="004A0109" w:rsidRPr="00146E63">
        <w:rPr>
          <w:rFonts w:ascii="Times New Roman" w:hAnsi="Times New Roman" w:cs="Times New Roman"/>
          <w:bCs/>
          <w:color w:val="00B0F0"/>
          <w:sz w:val="24"/>
          <w:szCs w:val="24"/>
          <w:lang w:val="en-GB"/>
        </w:rPr>
        <w:t>stained (normal)</w:t>
      </w:r>
      <w:r w:rsidR="0061357A" w:rsidRPr="00146E63">
        <w:rPr>
          <w:rFonts w:ascii="Times New Roman" w:hAnsi="Times New Roman" w:cs="Times New Roman"/>
          <w:b/>
          <w:bCs/>
          <w:color w:val="00B0F0"/>
          <w:sz w:val="24"/>
          <w:szCs w:val="24"/>
          <w:lang w:val="en-GB"/>
        </w:rPr>
        <w:t xml:space="preserve"> 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NKX2-1+</w:t>
      </w:r>
      <w:r w:rsidR="008216F0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, </w:t>
      </w:r>
      <w:proofErr w:type="spellStart"/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EpCAM</w:t>
      </w:r>
      <w:proofErr w:type="spellEnd"/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+</w:t>
      </w:r>
      <w:r w:rsidR="008216F0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,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and Sox9+ population were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gated under live cells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;</w:t>
      </w:r>
      <w:r w:rsidR="008216F0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SFTPB+ and S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FTPC+ populations were gated</w:t>
      </w:r>
      <w:r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under EPCAM+ cells</w:t>
      </w:r>
      <w:r w:rsidR="008216F0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.</w:t>
      </w:r>
      <w:r w:rsidR="00B12868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</w:t>
      </w:r>
      <w:r w:rsidR="004A0109" w:rsidRPr="00146E63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  <w:lang w:val="en-GB"/>
        </w:rPr>
        <w:t>3o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unstained (</w:t>
      </w:r>
      <w:proofErr w:type="spellStart"/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cmO</w:t>
      </w:r>
      <w:proofErr w:type="spellEnd"/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), </w:t>
      </w:r>
      <w:r w:rsidR="004A0109" w:rsidRPr="00146E63">
        <w:rPr>
          <w:rFonts w:ascii="Times New Roman" w:hAnsi="Times New Roman" w:cs="Times New Roman"/>
          <w:b/>
          <w:color w:val="00B0F0"/>
          <w:sz w:val="24"/>
          <w:szCs w:val="24"/>
          <w:shd w:val="clear" w:color="auto" w:fill="FFFFFF"/>
          <w:lang w:val="en-GB"/>
        </w:rPr>
        <w:t>3p</w:t>
      </w:r>
      <w:r w:rsidR="004A0109" w:rsidRPr="00146E63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mature organoids stained. </w:t>
      </w:r>
    </w:p>
    <w:p w:rsidR="00B12868" w:rsidRDefault="00AB43EF" w:rsidP="00B12868">
      <w:pPr>
        <w:jc w:val="both"/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</w:pPr>
      <w:r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Figure S</w:t>
      </w:r>
      <w:r w:rsidR="007A00CE"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4:</w:t>
      </w:r>
      <w:r w:rsidRPr="00B12868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</w:t>
      </w:r>
      <w:r w:rsidR="00B12868" w:rsidRPr="00B12868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Representative images of all the cell types stained</w:t>
      </w:r>
      <w:r w:rsidR="00826DCC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with different antibodies</w:t>
      </w:r>
      <w:r w:rsidR="00B12868" w:rsidRPr="00B12868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is shown along with a </w:t>
      </w:r>
      <w:r w:rsidR="000353AF" w:rsidRPr="00B12868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>bright field</w:t>
      </w:r>
      <w:r w:rsidR="00B12868" w:rsidRPr="00B12868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image</w:t>
      </w:r>
      <w:r w:rsidR="00826DCC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of the single cells</w:t>
      </w:r>
      <w:r w:rsidR="00B12868" w:rsidRPr="00B12868">
        <w:rPr>
          <w:rFonts w:ascii="Times New Roman" w:hAnsi="Times New Roman" w:cs="Times New Roman"/>
          <w:color w:val="00B0F0"/>
          <w:sz w:val="24"/>
          <w:szCs w:val="24"/>
          <w:shd w:val="clear" w:color="auto" w:fill="FFFFFF"/>
          <w:lang w:val="en-GB"/>
        </w:rPr>
        <w:t xml:space="preserve"> (Images generated by IDEAS software). </w:t>
      </w:r>
    </w:p>
    <w:p w:rsidR="00826DCC" w:rsidRPr="0061357A" w:rsidRDefault="00826DCC" w:rsidP="00B1286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</w:pPr>
    </w:p>
    <w:p w:rsidR="00826DCC" w:rsidRPr="00146E63" w:rsidRDefault="00282DF6" w:rsidP="0060290A">
      <w:pPr>
        <w:jc w:val="both"/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  <w:lang w:val="en-GB"/>
        </w:rPr>
      </w:pPr>
      <w:r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lastRenderedPageBreak/>
        <w:t>Figure S</w:t>
      </w:r>
      <w:r w:rsidR="007A00CE"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5</w:t>
      </w:r>
      <w:r w:rsidRPr="006135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en-GB"/>
        </w:rPr>
        <w:t>:</w:t>
      </w:r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Relative mRNA expression of markers of fibrosis (A) COL1A</w:t>
      </w:r>
      <w:r w:rsidR="001B1B27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1 (0.50±0.18) </w:t>
      </w:r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(B) Fibronectin</w:t>
      </w:r>
      <w:r w:rsidR="001B1B27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(0.83±0.12) (C) KRT17 (0.96±0.04)</w:t>
      </w:r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in </w:t>
      </w:r>
      <w:proofErr w:type="spellStart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cmO</w:t>
      </w:r>
      <w:proofErr w:type="spellEnd"/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. The values are normalized to the </w:t>
      </w:r>
      <w:r w:rsidR="00BE74B8"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>organoids</w:t>
      </w:r>
      <w:r w:rsidRPr="006135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GB"/>
        </w:rPr>
        <w:t xml:space="preserve"> growing in normal condition. Data represented as </w:t>
      </w:r>
      <w:r w:rsidR="00BE74B8" w:rsidRPr="00146E6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  <w:lang w:val="en-GB"/>
        </w:rPr>
        <w:t xml:space="preserve">2∆∆Ct values. </w:t>
      </w:r>
    </w:p>
    <w:p w:rsidR="000353AF" w:rsidRPr="00146E63" w:rsidRDefault="000353AF" w:rsidP="0060290A">
      <w:pPr>
        <w:jc w:val="both"/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  <w:lang w:val="en-GB"/>
        </w:rPr>
      </w:pPr>
    </w:p>
    <w:p w:rsidR="00826DCC" w:rsidRPr="00146E63" w:rsidRDefault="00826DCC" w:rsidP="0060290A">
      <w:pPr>
        <w:jc w:val="both"/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  <w:lang w:val="en-GB"/>
        </w:rPr>
      </w:pPr>
      <w:r w:rsidRPr="00146E63">
        <w:rPr>
          <w:rFonts w:ascii="Times New Roman" w:hAnsi="Times New Roman" w:cs="Times New Roman"/>
          <w:color w:val="474747"/>
          <w:sz w:val="24"/>
          <w:szCs w:val="24"/>
          <w:shd w:val="clear" w:color="auto" w:fill="FFFFFF"/>
          <w:lang w:val="en-GB"/>
        </w:rPr>
        <w:t xml:space="preserve">References: </w:t>
      </w:r>
    </w:p>
    <w:p w:rsidR="00826DCC" w:rsidRPr="00826DCC" w:rsidRDefault="00826DCC" w:rsidP="00826DCC">
      <w:pPr>
        <w:pStyle w:val="EndNoteBibliography"/>
        <w:ind w:left="720" w:hanging="720"/>
      </w:pPr>
      <w:r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GB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Pr="00826DCC">
        <w:t>1.</w:t>
      </w:r>
      <w:r w:rsidRPr="00826DCC">
        <w:tab/>
        <w:t xml:space="preserve">Rees, P., et al., </w:t>
      </w:r>
      <w:r w:rsidRPr="00826DCC">
        <w:rPr>
          <w:i/>
        </w:rPr>
        <w:t>Imaging flow cytometry: a primer.</w:t>
      </w:r>
      <w:r w:rsidRPr="00826DCC">
        <w:t xml:space="preserve"> Nat Rev Methods Primers, 2022. </w:t>
      </w:r>
      <w:r w:rsidRPr="00826DCC">
        <w:rPr>
          <w:b/>
        </w:rPr>
        <w:t>2</w:t>
      </w:r>
      <w:r w:rsidRPr="00826DCC">
        <w:t>.</w:t>
      </w:r>
    </w:p>
    <w:p w:rsidR="00282DF6" w:rsidRPr="0061357A" w:rsidRDefault="00826DCC" w:rsidP="0060290A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</w:p>
    <w:sectPr w:rsidR="00282DF6" w:rsidRPr="00613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a22dpscpxfe7epzda5va5iwvdpzvvz9v9e&quot;&gt;My EndNote Library&lt;record-ids&gt;&lt;item&gt;405&lt;/item&gt;&lt;/record-ids&gt;&lt;/item&gt;&lt;/Libraries&gt;"/>
  </w:docVars>
  <w:rsids>
    <w:rsidRoot w:val="0060290A"/>
    <w:rsid w:val="000353AF"/>
    <w:rsid w:val="00146E63"/>
    <w:rsid w:val="0018118D"/>
    <w:rsid w:val="00183CC2"/>
    <w:rsid w:val="001A3778"/>
    <w:rsid w:val="001B1B27"/>
    <w:rsid w:val="00282DF6"/>
    <w:rsid w:val="0035035F"/>
    <w:rsid w:val="00486040"/>
    <w:rsid w:val="004A0109"/>
    <w:rsid w:val="0060290A"/>
    <w:rsid w:val="0061357A"/>
    <w:rsid w:val="006E63CB"/>
    <w:rsid w:val="00725826"/>
    <w:rsid w:val="007A00CE"/>
    <w:rsid w:val="008216F0"/>
    <w:rsid w:val="00826DCC"/>
    <w:rsid w:val="00857E0E"/>
    <w:rsid w:val="00A85E2B"/>
    <w:rsid w:val="00AB43EF"/>
    <w:rsid w:val="00B02909"/>
    <w:rsid w:val="00B12868"/>
    <w:rsid w:val="00BE74B8"/>
    <w:rsid w:val="00C0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6652CE-E379-491D-8BA9-75A00993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26DC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26DC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26DCC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26DCC"/>
    <w:rPr>
      <w:rFonts w:ascii="Calibri" w:hAnsi="Calibri" w:cs="Calibri"/>
      <w:noProof/>
      <w:lang w:val="en-US"/>
    </w:rPr>
  </w:style>
  <w:style w:type="character" w:styleId="Emphasis">
    <w:name w:val="Emphasis"/>
    <w:basedOn w:val="DefaultParagraphFont"/>
    <w:uiPriority w:val="20"/>
    <w:qFormat/>
    <w:rsid w:val="00826D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Gazdhar, Amiq (DBMR)</dc:creator>
  <cp:keywords/>
  <dc:description/>
  <cp:lastModifiedBy>Gazdhar, Amiq (DBMR)</cp:lastModifiedBy>
  <cp:revision>5</cp:revision>
  <dcterms:created xsi:type="dcterms:W3CDTF">2024-07-26T15:04:00Z</dcterms:created>
  <dcterms:modified xsi:type="dcterms:W3CDTF">2024-08-02T15:53:00Z</dcterms:modified>
</cp:coreProperties>
</file>