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25E" w:rsidRDefault="00543499" w:rsidP="0059725E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Supplementary </w:t>
      </w:r>
      <w:bookmarkStart w:id="0" w:name="_GoBack"/>
      <w:bookmarkEnd w:id="0"/>
    </w:p>
    <w:p w:rsidR="004C09F4" w:rsidRDefault="004C09F4" w:rsidP="004C09F4">
      <w:pPr>
        <w:spacing w:before="120"/>
        <w:rPr>
          <w:b/>
          <w:bCs/>
          <w:color w:val="000000" w:themeColor="text1"/>
          <w:sz w:val="21"/>
          <w:szCs w:val="21"/>
        </w:rPr>
      </w:pPr>
      <w:proofErr w:type="gramStart"/>
      <w:r>
        <w:rPr>
          <w:b/>
          <w:bCs/>
          <w:color w:val="000000" w:themeColor="text1"/>
          <w:sz w:val="21"/>
          <w:szCs w:val="21"/>
        </w:rPr>
        <w:t>Supplementary Figure 1.</w:t>
      </w:r>
      <w:proofErr w:type="gramEnd"/>
      <w:r>
        <w:rPr>
          <w:b/>
          <w:bCs/>
          <w:color w:val="000000" w:themeColor="text1"/>
          <w:sz w:val="21"/>
          <w:szCs w:val="21"/>
        </w:rPr>
        <w:t xml:space="preserve"> </w:t>
      </w:r>
      <w:proofErr w:type="gramStart"/>
      <w:r>
        <w:rPr>
          <w:b/>
          <w:bCs/>
          <w:color w:val="000000" w:themeColor="text1"/>
          <w:sz w:val="21"/>
          <w:szCs w:val="21"/>
        </w:rPr>
        <w:t>Validation of ANXA3 knockdown and overexpression efficiency.</w:t>
      </w:r>
      <w:proofErr w:type="gramEnd"/>
    </w:p>
    <w:p w:rsidR="004C09F4" w:rsidRPr="004C09F4" w:rsidRDefault="004C09F4" w:rsidP="004C09F4">
      <w:pPr>
        <w:spacing w:before="120"/>
        <w:rPr>
          <w:color w:val="000000" w:themeColor="text1"/>
          <w:sz w:val="21"/>
          <w:szCs w:val="21"/>
        </w:rPr>
      </w:pPr>
      <w:proofErr w:type="gramStart"/>
      <w:r>
        <w:rPr>
          <w:b/>
          <w:bCs/>
          <w:color w:val="000000" w:themeColor="text1"/>
          <w:sz w:val="21"/>
          <w:szCs w:val="21"/>
        </w:rPr>
        <w:t>(A)</w:t>
      </w:r>
      <w:r>
        <w:rPr>
          <w:color w:val="000000" w:themeColor="text1"/>
          <w:sz w:val="21"/>
          <w:szCs w:val="21"/>
        </w:rPr>
        <w:t xml:space="preserve"> Representative Western blot images (top) and quantitative bar graph (bottom) of the relative protein levels demonstrating ANXA3 knockdown efficiency.</w:t>
      </w:r>
      <w:proofErr w:type="gramEnd"/>
      <w:r>
        <w:rPr>
          <w:color w:val="000000" w:themeColor="text1"/>
          <w:sz w:val="21"/>
          <w:szCs w:val="21"/>
        </w:rPr>
        <w:t xml:space="preserve"> HOS cells were treated with </w:t>
      </w:r>
      <w:proofErr w:type="spellStart"/>
      <w:r>
        <w:rPr>
          <w:color w:val="000000" w:themeColor="text1"/>
          <w:sz w:val="21"/>
          <w:szCs w:val="21"/>
        </w:rPr>
        <w:t>siNC</w:t>
      </w:r>
      <w:proofErr w:type="spellEnd"/>
      <w:r>
        <w:rPr>
          <w:color w:val="000000" w:themeColor="text1"/>
          <w:sz w:val="21"/>
          <w:szCs w:val="21"/>
        </w:rPr>
        <w:t xml:space="preserve"> (negative control), siANXA3#1, or siANXA3#2 (ANXA3-targeting sequences). </w:t>
      </w:r>
      <w:proofErr w:type="gramStart"/>
      <w:r>
        <w:rPr>
          <w:b/>
          <w:bCs/>
          <w:color w:val="000000" w:themeColor="text1"/>
          <w:sz w:val="21"/>
          <w:szCs w:val="21"/>
        </w:rPr>
        <w:t xml:space="preserve">(B) </w:t>
      </w:r>
      <w:r>
        <w:rPr>
          <w:color w:val="000000" w:themeColor="text1"/>
          <w:sz w:val="21"/>
          <w:szCs w:val="21"/>
        </w:rPr>
        <w:t>Representative Western blot images (top) and quantitative bar graph (bottom) of the relative protein levels demonstrating ANXA3 overexpression efficiency.</w:t>
      </w:r>
      <w:proofErr w:type="gramEnd"/>
      <w:r>
        <w:rPr>
          <w:color w:val="000000" w:themeColor="text1"/>
          <w:sz w:val="21"/>
          <w:szCs w:val="21"/>
        </w:rPr>
        <w:t xml:space="preserve"> U2OS cells were transfected with vector (empty vector control) or oe-ANXA3 (ANXA3 overexpression vector). Data are presented as mean ± SD. One-way ANOVA. </w:t>
      </w:r>
      <w:r>
        <w:rPr>
          <w:color w:val="000000" w:themeColor="text1"/>
          <w:sz w:val="21"/>
          <w:szCs w:val="21"/>
          <w:vertAlign w:val="superscript"/>
        </w:rPr>
        <w:t>**</w:t>
      </w:r>
      <w:r>
        <w:rPr>
          <w:i/>
          <w:iCs/>
          <w:color w:val="000000" w:themeColor="text1"/>
          <w:sz w:val="21"/>
          <w:szCs w:val="21"/>
        </w:rPr>
        <w:t>P</w:t>
      </w:r>
      <w:r>
        <w:rPr>
          <w:color w:val="000000" w:themeColor="text1"/>
          <w:sz w:val="21"/>
          <w:szCs w:val="21"/>
        </w:rPr>
        <w:t xml:space="preserve"> &lt; 0.01.</w:t>
      </w:r>
    </w:p>
    <w:p w:rsidR="009B0990" w:rsidRDefault="0059725E">
      <w:r>
        <w:rPr>
          <w:noProof/>
        </w:rPr>
        <w:drawing>
          <wp:inline distT="0" distB="0" distL="0" distR="0" wp14:anchorId="16971327" wp14:editId="287E83B2">
            <wp:extent cx="5274310" cy="2836545"/>
            <wp:effectExtent l="0" t="0" r="2540" b="1905"/>
            <wp:docPr id="4954254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4254" name="图片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09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25E"/>
    <w:rsid w:val="002F3C7F"/>
    <w:rsid w:val="004C09F4"/>
    <w:rsid w:val="00543499"/>
    <w:rsid w:val="0059725E"/>
    <w:rsid w:val="0080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7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2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7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2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4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Luga</dc:creator>
  <cp:lastModifiedBy>Jennifer Luga</cp:lastModifiedBy>
  <cp:revision>8</cp:revision>
  <dcterms:created xsi:type="dcterms:W3CDTF">2026-05-23T03:33:00Z</dcterms:created>
  <dcterms:modified xsi:type="dcterms:W3CDTF">2026-05-23T03:40:00Z</dcterms:modified>
</cp:coreProperties>
</file>