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EFF" w:rsidRPr="005B3EFF" w:rsidRDefault="005B3EFF">
      <w:pPr>
        <w:rPr>
          <w:rFonts w:ascii="Times New Roman" w:hAnsi="Times New Roman"/>
          <w:noProof/>
          <w:sz w:val="24"/>
          <w:szCs w:val="24"/>
          <w:lang w:val="en-US" w:eastAsia="sv-SE"/>
        </w:rPr>
      </w:pPr>
      <w:r>
        <w:rPr>
          <w:rFonts w:ascii="Times New Roman" w:hAnsi="Times New Roman" w:cs="Times New Roman"/>
          <w:b/>
          <w:lang w:val="en-US"/>
        </w:rPr>
        <w:t>Appendix 1</w:t>
      </w:r>
      <w:r>
        <w:rPr>
          <w:rFonts w:ascii="Times New Roman" w:hAnsi="Times New Roman" w:cs="Times New Roman"/>
          <w:b/>
          <w:lang w:val="en-US"/>
        </w:rPr>
        <w:t xml:space="preserve">.  </w:t>
      </w:r>
      <w:r>
        <w:rPr>
          <w:rFonts w:ascii="Times New Roman" w:hAnsi="Times New Roman" w:cs="Times New Roman"/>
          <w:lang w:val="en-US"/>
        </w:rPr>
        <w:t>F</w:t>
      </w:r>
      <w:r w:rsidRPr="00DF0CE3">
        <w:rPr>
          <w:rFonts w:ascii="Times New Roman" w:hAnsi="Times New Roman" w:cs="Times New Roman"/>
          <w:lang w:val="en-US"/>
        </w:rPr>
        <w:t>low chart</w:t>
      </w:r>
      <w:r>
        <w:rPr>
          <w:rFonts w:ascii="Times New Roman" w:hAnsi="Times New Roman" w:cs="Times New Roman"/>
          <w:lang w:val="en-US"/>
        </w:rPr>
        <w:t xml:space="preserve"> of the study</w:t>
      </w:r>
    </w:p>
    <w:p w:rsidR="005B3EFF" w:rsidRDefault="005B3EF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sv-SE"/>
        </w:rPr>
        <w:drawing>
          <wp:inline distT="0" distB="0" distL="0" distR="0" wp14:anchorId="17EDF452" wp14:editId="1EC2AD1B">
            <wp:extent cx="5760720" cy="2852420"/>
            <wp:effectExtent l="0" t="0" r="0" b="2413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5B3EFF" w:rsidRDefault="005B3EFF">
      <w:pPr>
        <w:rPr>
          <w:rFonts w:ascii="Times New Roman" w:hAnsi="Times New Roman" w:cs="Times New Roman"/>
          <w:b/>
          <w:lang w:val="en-US"/>
        </w:rPr>
      </w:pPr>
    </w:p>
    <w:p w:rsidR="005B3EFF" w:rsidRDefault="005B3EFF">
      <w:pPr>
        <w:rPr>
          <w:rFonts w:ascii="Times New Roman" w:hAnsi="Times New Roman" w:cs="Times New Roman"/>
          <w:b/>
          <w:lang w:val="en-US"/>
        </w:rPr>
      </w:pPr>
    </w:p>
    <w:p w:rsidR="00A81D6D" w:rsidRDefault="00457C84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>Appendix</w:t>
      </w:r>
      <w:r w:rsidR="005B3EFF">
        <w:rPr>
          <w:rFonts w:ascii="Times New Roman" w:hAnsi="Times New Roman" w:cs="Times New Roman"/>
          <w:b/>
          <w:lang w:val="en-US"/>
        </w:rPr>
        <w:t xml:space="preserve"> 2</w:t>
      </w:r>
      <w:r w:rsidR="00A81D6D" w:rsidRPr="00E730D1">
        <w:rPr>
          <w:rFonts w:ascii="Times New Roman" w:hAnsi="Times New Roman" w:cs="Times New Roman"/>
          <w:b/>
          <w:lang w:val="en-US"/>
        </w:rPr>
        <w:t xml:space="preserve">. </w:t>
      </w:r>
      <w:r w:rsidR="00A81D6D" w:rsidRPr="00E730D1">
        <w:rPr>
          <w:rFonts w:ascii="Times New Roman" w:hAnsi="Times New Roman" w:cs="Times New Roman"/>
          <w:lang w:val="en-US"/>
        </w:rPr>
        <w:t>Definitions of variables included in the multivariable analyses.</w:t>
      </w:r>
    </w:p>
    <w:tbl>
      <w:tblPr>
        <w:tblStyle w:val="PlainTable1"/>
        <w:tblW w:w="10097" w:type="dxa"/>
        <w:tblLook w:val="04A0" w:firstRow="1" w:lastRow="0" w:firstColumn="1" w:lastColumn="0" w:noHBand="0" w:noVBand="1"/>
      </w:tblPr>
      <w:tblGrid>
        <w:gridCol w:w="4531"/>
        <w:gridCol w:w="5566"/>
      </w:tblGrid>
      <w:tr w:rsidR="00A81D6D" w:rsidRPr="00457C84" w:rsidTr="002764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Variables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Codes</w:t>
            </w:r>
          </w:p>
        </w:tc>
      </w:tr>
      <w:tr w:rsidR="00A81D6D" w:rsidRPr="00457C84" w:rsidTr="0027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Diseases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A81D6D" w:rsidRPr="00457C84" w:rsidTr="0027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Renal diseases</w:t>
            </w:r>
          </w:p>
        </w:tc>
        <w:tc>
          <w:tcPr>
            <w:tcW w:w="5566" w:type="dxa"/>
          </w:tcPr>
          <w:p w:rsidR="00A81D6D" w:rsidRPr="005B3EFF" w:rsidRDefault="00A81D6D" w:rsidP="002764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5B3EFF">
              <w:rPr>
                <w:rFonts w:ascii="Times New Roman" w:eastAsia="Times New Roman" w:hAnsi="Times New Roman" w:cs="Times New Roman"/>
                <w:color w:val="000000"/>
              </w:rPr>
              <w:t>N17-19, procedure codes DR016, DR024, KAS00, KAS10, KAS20</w:t>
            </w:r>
          </w:p>
        </w:tc>
      </w:tr>
      <w:tr w:rsidR="00A81D6D" w:rsidRPr="00A83A33" w:rsidTr="0027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Sepsis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A41</w:t>
            </w:r>
          </w:p>
        </w:tc>
      </w:tr>
      <w:tr w:rsidR="00A81D6D" w:rsidRPr="00E730D1" w:rsidTr="0027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Pneumonia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J18</w:t>
            </w:r>
          </w:p>
        </w:tc>
      </w:tr>
      <w:tr w:rsidR="00A81D6D" w:rsidRPr="00E730D1" w:rsidTr="0027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Meningitis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G00-G07</w:t>
            </w:r>
          </w:p>
        </w:tc>
      </w:tr>
      <w:tr w:rsidR="00A81D6D" w:rsidRPr="00E730D1" w:rsidTr="0027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Ischemic heart disease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I20-25</w:t>
            </w:r>
          </w:p>
        </w:tc>
      </w:tr>
      <w:tr w:rsidR="00A81D6D" w:rsidRPr="00E730D1" w:rsidTr="0027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Malignant disease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</w:t>
            </w:r>
          </w:p>
        </w:tc>
      </w:tr>
      <w:tr w:rsidR="00A81D6D" w:rsidRPr="00E730D1" w:rsidTr="0027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Congestive heart failure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I50</w:t>
            </w:r>
          </w:p>
        </w:tc>
      </w:tr>
      <w:tr w:rsidR="00A81D6D" w:rsidRPr="005B3EFF" w:rsidTr="0027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Liver diseases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K70-77 Procedure codes JJB, JJC</w:t>
            </w:r>
          </w:p>
        </w:tc>
      </w:tr>
      <w:tr w:rsidR="00A81D6D" w:rsidRPr="00E730D1" w:rsidTr="0027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Cerebrovascular diseases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I60-64, I69</w:t>
            </w:r>
          </w:p>
        </w:tc>
      </w:tr>
      <w:tr w:rsidR="00A81D6D" w:rsidRPr="00E730D1" w:rsidTr="0027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Pulmonary disease:</w:t>
            </w:r>
          </w:p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Chronic obstructive pulmonary disease</w:t>
            </w:r>
          </w:p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lastRenderedPageBreak/>
              <w:t>Pulmonary embolism</w:t>
            </w:r>
          </w:p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Chronic Obstructive Pulmonary Disease (COPD)</w:t>
            </w:r>
          </w:p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Primary Pulmonary Hypertension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J44</w:t>
            </w:r>
          </w:p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>I26</w:t>
            </w:r>
          </w:p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J44</w:t>
            </w:r>
          </w:p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I27</w:t>
            </w:r>
          </w:p>
        </w:tc>
      </w:tr>
      <w:tr w:rsidR="00A81D6D" w:rsidRPr="005B3EFF" w:rsidTr="0027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Combination of ATC- and ICD-10 codes, each beginning with</w:t>
            </w:r>
          </w:p>
        </w:tc>
      </w:tr>
      <w:tr w:rsidR="00A81D6D" w:rsidRPr="005B3EFF" w:rsidTr="0027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Alcoholism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ATC: N07BB03, N07BB04, N07BB01, N07BB05, N07BB</w:t>
            </w:r>
          </w:p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ICD10: E244, F10, G312, G621, G721, I426, K292, K70, K860, O354, P043, Q860, T51, Y90-91, Z502, Z714</w:t>
            </w:r>
          </w:p>
        </w:tc>
      </w:tr>
      <w:tr w:rsidR="00A81D6D" w:rsidRPr="00E730D1" w:rsidTr="00276405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Adrenal insufficiency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ICD10: E27 </w:t>
            </w:r>
          </w:p>
        </w:tc>
      </w:tr>
      <w:tr w:rsidR="00A81D6D" w:rsidRPr="00E730D1" w:rsidTr="0027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Diabetes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ICD10:  E10-E14</w:t>
            </w:r>
          </w:p>
        </w:tc>
      </w:tr>
      <w:tr w:rsidR="00A81D6D" w:rsidRPr="00E730D1" w:rsidTr="00276405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Other factors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A81D6D" w:rsidRPr="005B3EFF" w:rsidTr="0027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Drug use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Number of dispensed drugs 90 days prior to index date, categorised into &lt;4, 4-7, 8-12 and &gt;12 drugs</w:t>
            </w:r>
          </w:p>
        </w:tc>
      </w:tr>
      <w:tr w:rsidR="00A81D6D" w:rsidRPr="005B3EFF" w:rsidTr="00276405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81D6D" w:rsidRPr="007A6905" w:rsidRDefault="00A81D6D" w:rsidP="00276405">
            <w:pPr>
              <w:spacing w:line="48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7A6905">
              <w:rPr>
                <w:rFonts w:ascii="Times New Roman" w:hAnsi="Times New Roman" w:cs="Times New Roman"/>
                <w:lang w:val="en-GB"/>
              </w:rPr>
              <w:t>Previous hospitalization, (frailty</w:t>
            </w:r>
          </w:p>
        </w:tc>
        <w:tc>
          <w:tcPr>
            <w:tcW w:w="5566" w:type="dxa"/>
          </w:tcPr>
          <w:p w:rsidR="00A81D6D" w:rsidRPr="007A6905" w:rsidRDefault="00A81D6D" w:rsidP="002764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A69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&gt;2 days within 2 years prior to index date</w:t>
            </w:r>
          </w:p>
        </w:tc>
      </w:tr>
    </w:tbl>
    <w:p w:rsidR="00A81D6D" w:rsidRPr="00A81D6D" w:rsidRDefault="00A81D6D">
      <w:pPr>
        <w:rPr>
          <w:lang w:val="en-US"/>
        </w:rPr>
      </w:pPr>
    </w:p>
    <w:sectPr w:rsidR="00A81D6D" w:rsidRPr="00A81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6D"/>
    <w:rsid w:val="00457C84"/>
    <w:rsid w:val="004B590B"/>
    <w:rsid w:val="005B3EFF"/>
    <w:rsid w:val="00A81D6D"/>
    <w:rsid w:val="00A8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57891-AE4D-42FC-8B78-E11AB60E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A81D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16AC4F9-668F-41FA-BC8E-286244FF168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2FF10062-F36D-4AD8-B269-AF9F531B6388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pPr marR="0" algn="ctr" rtl="0"/>
          <a:r>
            <a:rPr lang="sv-SE" sz="11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Swedish population, 18 years or older</a:t>
          </a:r>
          <a:endParaRPr lang="sv-SE" sz="1100" baseline="0">
            <a:solidFill>
              <a:sysClr val="windowText" lastClr="000000"/>
            </a:solidFill>
          </a:endParaRPr>
        </a:p>
      </dgm:t>
    </dgm:pt>
    <dgm:pt modelId="{F6AAC61B-333D-42FD-999A-F05D3C891EC3}" type="parTrans" cxnId="{D23447FE-6E0D-4B71-8D3D-C68657954A58}">
      <dgm:prSet/>
      <dgm:spPr/>
      <dgm:t>
        <a:bodyPr/>
        <a:lstStyle/>
        <a:p>
          <a:endParaRPr lang="sv-SE" sz="1100"/>
        </a:p>
      </dgm:t>
    </dgm:pt>
    <dgm:pt modelId="{8288F5BC-1C60-4024-9DD2-99590CF0A466}" type="sibTrans" cxnId="{D23447FE-6E0D-4B71-8D3D-C68657954A58}">
      <dgm:prSet/>
      <dgm:spPr/>
      <dgm:t>
        <a:bodyPr/>
        <a:lstStyle/>
        <a:p>
          <a:endParaRPr lang="sv-SE" sz="1100"/>
        </a:p>
      </dgm:t>
    </dgm:pt>
    <dgm:pt modelId="{3F7DF014-2945-4DB6-96A9-1DA2827959EC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marR="0" algn="ctr" rtl="0"/>
          <a:r>
            <a:rPr lang="en-US" sz="11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Cases, n= 14 359 (with a primary diagnosis of hyponatremia 2005-2014)</a:t>
          </a:r>
          <a:endParaRPr lang="sv-SE" sz="1100" baseline="0">
            <a:solidFill>
              <a:sysClr val="windowText" lastClr="000000"/>
            </a:solidFill>
          </a:endParaRPr>
        </a:p>
      </dgm:t>
    </dgm:pt>
    <dgm:pt modelId="{3FB9F601-C0AE-42D5-8981-B5C031A22919}" type="parTrans" cxnId="{DB68314B-E8DB-4081-9F1C-C24B5E6DFAC3}">
      <dgm:prSet/>
      <dgm:spPr>
        <a:ln>
          <a:solidFill>
            <a:schemeClr val="tx1"/>
          </a:solidFill>
        </a:ln>
      </dgm:spPr>
      <dgm:t>
        <a:bodyPr/>
        <a:lstStyle/>
        <a:p>
          <a:endParaRPr lang="sv-SE" sz="1100"/>
        </a:p>
      </dgm:t>
    </dgm:pt>
    <dgm:pt modelId="{673E804A-6253-4207-882B-2E8F248472A1}" type="sibTrans" cxnId="{DB68314B-E8DB-4081-9F1C-C24B5E6DFAC3}">
      <dgm:prSet/>
      <dgm:spPr/>
      <dgm:t>
        <a:bodyPr/>
        <a:lstStyle/>
        <a:p>
          <a:endParaRPr lang="sv-SE" sz="1100"/>
        </a:p>
      </dgm:t>
    </dgm:pt>
    <dgm:pt modelId="{080C6514-E3BB-41A1-955D-3111DE9307AE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marR="0" algn="ctr" rtl="0"/>
          <a:r>
            <a:rPr lang="en-US" sz="11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Follow up 12 months after index date or until death</a:t>
          </a:r>
          <a:endParaRPr lang="sv-SE" sz="1100" baseline="0">
            <a:solidFill>
              <a:sysClr val="windowText" lastClr="000000"/>
            </a:solidFill>
          </a:endParaRPr>
        </a:p>
      </dgm:t>
    </dgm:pt>
    <dgm:pt modelId="{9DCDE81D-B9FA-4FC8-A2EE-F788F90AABAB}" type="parTrans" cxnId="{F6A6019A-85CE-4B17-9091-FD8A923CF29E}">
      <dgm:prSet/>
      <dgm:spPr>
        <a:ln>
          <a:solidFill>
            <a:schemeClr val="tx1"/>
          </a:solidFill>
        </a:ln>
      </dgm:spPr>
      <dgm:t>
        <a:bodyPr/>
        <a:lstStyle/>
        <a:p>
          <a:endParaRPr lang="sv-SE" sz="1100"/>
        </a:p>
      </dgm:t>
    </dgm:pt>
    <dgm:pt modelId="{12900A93-9EF3-4612-A7C0-8313AF5E18FE}" type="sibTrans" cxnId="{F6A6019A-85CE-4B17-9091-FD8A923CF29E}">
      <dgm:prSet/>
      <dgm:spPr/>
      <dgm:t>
        <a:bodyPr/>
        <a:lstStyle/>
        <a:p>
          <a:endParaRPr lang="sv-SE" sz="1100"/>
        </a:p>
      </dgm:t>
    </dgm:pt>
    <dgm:pt modelId="{7FC12CE0-8811-4F1C-B4D2-495AD0910541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marR="0" algn="ctr" rtl="0"/>
          <a:r>
            <a:rPr lang="en-US" sz="11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Controls, n= 57 382 (no previous entry of hyponatremia diagnosis going back to 1 January 1997)</a:t>
          </a:r>
          <a:endParaRPr lang="sv-SE" sz="1100" baseline="0">
            <a:solidFill>
              <a:sysClr val="windowText" lastClr="000000"/>
            </a:solidFill>
          </a:endParaRPr>
        </a:p>
      </dgm:t>
    </dgm:pt>
    <dgm:pt modelId="{6D1922A6-1015-4245-8BA4-700814DCC775}" type="parTrans" cxnId="{62CBBC40-F088-47F0-97F5-078B9CEBA768}">
      <dgm:prSet/>
      <dgm:spPr>
        <a:ln>
          <a:solidFill>
            <a:schemeClr val="tx1"/>
          </a:solidFill>
        </a:ln>
      </dgm:spPr>
      <dgm:t>
        <a:bodyPr/>
        <a:lstStyle/>
        <a:p>
          <a:endParaRPr lang="sv-SE" sz="1100"/>
        </a:p>
      </dgm:t>
    </dgm:pt>
    <dgm:pt modelId="{5CB3FC49-5EFA-41B3-B6DD-B0742B251AFD}" type="sibTrans" cxnId="{62CBBC40-F088-47F0-97F5-078B9CEBA768}">
      <dgm:prSet/>
      <dgm:spPr/>
      <dgm:t>
        <a:bodyPr/>
        <a:lstStyle/>
        <a:p>
          <a:endParaRPr lang="sv-SE" sz="1100"/>
        </a:p>
      </dgm:t>
    </dgm:pt>
    <dgm:pt modelId="{1113725F-36A8-443B-8E14-45CE3B2CFFDA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marR="0" algn="ctr" rtl="0"/>
          <a:r>
            <a:rPr lang="en-US" sz="11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Follow up 12 months after index date or until death</a:t>
          </a:r>
        </a:p>
      </dgm:t>
    </dgm:pt>
    <dgm:pt modelId="{C0085506-CAF7-4A98-AA94-5183BABBFEF2}" type="parTrans" cxnId="{C2A3EC31-5D97-4B63-BEF2-DC0EB6B35018}">
      <dgm:prSet/>
      <dgm:spPr>
        <a:ln>
          <a:solidFill>
            <a:schemeClr val="tx1"/>
          </a:solidFill>
        </a:ln>
      </dgm:spPr>
      <dgm:t>
        <a:bodyPr/>
        <a:lstStyle/>
        <a:p>
          <a:endParaRPr lang="sv-SE" sz="1100"/>
        </a:p>
      </dgm:t>
    </dgm:pt>
    <dgm:pt modelId="{3B0C5759-7CB7-41E9-AE5D-502221BF06AE}" type="sibTrans" cxnId="{C2A3EC31-5D97-4B63-BEF2-DC0EB6B35018}">
      <dgm:prSet/>
      <dgm:spPr/>
      <dgm:t>
        <a:bodyPr/>
        <a:lstStyle/>
        <a:p>
          <a:endParaRPr lang="sv-SE" sz="1100"/>
        </a:p>
      </dgm:t>
    </dgm:pt>
    <dgm:pt modelId="{3B3045EC-31C7-435C-A2F9-89AD602ACA11}" type="pres">
      <dgm:prSet presAssocID="{116AC4F9-668F-41FA-BC8E-286244FF16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5687E58-A236-487C-A8DB-836DA7687503}" type="pres">
      <dgm:prSet presAssocID="{2FF10062-F36D-4AD8-B269-AF9F531B6388}" presName="hierRoot1" presStyleCnt="0">
        <dgm:presLayoutVars>
          <dgm:hierBranch/>
        </dgm:presLayoutVars>
      </dgm:prSet>
      <dgm:spPr/>
    </dgm:pt>
    <dgm:pt modelId="{6676723F-7A04-4CC7-AE09-056D635B9453}" type="pres">
      <dgm:prSet presAssocID="{2FF10062-F36D-4AD8-B269-AF9F531B6388}" presName="rootComposite1" presStyleCnt="0"/>
      <dgm:spPr/>
    </dgm:pt>
    <dgm:pt modelId="{E1BF7AFC-21F4-4F52-A760-418FBBC9A0D1}" type="pres">
      <dgm:prSet presAssocID="{2FF10062-F36D-4AD8-B269-AF9F531B6388}" presName="rootText1" presStyleLbl="node0" presStyleIdx="0" presStyleCnt="1" custScaleX="119423">
        <dgm:presLayoutVars>
          <dgm:chPref val="3"/>
        </dgm:presLayoutVars>
      </dgm:prSet>
      <dgm:spPr/>
      <dgm:t>
        <a:bodyPr/>
        <a:lstStyle/>
        <a:p>
          <a:endParaRPr lang="sv-SE"/>
        </a:p>
      </dgm:t>
    </dgm:pt>
    <dgm:pt modelId="{739EA228-34BD-4A70-B79E-6AB8ED826A59}" type="pres">
      <dgm:prSet presAssocID="{2FF10062-F36D-4AD8-B269-AF9F531B6388}" presName="rootConnector1" presStyleLbl="node1" presStyleIdx="0" presStyleCnt="0"/>
      <dgm:spPr/>
      <dgm:t>
        <a:bodyPr/>
        <a:lstStyle/>
        <a:p>
          <a:endParaRPr lang="sv-SE"/>
        </a:p>
      </dgm:t>
    </dgm:pt>
    <dgm:pt modelId="{C8F0672D-E983-4E84-9541-39DB3299EB1C}" type="pres">
      <dgm:prSet presAssocID="{2FF10062-F36D-4AD8-B269-AF9F531B6388}" presName="hierChild2" presStyleCnt="0"/>
      <dgm:spPr/>
    </dgm:pt>
    <dgm:pt modelId="{FCA3BE43-FC3A-4FB8-93DF-85A58AF814BB}" type="pres">
      <dgm:prSet presAssocID="{3FB9F601-C0AE-42D5-8981-B5C031A22919}" presName="Name35" presStyleLbl="parChTrans1D2" presStyleIdx="0" presStyleCnt="2"/>
      <dgm:spPr/>
      <dgm:t>
        <a:bodyPr/>
        <a:lstStyle/>
        <a:p>
          <a:endParaRPr lang="sv-SE"/>
        </a:p>
      </dgm:t>
    </dgm:pt>
    <dgm:pt modelId="{B37BC39E-46C0-4089-AE71-163DF5AE1FA7}" type="pres">
      <dgm:prSet presAssocID="{3F7DF014-2945-4DB6-96A9-1DA2827959EC}" presName="hierRoot2" presStyleCnt="0">
        <dgm:presLayoutVars>
          <dgm:hierBranch/>
        </dgm:presLayoutVars>
      </dgm:prSet>
      <dgm:spPr/>
    </dgm:pt>
    <dgm:pt modelId="{ACCE6C4C-8A9D-478D-A1E9-8A64FA27CD4C}" type="pres">
      <dgm:prSet presAssocID="{3F7DF014-2945-4DB6-96A9-1DA2827959EC}" presName="rootComposite" presStyleCnt="0"/>
      <dgm:spPr/>
    </dgm:pt>
    <dgm:pt modelId="{F15BBDD6-D59B-42D4-B162-9B3840722FF9}" type="pres">
      <dgm:prSet presAssocID="{3F7DF014-2945-4DB6-96A9-1DA2827959EC}" presName="rootText" presStyleLbl="node2" presStyleIdx="0" presStyleCnt="2" custScaleX="118292">
        <dgm:presLayoutVars>
          <dgm:chPref val="3"/>
        </dgm:presLayoutVars>
      </dgm:prSet>
      <dgm:spPr/>
      <dgm:t>
        <a:bodyPr/>
        <a:lstStyle/>
        <a:p>
          <a:endParaRPr lang="sv-SE"/>
        </a:p>
      </dgm:t>
    </dgm:pt>
    <dgm:pt modelId="{749F76C1-5D92-414F-8EF9-77FAB8238E52}" type="pres">
      <dgm:prSet presAssocID="{3F7DF014-2945-4DB6-96A9-1DA2827959EC}" presName="rootConnector" presStyleLbl="node2" presStyleIdx="0" presStyleCnt="2"/>
      <dgm:spPr/>
      <dgm:t>
        <a:bodyPr/>
        <a:lstStyle/>
        <a:p>
          <a:endParaRPr lang="sv-SE"/>
        </a:p>
      </dgm:t>
    </dgm:pt>
    <dgm:pt modelId="{8D0CBC23-3EBB-49E0-AFC1-8DA517A96DE3}" type="pres">
      <dgm:prSet presAssocID="{3F7DF014-2945-4DB6-96A9-1DA2827959EC}" presName="hierChild4" presStyleCnt="0"/>
      <dgm:spPr/>
    </dgm:pt>
    <dgm:pt modelId="{5F35A45F-F40B-46B4-9759-A8B83CCA9448}" type="pres">
      <dgm:prSet presAssocID="{9DCDE81D-B9FA-4FC8-A2EE-F788F90AABAB}" presName="Name35" presStyleLbl="parChTrans1D3" presStyleIdx="0" presStyleCnt="2"/>
      <dgm:spPr/>
      <dgm:t>
        <a:bodyPr/>
        <a:lstStyle/>
        <a:p>
          <a:endParaRPr lang="sv-SE"/>
        </a:p>
      </dgm:t>
    </dgm:pt>
    <dgm:pt modelId="{188F36EF-83DC-4B0C-9797-AE2035F98A19}" type="pres">
      <dgm:prSet presAssocID="{080C6514-E3BB-41A1-955D-3111DE9307AE}" presName="hierRoot2" presStyleCnt="0">
        <dgm:presLayoutVars>
          <dgm:hierBranch val="r"/>
        </dgm:presLayoutVars>
      </dgm:prSet>
      <dgm:spPr/>
    </dgm:pt>
    <dgm:pt modelId="{0C52546B-3ADC-4347-97FE-7AC71E703CE6}" type="pres">
      <dgm:prSet presAssocID="{080C6514-E3BB-41A1-955D-3111DE9307AE}" presName="rootComposite" presStyleCnt="0"/>
      <dgm:spPr/>
    </dgm:pt>
    <dgm:pt modelId="{EDFC77E0-CD91-4D1A-9C44-C77C0F6CCF88}" type="pres">
      <dgm:prSet presAssocID="{080C6514-E3BB-41A1-955D-3111DE9307AE}" presName="rootText" presStyleLbl="node3" presStyleIdx="0" presStyleCnt="2" custScaleX="118292">
        <dgm:presLayoutVars>
          <dgm:chPref val="3"/>
        </dgm:presLayoutVars>
      </dgm:prSet>
      <dgm:spPr/>
      <dgm:t>
        <a:bodyPr/>
        <a:lstStyle/>
        <a:p>
          <a:endParaRPr lang="sv-SE"/>
        </a:p>
      </dgm:t>
    </dgm:pt>
    <dgm:pt modelId="{66F9621B-95A9-49D5-A4B3-0284CF96D6C8}" type="pres">
      <dgm:prSet presAssocID="{080C6514-E3BB-41A1-955D-3111DE9307AE}" presName="rootConnector" presStyleLbl="node3" presStyleIdx="0" presStyleCnt="2"/>
      <dgm:spPr/>
      <dgm:t>
        <a:bodyPr/>
        <a:lstStyle/>
        <a:p>
          <a:endParaRPr lang="sv-SE"/>
        </a:p>
      </dgm:t>
    </dgm:pt>
    <dgm:pt modelId="{1294427A-101D-431B-9D67-434CFD3A3EF1}" type="pres">
      <dgm:prSet presAssocID="{080C6514-E3BB-41A1-955D-3111DE9307AE}" presName="hierChild4" presStyleCnt="0"/>
      <dgm:spPr/>
    </dgm:pt>
    <dgm:pt modelId="{195EDA63-BBB5-4856-889F-C8DCFAAF6082}" type="pres">
      <dgm:prSet presAssocID="{080C6514-E3BB-41A1-955D-3111DE9307AE}" presName="hierChild5" presStyleCnt="0"/>
      <dgm:spPr/>
    </dgm:pt>
    <dgm:pt modelId="{7B07E3A3-6CC2-4E5E-BF18-477152C5CC28}" type="pres">
      <dgm:prSet presAssocID="{3F7DF014-2945-4DB6-96A9-1DA2827959EC}" presName="hierChild5" presStyleCnt="0"/>
      <dgm:spPr/>
    </dgm:pt>
    <dgm:pt modelId="{D00730E8-AE8D-4A75-BA57-B350EA5BEC9D}" type="pres">
      <dgm:prSet presAssocID="{6D1922A6-1015-4245-8BA4-700814DCC775}" presName="Name35" presStyleLbl="parChTrans1D2" presStyleIdx="1" presStyleCnt="2"/>
      <dgm:spPr/>
      <dgm:t>
        <a:bodyPr/>
        <a:lstStyle/>
        <a:p>
          <a:endParaRPr lang="sv-SE"/>
        </a:p>
      </dgm:t>
    </dgm:pt>
    <dgm:pt modelId="{E4330EE3-86F8-4703-9917-76222BBE092F}" type="pres">
      <dgm:prSet presAssocID="{7FC12CE0-8811-4F1C-B4D2-495AD0910541}" presName="hierRoot2" presStyleCnt="0">
        <dgm:presLayoutVars>
          <dgm:hierBranch/>
        </dgm:presLayoutVars>
      </dgm:prSet>
      <dgm:spPr/>
    </dgm:pt>
    <dgm:pt modelId="{58276A33-344B-4987-A89F-4A292B6A59D9}" type="pres">
      <dgm:prSet presAssocID="{7FC12CE0-8811-4F1C-B4D2-495AD0910541}" presName="rootComposite" presStyleCnt="0"/>
      <dgm:spPr/>
    </dgm:pt>
    <dgm:pt modelId="{577D76AF-E775-418D-A036-31F90A4F3A98}" type="pres">
      <dgm:prSet presAssocID="{7FC12CE0-8811-4F1C-B4D2-495AD0910541}" presName="rootText" presStyleLbl="node2" presStyleIdx="1" presStyleCnt="2" custScaleX="118578">
        <dgm:presLayoutVars>
          <dgm:chPref val="3"/>
        </dgm:presLayoutVars>
      </dgm:prSet>
      <dgm:spPr/>
      <dgm:t>
        <a:bodyPr/>
        <a:lstStyle/>
        <a:p>
          <a:endParaRPr lang="sv-SE"/>
        </a:p>
      </dgm:t>
    </dgm:pt>
    <dgm:pt modelId="{3E8CE192-E343-4CDA-B8C9-041CF5973006}" type="pres">
      <dgm:prSet presAssocID="{7FC12CE0-8811-4F1C-B4D2-495AD0910541}" presName="rootConnector" presStyleLbl="node2" presStyleIdx="1" presStyleCnt="2"/>
      <dgm:spPr/>
      <dgm:t>
        <a:bodyPr/>
        <a:lstStyle/>
        <a:p>
          <a:endParaRPr lang="sv-SE"/>
        </a:p>
      </dgm:t>
    </dgm:pt>
    <dgm:pt modelId="{13397408-E71D-4EAE-9C7B-6F06ABBE52EC}" type="pres">
      <dgm:prSet presAssocID="{7FC12CE0-8811-4F1C-B4D2-495AD0910541}" presName="hierChild4" presStyleCnt="0"/>
      <dgm:spPr/>
    </dgm:pt>
    <dgm:pt modelId="{B7B3C1D5-22FF-4D2A-BB67-0E23B0ECBB80}" type="pres">
      <dgm:prSet presAssocID="{C0085506-CAF7-4A98-AA94-5183BABBFEF2}" presName="Name35" presStyleLbl="parChTrans1D3" presStyleIdx="1" presStyleCnt="2"/>
      <dgm:spPr/>
      <dgm:t>
        <a:bodyPr/>
        <a:lstStyle/>
        <a:p>
          <a:endParaRPr lang="sv-SE"/>
        </a:p>
      </dgm:t>
    </dgm:pt>
    <dgm:pt modelId="{2357A544-D862-491B-86E7-8988C6F8139A}" type="pres">
      <dgm:prSet presAssocID="{1113725F-36A8-443B-8E14-45CE3B2CFFDA}" presName="hierRoot2" presStyleCnt="0">
        <dgm:presLayoutVars>
          <dgm:hierBranch val="r"/>
        </dgm:presLayoutVars>
      </dgm:prSet>
      <dgm:spPr/>
    </dgm:pt>
    <dgm:pt modelId="{09845D6D-BE55-47E3-8EC6-2D54B2602099}" type="pres">
      <dgm:prSet presAssocID="{1113725F-36A8-443B-8E14-45CE3B2CFFDA}" presName="rootComposite" presStyleCnt="0"/>
      <dgm:spPr/>
    </dgm:pt>
    <dgm:pt modelId="{78ACF06C-FD3C-496E-AB4F-C6833479B78D}" type="pres">
      <dgm:prSet presAssocID="{1113725F-36A8-443B-8E14-45CE3B2CFFDA}" presName="rootText" presStyleLbl="node3" presStyleIdx="1" presStyleCnt="2" custScaleX="119206">
        <dgm:presLayoutVars>
          <dgm:chPref val="3"/>
        </dgm:presLayoutVars>
      </dgm:prSet>
      <dgm:spPr/>
      <dgm:t>
        <a:bodyPr/>
        <a:lstStyle/>
        <a:p>
          <a:endParaRPr lang="sv-SE"/>
        </a:p>
      </dgm:t>
    </dgm:pt>
    <dgm:pt modelId="{3631E41D-7DE9-4D77-97DA-77C14E88E3F0}" type="pres">
      <dgm:prSet presAssocID="{1113725F-36A8-443B-8E14-45CE3B2CFFDA}" presName="rootConnector" presStyleLbl="node3" presStyleIdx="1" presStyleCnt="2"/>
      <dgm:spPr/>
      <dgm:t>
        <a:bodyPr/>
        <a:lstStyle/>
        <a:p>
          <a:endParaRPr lang="sv-SE"/>
        </a:p>
      </dgm:t>
    </dgm:pt>
    <dgm:pt modelId="{B22EC83F-D70A-495A-AAA9-5A2BCEEFC63D}" type="pres">
      <dgm:prSet presAssocID="{1113725F-36A8-443B-8E14-45CE3B2CFFDA}" presName="hierChild4" presStyleCnt="0"/>
      <dgm:spPr/>
    </dgm:pt>
    <dgm:pt modelId="{64E6EB8E-3291-4A1C-89FE-8ABA3082B29E}" type="pres">
      <dgm:prSet presAssocID="{1113725F-36A8-443B-8E14-45CE3B2CFFDA}" presName="hierChild5" presStyleCnt="0"/>
      <dgm:spPr/>
    </dgm:pt>
    <dgm:pt modelId="{0EB394A5-7297-4515-9B63-E40CD79C4513}" type="pres">
      <dgm:prSet presAssocID="{7FC12CE0-8811-4F1C-B4D2-495AD0910541}" presName="hierChild5" presStyleCnt="0"/>
      <dgm:spPr/>
    </dgm:pt>
    <dgm:pt modelId="{A4C5585B-A76A-46F2-A822-C6E967C3B941}" type="pres">
      <dgm:prSet presAssocID="{2FF10062-F36D-4AD8-B269-AF9F531B6388}" presName="hierChild3" presStyleCnt="0"/>
      <dgm:spPr/>
    </dgm:pt>
  </dgm:ptLst>
  <dgm:cxnLst>
    <dgm:cxn modelId="{DB68314B-E8DB-4081-9F1C-C24B5E6DFAC3}" srcId="{2FF10062-F36D-4AD8-B269-AF9F531B6388}" destId="{3F7DF014-2945-4DB6-96A9-1DA2827959EC}" srcOrd="0" destOrd="0" parTransId="{3FB9F601-C0AE-42D5-8981-B5C031A22919}" sibTransId="{673E804A-6253-4207-882B-2E8F248472A1}"/>
    <dgm:cxn modelId="{272D534C-F659-4545-BB53-2787EEC50B62}" type="presOf" srcId="{3FB9F601-C0AE-42D5-8981-B5C031A22919}" destId="{FCA3BE43-FC3A-4FB8-93DF-85A58AF814BB}" srcOrd="0" destOrd="0" presId="urn:microsoft.com/office/officeart/2005/8/layout/orgChart1"/>
    <dgm:cxn modelId="{D23447FE-6E0D-4B71-8D3D-C68657954A58}" srcId="{116AC4F9-668F-41FA-BC8E-286244FF1685}" destId="{2FF10062-F36D-4AD8-B269-AF9F531B6388}" srcOrd="0" destOrd="0" parTransId="{F6AAC61B-333D-42FD-999A-F05D3C891EC3}" sibTransId="{8288F5BC-1C60-4024-9DD2-99590CF0A466}"/>
    <dgm:cxn modelId="{09C2B129-1448-404E-A3EA-0067C9180044}" type="presOf" srcId="{116AC4F9-668F-41FA-BC8E-286244FF1685}" destId="{3B3045EC-31C7-435C-A2F9-89AD602ACA11}" srcOrd="0" destOrd="0" presId="urn:microsoft.com/office/officeart/2005/8/layout/orgChart1"/>
    <dgm:cxn modelId="{81D089E4-3049-4FB0-81F3-C59FC833E14C}" type="presOf" srcId="{7FC12CE0-8811-4F1C-B4D2-495AD0910541}" destId="{577D76AF-E775-418D-A036-31F90A4F3A98}" srcOrd="0" destOrd="0" presId="urn:microsoft.com/office/officeart/2005/8/layout/orgChart1"/>
    <dgm:cxn modelId="{62CBBC40-F088-47F0-97F5-078B9CEBA768}" srcId="{2FF10062-F36D-4AD8-B269-AF9F531B6388}" destId="{7FC12CE0-8811-4F1C-B4D2-495AD0910541}" srcOrd="1" destOrd="0" parTransId="{6D1922A6-1015-4245-8BA4-700814DCC775}" sibTransId="{5CB3FC49-5EFA-41B3-B6DD-B0742B251AFD}"/>
    <dgm:cxn modelId="{42FE7806-B289-45CA-A7E7-9437FFE7C4F4}" type="presOf" srcId="{1113725F-36A8-443B-8E14-45CE3B2CFFDA}" destId="{3631E41D-7DE9-4D77-97DA-77C14E88E3F0}" srcOrd="1" destOrd="0" presId="urn:microsoft.com/office/officeart/2005/8/layout/orgChart1"/>
    <dgm:cxn modelId="{99CB5945-9BDD-4A25-A683-ABD5AF4AAE1E}" type="presOf" srcId="{3F7DF014-2945-4DB6-96A9-1DA2827959EC}" destId="{F15BBDD6-D59B-42D4-B162-9B3840722FF9}" srcOrd="0" destOrd="0" presId="urn:microsoft.com/office/officeart/2005/8/layout/orgChart1"/>
    <dgm:cxn modelId="{7F5FB593-6E67-4F2D-9D3C-54C111D170B6}" type="presOf" srcId="{3F7DF014-2945-4DB6-96A9-1DA2827959EC}" destId="{749F76C1-5D92-414F-8EF9-77FAB8238E52}" srcOrd="1" destOrd="0" presId="urn:microsoft.com/office/officeart/2005/8/layout/orgChart1"/>
    <dgm:cxn modelId="{AEF56FC3-1787-49A0-A926-FEF800982C79}" type="presOf" srcId="{9DCDE81D-B9FA-4FC8-A2EE-F788F90AABAB}" destId="{5F35A45F-F40B-46B4-9759-A8B83CCA9448}" srcOrd="0" destOrd="0" presId="urn:microsoft.com/office/officeart/2005/8/layout/orgChart1"/>
    <dgm:cxn modelId="{F26824C3-6B89-4378-B3CF-EF6484380DFA}" type="presOf" srcId="{080C6514-E3BB-41A1-955D-3111DE9307AE}" destId="{EDFC77E0-CD91-4D1A-9C44-C77C0F6CCF88}" srcOrd="0" destOrd="0" presId="urn:microsoft.com/office/officeart/2005/8/layout/orgChart1"/>
    <dgm:cxn modelId="{F6A6019A-85CE-4B17-9091-FD8A923CF29E}" srcId="{3F7DF014-2945-4DB6-96A9-1DA2827959EC}" destId="{080C6514-E3BB-41A1-955D-3111DE9307AE}" srcOrd="0" destOrd="0" parTransId="{9DCDE81D-B9FA-4FC8-A2EE-F788F90AABAB}" sibTransId="{12900A93-9EF3-4612-A7C0-8313AF5E18FE}"/>
    <dgm:cxn modelId="{A8AD4F60-FFA3-45A4-947B-8E67C620E61B}" type="presOf" srcId="{6D1922A6-1015-4245-8BA4-700814DCC775}" destId="{D00730E8-AE8D-4A75-BA57-B350EA5BEC9D}" srcOrd="0" destOrd="0" presId="urn:microsoft.com/office/officeart/2005/8/layout/orgChart1"/>
    <dgm:cxn modelId="{97E08B7F-5B2A-4152-B234-C31307050EBD}" type="presOf" srcId="{080C6514-E3BB-41A1-955D-3111DE9307AE}" destId="{66F9621B-95A9-49D5-A4B3-0284CF96D6C8}" srcOrd="1" destOrd="0" presId="urn:microsoft.com/office/officeart/2005/8/layout/orgChart1"/>
    <dgm:cxn modelId="{6AFAE4FD-66C4-439F-A9CD-628BB345AD20}" type="presOf" srcId="{2FF10062-F36D-4AD8-B269-AF9F531B6388}" destId="{E1BF7AFC-21F4-4F52-A760-418FBBC9A0D1}" srcOrd="0" destOrd="0" presId="urn:microsoft.com/office/officeart/2005/8/layout/orgChart1"/>
    <dgm:cxn modelId="{C6364BAF-01C5-46BE-A782-B1BFB29563D0}" type="presOf" srcId="{2FF10062-F36D-4AD8-B269-AF9F531B6388}" destId="{739EA228-34BD-4A70-B79E-6AB8ED826A59}" srcOrd="1" destOrd="0" presId="urn:microsoft.com/office/officeart/2005/8/layout/orgChart1"/>
    <dgm:cxn modelId="{80E3AD8E-5AA4-444B-9E66-842CBD16E58E}" type="presOf" srcId="{7FC12CE0-8811-4F1C-B4D2-495AD0910541}" destId="{3E8CE192-E343-4CDA-B8C9-041CF5973006}" srcOrd="1" destOrd="0" presId="urn:microsoft.com/office/officeart/2005/8/layout/orgChart1"/>
    <dgm:cxn modelId="{3D3A3AFC-1D63-4D72-B4EE-25AD92FF1E34}" type="presOf" srcId="{C0085506-CAF7-4A98-AA94-5183BABBFEF2}" destId="{B7B3C1D5-22FF-4D2A-BB67-0E23B0ECBB80}" srcOrd="0" destOrd="0" presId="urn:microsoft.com/office/officeart/2005/8/layout/orgChart1"/>
    <dgm:cxn modelId="{C2A3EC31-5D97-4B63-BEF2-DC0EB6B35018}" srcId="{7FC12CE0-8811-4F1C-B4D2-495AD0910541}" destId="{1113725F-36A8-443B-8E14-45CE3B2CFFDA}" srcOrd="0" destOrd="0" parTransId="{C0085506-CAF7-4A98-AA94-5183BABBFEF2}" sibTransId="{3B0C5759-7CB7-41E9-AE5D-502221BF06AE}"/>
    <dgm:cxn modelId="{D430007E-44D5-407C-A9CA-D2941665F8DA}" type="presOf" srcId="{1113725F-36A8-443B-8E14-45CE3B2CFFDA}" destId="{78ACF06C-FD3C-496E-AB4F-C6833479B78D}" srcOrd="0" destOrd="0" presId="urn:microsoft.com/office/officeart/2005/8/layout/orgChart1"/>
    <dgm:cxn modelId="{C499C5C2-5B6A-4A29-A2AD-E1A6095161F4}" type="presParOf" srcId="{3B3045EC-31C7-435C-A2F9-89AD602ACA11}" destId="{15687E58-A236-487C-A8DB-836DA7687503}" srcOrd="0" destOrd="0" presId="urn:microsoft.com/office/officeart/2005/8/layout/orgChart1"/>
    <dgm:cxn modelId="{3D05574F-5DEA-454A-8DE3-5738679AE1AA}" type="presParOf" srcId="{15687E58-A236-487C-A8DB-836DA7687503}" destId="{6676723F-7A04-4CC7-AE09-056D635B9453}" srcOrd="0" destOrd="0" presId="urn:microsoft.com/office/officeart/2005/8/layout/orgChart1"/>
    <dgm:cxn modelId="{47C13CDB-1381-4867-B830-BA6776605E30}" type="presParOf" srcId="{6676723F-7A04-4CC7-AE09-056D635B9453}" destId="{E1BF7AFC-21F4-4F52-A760-418FBBC9A0D1}" srcOrd="0" destOrd="0" presId="urn:microsoft.com/office/officeart/2005/8/layout/orgChart1"/>
    <dgm:cxn modelId="{93E10BF3-2E0C-4C85-9A77-3AF3E8DAA79E}" type="presParOf" srcId="{6676723F-7A04-4CC7-AE09-056D635B9453}" destId="{739EA228-34BD-4A70-B79E-6AB8ED826A59}" srcOrd="1" destOrd="0" presId="urn:microsoft.com/office/officeart/2005/8/layout/orgChart1"/>
    <dgm:cxn modelId="{144B98DA-FF3E-4B39-987D-7F6EA467B7EC}" type="presParOf" srcId="{15687E58-A236-487C-A8DB-836DA7687503}" destId="{C8F0672D-E983-4E84-9541-39DB3299EB1C}" srcOrd="1" destOrd="0" presId="urn:microsoft.com/office/officeart/2005/8/layout/orgChart1"/>
    <dgm:cxn modelId="{1FDA817C-6502-4CCD-A10C-37A4CC0E2777}" type="presParOf" srcId="{C8F0672D-E983-4E84-9541-39DB3299EB1C}" destId="{FCA3BE43-FC3A-4FB8-93DF-85A58AF814BB}" srcOrd="0" destOrd="0" presId="urn:microsoft.com/office/officeart/2005/8/layout/orgChart1"/>
    <dgm:cxn modelId="{740CAED1-7F81-4E16-B0B4-7452414675AC}" type="presParOf" srcId="{C8F0672D-E983-4E84-9541-39DB3299EB1C}" destId="{B37BC39E-46C0-4089-AE71-163DF5AE1FA7}" srcOrd="1" destOrd="0" presId="urn:microsoft.com/office/officeart/2005/8/layout/orgChart1"/>
    <dgm:cxn modelId="{E214A6D2-29D2-427C-8F44-6EF99A91AD54}" type="presParOf" srcId="{B37BC39E-46C0-4089-AE71-163DF5AE1FA7}" destId="{ACCE6C4C-8A9D-478D-A1E9-8A64FA27CD4C}" srcOrd="0" destOrd="0" presId="urn:microsoft.com/office/officeart/2005/8/layout/orgChart1"/>
    <dgm:cxn modelId="{E5A5B733-8C4C-4701-B92F-CC2ED6E74FC0}" type="presParOf" srcId="{ACCE6C4C-8A9D-478D-A1E9-8A64FA27CD4C}" destId="{F15BBDD6-D59B-42D4-B162-9B3840722FF9}" srcOrd="0" destOrd="0" presId="urn:microsoft.com/office/officeart/2005/8/layout/orgChart1"/>
    <dgm:cxn modelId="{BBE0BB1C-62E0-491C-AEB4-9C5A400187F2}" type="presParOf" srcId="{ACCE6C4C-8A9D-478D-A1E9-8A64FA27CD4C}" destId="{749F76C1-5D92-414F-8EF9-77FAB8238E52}" srcOrd="1" destOrd="0" presId="urn:microsoft.com/office/officeart/2005/8/layout/orgChart1"/>
    <dgm:cxn modelId="{E3798669-E9E1-46AE-9B7F-FADEBD67C2CE}" type="presParOf" srcId="{B37BC39E-46C0-4089-AE71-163DF5AE1FA7}" destId="{8D0CBC23-3EBB-49E0-AFC1-8DA517A96DE3}" srcOrd="1" destOrd="0" presId="urn:microsoft.com/office/officeart/2005/8/layout/orgChart1"/>
    <dgm:cxn modelId="{3489A2A3-D827-490A-A187-088FD273417B}" type="presParOf" srcId="{8D0CBC23-3EBB-49E0-AFC1-8DA517A96DE3}" destId="{5F35A45F-F40B-46B4-9759-A8B83CCA9448}" srcOrd="0" destOrd="0" presId="urn:microsoft.com/office/officeart/2005/8/layout/orgChart1"/>
    <dgm:cxn modelId="{F3D12D2E-C5A0-434D-BB8C-6698D916CE2E}" type="presParOf" srcId="{8D0CBC23-3EBB-49E0-AFC1-8DA517A96DE3}" destId="{188F36EF-83DC-4B0C-9797-AE2035F98A19}" srcOrd="1" destOrd="0" presId="urn:microsoft.com/office/officeart/2005/8/layout/orgChart1"/>
    <dgm:cxn modelId="{A52D9893-3689-4EBF-A5FD-8A575219335F}" type="presParOf" srcId="{188F36EF-83DC-4B0C-9797-AE2035F98A19}" destId="{0C52546B-3ADC-4347-97FE-7AC71E703CE6}" srcOrd="0" destOrd="0" presId="urn:microsoft.com/office/officeart/2005/8/layout/orgChart1"/>
    <dgm:cxn modelId="{F80920F5-92F3-446F-B5C8-071858F02C9D}" type="presParOf" srcId="{0C52546B-3ADC-4347-97FE-7AC71E703CE6}" destId="{EDFC77E0-CD91-4D1A-9C44-C77C0F6CCF88}" srcOrd="0" destOrd="0" presId="urn:microsoft.com/office/officeart/2005/8/layout/orgChart1"/>
    <dgm:cxn modelId="{DD3CD62C-C31C-4C1D-8857-BFF501F63EE3}" type="presParOf" srcId="{0C52546B-3ADC-4347-97FE-7AC71E703CE6}" destId="{66F9621B-95A9-49D5-A4B3-0284CF96D6C8}" srcOrd="1" destOrd="0" presId="urn:microsoft.com/office/officeart/2005/8/layout/orgChart1"/>
    <dgm:cxn modelId="{04D7697F-533A-4533-93DE-A0877D74BBCE}" type="presParOf" srcId="{188F36EF-83DC-4B0C-9797-AE2035F98A19}" destId="{1294427A-101D-431B-9D67-434CFD3A3EF1}" srcOrd="1" destOrd="0" presId="urn:microsoft.com/office/officeart/2005/8/layout/orgChart1"/>
    <dgm:cxn modelId="{A0C99880-536E-4639-AA00-26A9810507D3}" type="presParOf" srcId="{188F36EF-83DC-4B0C-9797-AE2035F98A19}" destId="{195EDA63-BBB5-4856-889F-C8DCFAAF6082}" srcOrd="2" destOrd="0" presId="urn:microsoft.com/office/officeart/2005/8/layout/orgChart1"/>
    <dgm:cxn modelId="{F5F7DB62-BFB3-4414-AE3E-0223EDBDF32F}" type="presParOf" srcId="{B37BC39E-46C0-4089-AE71-163DF5AE1FA7}" destId="{7B07E3A3-6CC2-4E5E-BF18-477152C5CC28}" srcOrd="2" destOrd="0" presId="urn:microsoft.com/office/officeart/2005/8/layout/orgChart1"/>
    <dgm:cxn modelId="{DD076570-9389-47C1-B34C-97E28319969B}" type="presParOf" srcId="{C8F0672D-E983-4E84-9541-39DB3299EB1C}" destId="{D00730E8-AE8D-4A75-BA57-B350EA5BEC9D}" srcOrd="2" destOrd="0" presId="urn:microsoft.com/office/officeart/2005/8/layout/orgChart1"/>
    <dgm:cxn modelId="{8031C12B-2C74-4DCE-BDB0-932911BA5B53}" type="presParOf" srcId="{C8F0672D-E983-4E84-9541-39DB3299EB1C}" destId="{E4330EE3-86F8-4703-9917-76222BBE092F}" srcOrd="3" destOrd="0" presId="urn:microsoft.com/office/officeart/2005/8/layout/orgChart1"/>
    <dgm:cxn modelId="{4EA83756-2E0E-4602-9DCF-28115334D04A}" type="presParOf" srcId="{E4330EE3-86F8-4703-9917-76222BBE092F}" destId="{58276A33-344B-4987-A89F-4A292B6A59D9}" srcOrd="0" destOrd="0" presId="urn:microsoft.com/office/officeart/2005/8/layout/orgChart1"/>
    <dgm:cxn modelId="{3FBFCE7E-5011-45C0-8409-7615224F74D2}" type="presParOf" srcId="{58276A33-344B-4987-A89F-4A292B6A59D9}" destId="{577D76AF-E775-418D-A036-31F90A4F3A98}" srcOrd="0" destOrd="0" presId="urn:microsoft.com/office/officeart/2005/8/layout/orgChart1"/>
    <dgm:cxn modelId="{78D71DA3-7042-4A65-AB44-7E2C88BA7859}" type="presParOf" srcId="{58276A33-344B-4987-A89F-4A292B6A59D9}" destId="{3E8CE192-E343-4CDA-B8C9-041CF5973006}" srcOrd="1" destOrd="0" presId="urn:microsoft.com/office/officeart/2005/8/layout/orgChart1"/>
    <dgm:cxn modelId="{33697834-8A85-40A7-A3AE-C027240A33ED}" type="presParOf" srcId="{E4330EE3-86F8-4703-9917-76222BBE092F}" destId="{13397408-E71D-4EAE-9C7B-6F06ABBE52EC}" srcOrd="1" destOrd="0" presId="urn:microsoft.com/office/officeart/2005/8/layout/orgChart1"/>
    <dgm:cxn modelId="{217AE22D-8783-41AD-A78C-E608A18FCCC3}" type="presParOf" srcId="{13397408-E71D-4EAE-9C7B-6F06ABBE52EC}" destId="{B7B3C1D5-22FF-4D2A-BB67-0E23B0ECBB80}" srcOrd="0" destOrd="0" presId="urn:microsoft.com/office/officeart/2005/8/layout/orgChart1"/>
    <dgm:cxn modelId="{40F83BE7-BA0E-437F-BC0E-DB1CB5236BF8}" type="presParOf" srcId="{13397408-E71D-4EAE-9C7B-6F06ABBE52EC}" destId="{2357A544-D862-491B-86E7-8988C6F8139A}" srcOrd="1" destOrd="0" presId="urn:microsoft.com/office/officeart/2005/8/layout/orgChart1"/>
    <dgm:cxn modelId="{32921654-8055-4FDF-B9C2-23C4679C6B4D}" type="presParOf" srcId="{2357A544-D862-491B-86E7-8988C6F8139A}" destId="{09845D6D-BE55-47E3-8EC6-2D54B2602099}" srcOrd="0" destOrd="0" presId="urn:microsoft.com/office/officeart/2005/8/layout/orgChart1"/>
    <dgm:cxn modelId="{01726EA7-5463-4008-A21D-7C6D1D4CD040}" type="presParOf" srcId="{09845D6D-BE55-47E3-8EC6-2D54B2602099}" destId="{78ACF06C-FD3C-496E-AB4F-C6833479B78D}" srcOrd="0" destOrd="0" presId="urn:microsoft.com/office/officeart/2005/8/layout/orgChart1"/>
    <dgm:cxn modelId="{22B54240-C163-4C19-9DC3-A3D101B0CAEC}" type="presParOf" srcId="{09845D6D-BE55-47E3-8EC6-2D54B2602099}" destId="{3631E41D-7DE9-4D77-97DA-77C14E88E3F0}" srcOrd="1" destOrd="0" presId="urn:microsoft.com/office/officeart/2005/8/layout/orgChart1"/>
    <dgm:cxn modelId="{AC9F2436-849E-470A-BC83-8CFDDAD3920C}" type="presParOf" srcId="{2357A544-D862-491B-86E7-8988C6F8139A}" destId="{B22EC83F-D70A-495A-AAA9-5A2BCEEFC63D}" srcOrd="1" destOrd="0" presId="urn:microsoft.com/office/officeart/2005/8/layout/orgChart1"/>
    <dgm:cxn modelId="{F58898DC-BDFA-444C-BFB8-8A1BEDDB6701}" type="presParOf" srcId="{2357A544-D862-491B-86E7-8988C6F8139A}" destId="{64E6EB8E-3291-4A1C-89FE-8ABA3082B29E}" srcOrd="2" destOrd="0" presId="urn:microsoft.com/office/officeart/2005/8/layout/orgChart1"/>
    <dgm:cxn modelId="{F0E3B2A0-6BF0-405D-B228-82FDADD99C24}" type="presParOf" srcId="{E4330EE3-86F8-4703-9917-76222BBE092F}" destId="{0EB394A5-7297-4515-9B63-E40CD79C4513}" srcOrd="2" destOrd="0" presId="urn:microsoft.com/office/officeart/2005/8/layout/orgChart1"/>
    <dgm:cxn modelId="{56F3C3AB-E64E-4331-B470-282FFC5F9B0E}" type="presParOf" srcId="{15687E58-A236-487C-A8DB-836DA7687503}" destId="{A4C5585B-A76A-46F2-A822-C6E967C3B94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B3C1D5-22FF-4D2A-BB67-0E23B0ECBB80}">
      <dsp:nvSpPr>
        <dsp:cNvPr id="0" name=""/>
        <dsp:cNvSpPr/>
      </dsp:nvSpPr>
      <dsp:spPr>
        <a:xfrm>
          <a:off x="3869257" y="1797594"/>
          <a:ext cx="91440" cy="3119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196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0730E8-AE8D-4A75-BA57-B350EA5BEC9D}">
      <dsp:nvSpPr>
        <dsp:cNvPr id="0" name=""/>
        <dsp:cNvSpPr/>
      </dsp:nvSpPr>
      <dsp:spPr>
        <a:xfrm>
          <a:off x="2878027" y="742862"/>
          <a:ext cx="1036949" cy="311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981"/>
              </a:lnTo>
              <a:lnTo>
                <a:pt x="1036949" y="155981"/>
              </a:lnTo>
              <a:lnTo>
                <a:pt x="1036949" y="31196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35A45F-F40B-46B4-9759-A8B83CCA9448}">
      <dsp:nvSpPr>
        <dsp:cNvPr id="0" name=""/>
        <dsp:cNvSpPr/>
      </dsp:nvSpPr>
      <dsp:spPr>
        <a:xfrm>
          <a:off x="1793233" y="1797594"/>
          <a:ext cx="91440" cy="3119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196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A3BE43-FC3A-4FB8-93DF-85A58AF814BB}">
      <dsp:nvSpPr>
        <dsp:cNvPr id="0" name=""/>
        <dsp:cNvSpPr/>
      </dsp:nvSpPr>
      <dsp:spPr>
        <a:xfrm>
          <a:off x="1838953" y="742862"/>
          <a:ext cx="1039073" cy="311962"/>
        </a:xfrm>
        <a:custGeom>
          <a:avLst/>
          <a:gdLst/>
          <a:ahLst/>
          <a:cxnLst/>
          <a:rect l="0" t="0" r="0" b="0"/>
          <a:pathLst>
            <a:path>
              <a:moveTo>
                <a:pt x="1039073" y="0"/>
              </a:moveTo>
              <a:lnTo>
                <a:pt x="1039073" y="155981"/>
              </a:lnTo>
              <a:lnTo>
                <a:pt x="0" y="155981"/>
              </a:lnTo>
              <a:lnTo>
                <a:pt x="0" y="31196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BF7AFC-21F4-4F52-A760-418FBBC9A0D1}">
      <dsp:nvSpPr>
        <dsp:cNvPr id="0" name=""/>
        <dsp:cNvSpPr/>
      </dsp:nvSpPr>
      <dsp:spPr>
        <a:xfrm>
          <a:off x="1990991" y="94"/>
          <a:ext cx="1774073" cy="742768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Swedish population, 18 years or older</a:t>
          </a:r>
          <a:endParaRPr lang="sv-SE" sz="1100" kern="1200" baseline="0">
            <a:solidFill>
              <a:sysClr val="windowText" lastClr="000000"/>
            </a:solidFill>
          </a:endParaRPr>
        </a:p>
      </dsp:txBody>
      <dsp:txXfrm>
        <a:off x="1990991" y="94"/>
        <a:ext cx="1774073" cy="742768"/>
      </dsp:txXfrm>
    </dsp:sp>
    <dsp:sp modelId="{F15BBDD6-D59B-42D4-B162-9B3840722FF9}">
      <dsp:nvSpPr>
        <dsp:cNvPr id="0" name=""/>
        <dsp:cNvSpPr/>
      </dsp:nvSpPr>
      <dsp:spPr>
        <a:xfrm>
          <a:off x="960317" y="1054825"/>
          <a:ext cx="1757271" cy="74276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Cases, n= 14 359 (with a primary diagnosis of hyponatremia 2005-2014)</a:t>
          </a:r>
          <a:endParaRPr lang="sv-SE" sz="1100" kern="1200" baseline="0">
            <a:solidFill>
              <a:sysClr val="windowText" lastClr="000000"/>
            </a:solidFill>
          </a:endParaRPr>
        </a:p>
      </dsp:txBody>
      <dsp:txXfrm>
        <a:off x="960317" y="1054825"/>
        <a:ext cx="1757271" cy="742768"/>
      </dsp:txXfrm>
    </dsp:sp>
    <dsp:sp modelId="{EDFC77E0-CD91-4D1A-9C44-C77C0F6CCF88}">
      <dsp:nvSpPr>
        <dsp:cNvPr id="0" name=""/>
        <dsp:cNvSpPr/>
      </dsp:nvSpPr>
      <dsp:spPr>
        <a:xfrm>
          <a:off x="960317" y="2109557"/>
          <a:ext cx="1757271" cy="74276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Follow up 12 months after index date or until death</a:t>
          </a:r>
          <a:endParaRPr lang="sv-SE" sz="1100" kern="1200" baseline="0">
            <a:solidFill>
              <a:sysClr val="windowText" lastClr="000000"/>
            </a:solidFill>
          </a:endParaRPr>
        </a:p>
      </dsp:txBody>
      <dsp:txXfrm>
        <a:off x="960317" y="2109557"/>
        <a:ext cx="1757271" cy="742768"/>
      </dsp:txXfrm>
    </dsp:sp>
    <dsp:sp modelId="{577D76AF-E775-418D-A036-31F90A4F3A98}">
      <dsp:nvSpPr>
        <dsp:cNvPr id="0" name=""/>
        <dsp:cNvSpPr/>
      </dsp:nvSpPr>
      <dsp:spPr>
        <a:xfrm>
          <a:off x="3034217" y="1054825"/>
          <a:ext cx="1761520" cy="74276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Controls, n= 57 382 (no previous entry of hyponatremia diagnosis going back to 1 January 1997)</a:t>
          </a:r>
          <a:endParaRPr lang="sv-SE" sz="1100" kern="1200" baseline="0">
            <a:solidFill>
              <a:sysClr val="windowText" lastClr="000000"/>
            </a:solidFill>
          </a:endParaRPr>
        </a:p>
      </dsp:txBody>
      <dsp:txXfrm>
        <a:off x="3034217" y="1054825"/>
        <a:ext cx="1761520" cy="742768"/>
      </dsp:txXfrm>
    </dsp:sp>
    <dsp:sp modelId="{78ACF06C-FD3C-496E-AB4F-C6833479B78D}">
      <dsp:nvSpPr>
        <dsp:cNvPr id="0" name=""/>
        <dsp:cNvSpPr/>
      </dsp:nvSpPr>
      <dsp:spPr>
        <a:xfrm>
          <a:off x="3029552" y="2109557"/>
          <a:ext cx="1770849" cy="74276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Follow up 12 months after index date or until death</a:t>
          </a:r>
        </a:p>
      </dsp:txBody>
      <dsp:txXfrm>
        <a:off x="3029552" y="2109557"/>
        <a:ext cx="1770849" cy="7427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Nathanson</dc:creator>
  <cp:keywords/>
  <dc:description/>
  <cp:lastModifiedBy>David Nathanson</cp:lastModifiedBy>
  <cp:revision>4</cp:revision>
  <dcterms:created xsi:type="dcterms:W3CDTF">2018-10-10T13:19:00Z</dcterms:created>
  <dcterms:modified xsi:type="dcterms:W3CDTF">2019-01-23T10:43:00Z</dcterms:modified>
</cp:coreProperties>
</file>