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5DD" w:rsidRDefault="002D05DD" w:rsidP="002D05DD">
      <w:pPr>
        <w:pStyle w:val="Titel"/>
        <w:rPr>
          <w:rStyle w:val="highlight"/>
          <w:rFonts w:cstheme="majorHAnsi"/>
          <w:b/>
          <w:color w:val="000000"/>
          <w:sz w:val="40"/>
          <w:szCs w:val="40"/>
          <w:lang w:val="en-US"/>
        </w:rPr>
      </w:pPr>
      <w:r>
        <w:rPr>
          <w:rStyle w:val="highlight"/>
          <w:rFonts w:cstheme="majorHAnsi"/>
          <w:b/>
          <w:color w:val="000000"/>
          <w:sz w:val="40"/>
          <w:szCs w:val="40"/>
          <w:lang w:val="en-US"/>
        </w:rPr>
        <w:t>Hypertension and diabetes, but not leptin and adiponectin, mediate the relationship between body fat and chronic kidney disease</w:t>
      </w:r>
    </w:p>
    <w:p w:rsidR="000E2C80" w:rsidRDefault="000E2C80" w:rsidP="000E2C80">
      <w:pPr>
        <w:rPr>
          <w:lang w:val="en-US" w:eastAsia="en-GB"/>
        </w:rPr>
      </w:pPr>
    </w:p>
    <w:p w:rsidR="000E2C80" w:rsidRPr="000A370E" w:rsidRDefault="000E2C80" w:rsidP="000E2C80">
      <w:pPr>
        <w:rPr>
          <w:vertAlign w:val="superscript"/>
          <w:lang w:eastAsia="en-GB"/>
        </w:rPr>
      </w:pPr>
      <w:r w:rsidRPr="000A370E">
        <w:rPr>
          <w:lang w:eastAsia="en-GB"/>
        </w:rPr>
        <w:t>Robin Lengton</w:t>
      </w:r>
      <w:r w:rsidRPr="000A370E">
        <w:rPr>
          <w:vertAlign w:val="superscript"/>
          <w:lang w:eastAsia="en-GB"/>
        </w:rPr>
        <w:t>1,2</w:t>
      </w:r>
      <w:r w:rsidRPr="000A370E">
        <w:rPr>
          <w:lang w:eastAsia="en-GB"/>
        </w:rPr>
        <w:t>, Friedo W. Dekker</w:t>
      </w:r>
      <w:r w:rsidRPr="000A370E">
        <w:rPr>
          <w:vertAlign w:val="superscript"/>
          <w:lang w:eastAsia="en-GB"/>
        </w:rPr>
        <w:t>1</w:t>
      </w:r>
      <w:r w:rsidRPr="000A370E">
        <w:rPr>
          <w:lang w:eastAsia="en-GB"/>
        </w:rPr>
        <w:t>, Elisabeth F.C. van Rossum</w:t>
      </w:r>
      <w:r w:rsidRPr="000A370E">
        <w:rPr>
          <w:vertAlign w:val="superscript"/>
          <w:lang w:eastAsia="en-GB"/>
        </w:rPr>
        <w:t>2</w:t>
      </w:r>
      <w:r w:rsidRPr="000A370E">
        <w:rPr>
          <w:lang w:eastAsia="en-GB"/>
        </w:rPr>
        <w:t>, Johan W. de Fijter</w:t>
      </w:r>
      <w:r w:rsidRPr="000A370E">
        <w:rPr>
          <w:vertAlign w:val="superscript"/>
          <w:lang w:eastAsia="en-GB"/>
        </w:rPr>
        <w:t>3</w:t>
      </w:r>
      <w:r w:rsidRPr="000A370E">
        <w:rPr>
          <w:lang w:eastAsia="en-GB"/>
        </w:rPr>
        <w:t>, Frits R. Rosendaal</w:t>
      </w:r>
      <w:r w:rsidRPr="000A370E">
        <w:rPr>
          <w:vertAlign w:val="superscript"/>
          <w:lang w:eastAsia="en-GB"/>
        </w:rPr>
        <w:t>1</w:t>
      </w:r>
      <w:r w:rsidRPr="000A370E">
        <w:rPr>
          <w:lang w:eastAsia="en-GB"/>
        </w:rPr>
        <w:t>, Ko Willems van Dijk</w:t>
      </w:r>
      <w:r w:rsidRPr="000A370E">
        <w:rPr>
          <w:vertAlign w:val="superscript"/>
          <w:lang w:eastAsia="en-GB"/>
        </w:rPr>
        <w:t>4</w:t>
      </w:r>
      <w:r w:rsidRPr="000A370E">
        <w:rPr>
          <w:lang w:eastAsia="en-GB"/>
        </w:rPr>
        <w:t>, Ton J. Rabelink</w:t>
      </w:r>
      <w:r w:rsidRPr="000A370E">
        <w:rPr>
          <w:vertAlign w:val="superscript"/>
          <w:lang w:eastAsia="en-GB"/>
        </w:rPr>
        <w:t>3</w:t>
      </w:r>
      <w:r w:rsidRPr="000A370E">
        <w:rPr>
          <w:lang w:eastAsia="en-GB"/>
        </w:rPr>
        <w:t>, Saskia Le Cessie</w:t>
      </w:r>
      <w:r w:rsidRPr="000A370E">
        <w:rPr>
          <w:vertAlign w:val="superscript"/>
          <w:lang w:eastAsia="en-GB"/>
        </w:rPr>
        <w:t>1,5</w:t>
      </w:r>
      <w:r w:rsidRPr="000A370E">
        <w:rPr>
          <w:lang w:eastAsia="en-GB"/>
        </w:rPr>
        <w:t>, Renée de Mutsert</w:t>
      </w:r>
      <w:r w:rsidRPr="000A370E">
        <w:rPr>
          <w:vertAlign w:val="superscript"/>
          <w:lang w:eastAsia="en-GB"/>
        </w:rPr>
        <w:t>1</w:t>
      </w:r>
      <w:r w:rsidRPr="000A370E">
        <w:rPr>
          <w:lang w:eastAsia="en-GB"/>
        </w:rPr>
        <w:t xml:space="preserve"> and Ellen K. Hoogeveen</w:t>
      </w:r>
      <w:r w:rsidRPr="000A370E">
        <w:rPr>
          <w:vertAlign w:val="superscript"/>
          <w:lang w:eastAsia="en-GB"/>
        </w:rPr>
        <w:t>1,3,6</w:t>
      </w:r>
    </w:p>
    <w:p w:rsidR="000E2C80" w:rsidRPr="000A370E" w:rsidRDefault="000E2C80" w:rsidP="000E2C80">
      <w:pPr>
        <w:rPr>
          <w:vertAlign w:val="superscript"/>
          <w:lang w:eastAsia="en-GB"/>
        </w:rPr>
      </w:pPr>
    </w:p>
    <w:p w:rsidR="000E2C80" w:rsidRDefault="000E2C80" w:rsidP="000E2C80">
      <w:pPr>
        <w:pStyle w:val="Geenafstand"/>
        <w:spacing w:line="276" w:lineRule="auto"/>
        <w:rPr>
          <w:lang w:val="en-US" w:eastAsia="en-GB"/>
        </w:rPr>
      </w:pPr>
      <w:r w:rsidRPr="00B65A34">
        <w:rPr>
          <w:vertAlign w:val="superscript"/>
          <w:lang w:val="en-US" w:eastAsia="en-GB"/>
        </w:rPr>
        <w:t>1</w:t>
      </w:r>
      <w:r w:rsidRPr="00B65A34">
        <w:rPr>
          <w:lang w:val="en-US" w:eastAsia="en-GB"/>
        </w:rPr>
        <w:t xml:space="preserve"> Department of Clinical Epidemiology, Leiden University Medical Center, Leiden, The Netherlands</w:t>
      </w:r>
    </w:p>
    <w:p w:rsidR="000E2C80" w:rsidRDefault="000E2C80" w:rsidP="000E2C80">
      <w:pPr>
        <w:pStyle w:val="Geenafstand"/>
        <w:spacing w:line="276" w:lineRule="auto"/>
        <w:rPr>
          <w:lang w:val="en-US" w:eastAsia="en-GB"/>
        </w:rPr>
      </w:pPr>
      <w:r>
        <w:rPr>
          <w:vertAlign w:val="superscript"/>
          <w:lang w:val="en-US" w:eastAsia="en-GB"/>
        </w:rPr>
        <w:t>2</w:t>
      </w:r>
      <w:r w:rsidRPr="00B65A34">
        <w:rPr>
          <w:lang w:val="en-US" w:eastAsia="en-GB"/>
        </w:rPr>
        <w:t xml:space="preserve"> Department of Internal Medicine, division of Endocrinology, Erasmus University Medical Center Rotterdam, Rotterdam, The Netherlands</w:t>
      </w:r>
    </w:p>
    <w:p w:rsidR="000E2C80" w:rsidRDefault="000E2C80" w:rsidP="000E2C80">
      <w:pPr>
        <w:pStyle w:val="Geenafstand"/>
        <w:spacing w:line="276" w:lineRule="auto"/>
        <w:rPr>
          <w:lang w:val="en-US" w:eastAsia="en-GB"/>
        </w:rPr>
      </w:pPr>
      <w:r>
        <w:rPr>
          <w:vertAlign w:val="superscript"/>
          <w:lang w:val="en-US" w:eastAsia="en-GB"/>
        </w:rPr>
        <w:t>3</w:t>
      </w:r>
      <w:r w:rsidRPr="00B65A34">
        <w:rPr>
          <w:lang w:val="en-US" w:eastAsia="en-GB"/>
        </w:rPr>
        <w:t xml:space="preserve"> Department of Nephrology, Leiden University Medical Center, Leiden, The Netherlands</w:t>
      </w:r>
    </w:p>
    <w:p w:rsidR="000E2C80" w:rsidRDefault="000E2C80" w:rsidP="000E2C80">
      <w:pPr>
        <w:pStyle w:val="Geenafstand"/>
        <w:spacing w:line="276" w:lineRule="auto"/>
        <w:rPr>
          <w:lang w:val="en-US" w:eastAsia="en-GB"/>
        </w:rPr>
      </w:pPr>
      <w:r>
        <w:rPr>
          <w:vertAlign w:val="superscript"/>
          <w:lang w:val="en-US" w:eastAsia="en-GB"/>
        </w:rPr>
        <w:t>4</w:t>
      </w:r>
      <w:r>
        <w:rPr>
          <w:lang w:val="en-US" w:eastAsia="en-GB"/>
        </w:rPr>
        <w:t xml:space="preserve"> Department of Human Genetics and Medicine, division of Endocrinology, </w:t>
      </w:r>
      <w:r w:rsidRPr="00B65A34">
        <w:rPr>
          <w:lang w:val="en-US" w:eastAsia="en-GB"/>
        </w:rPr>
        <w:t>Leiden University Medical Center, Leiden, The Netherlands</w:t>
      </w:r>
    </w:p>
    <w:p w:rsidR="000E2C80" w:rsidRPr="0016751E" w:rsidRDefault="000E2C80" w:rsidP="000E2C80">
      <w:pPr>
        <w:pStyle w:val="Geenafstand"/>
        <w:spacing w:line="276" w:lineRule="auto"/>
        <w:rPr>
          <w:lang w:val="en-US" w:eastAsia="en-GB"/>
        </w:rPr>
      </w:pPr>
      <w:r>
        <w:rPr>
          <w:vertAlign w:val="superscript"/>
          <w:lang w:val="en-US" w:eastAsia="en-GB"/>
        </w:rPr>
        <w:t>5</w:t>
      </w:r>
      <w:r>
        <w:rPr>
          <w:lang w:val="en-US" w:eastAsia="en-GB"/>
        </w:rPr>
        <w:t xml:space="preserve"> Department of Biomedical Data Sciences, </w:t>
      </w:r>
      <w:r w:rsidRPr="00B65A34">
        <w:rPr>
          <w:lang w:val="en-US" w:eastAsia="en-GB"/>
        </w:rPr>
        <w:t>Leiden University Medical Center, Leiden, The Netherlands</w:t>
      </w:r>
    </w:p>
    <w:p w:rsidR="000E2C80" w:rsidRDefault="000E2C80" w:rsidP="000E2C80">
      <w:pPr>
        <w:pStyle w:val="Geenafstand"/>
        <w:spacing w:line="276" w:lineRule="auto"/>
        <w:rPr>
          <w:lang w:val="en-US" w:eastAsia="en-GB"/>
        </w:rPr>
      </w:pPr>
      <w:r>
        <w:rPr>
          <w:vertAlign w:val="superscript"/>
          <w:lang w:val="en-US" w:eastAsia="en-GB"/>
        </w:rPr>
        <w:t>6</w:t>
      </w:r>
      <w:r w:rsidRPr="00B65A34">
        <w:rPr>
          <w:lang w:val="en-US" w:eastAsia="en-GB"/>
        </w:rPr>
        <w:t xml:space="preserve"> Department of Nephrology, Jeroen Bosch Hospital, Den Bosch, The Netherlands</w:t>
      </w:r>
    </w:p>
    <w:p w:rsidR="000E2C80" w:rsidRDefault="000E2C80" w:rsidP="000E2C80">
      <w:pPr>
        <w:rPr>
          <w:lang w:val="en-US" w:eastAsia="en-GB"/>
        </w:rPr>
      </w:pPr>
    </w:p>
    <w:p w:rsidR="000E2C80" w:rsidRPr="00745A01" w:rsidRDefault="000E2C80" w:rsidP="000E2C80">
      <w:pPr>
        <w:rPr>
          <w:lang w:val="en-US" w:eastAsia="en-GB"/>
        </w:rPr>
      </w:pPr>
      <w:r w:rsidRPr="009600DF">
        <w:rPr>
          <w:b/>
          <w:lang w:val="en-US" w:eastAsia="en-GB"/>
        </w:rPr>
        <w:t>Corresponding author:</w:t>
      </w:r>
      <w:r>
        <w:rPr>
          <w:b/>
          <w:lang w:val="en-US" w:eastAsia="en-GB"/>
        </w:rPr>
        <w:t xml:space="preserve"> </w:t>
      </w:r>
      <w:r w:rsidRPr="00B65A34">
        <w:rPr>
          <w:lang w:val="en-US" w:eastAsia="en-GB"/>
        </w:rPr>
        <w:t>Robin Lengton, Department of Clinical Epidemiology, Leiden University Medical Center (Building 1, C7</w:t>
      </w:r>
      <w:r>
        <w:rPr>
          <w:lang w:val="en-US" w:eastAsia="en-GB"/>
        </w:rPr>
        <w:t>-112</w:t>
      </w:r>
      <w:r w:rsidRPr="00B65A34">
        <w:rPr>
          <w:lang w:val="en-US" w:eastAsia="en-GB"/>
        </w:rPr>
        <w:t xml:space="preserve">), Albinusdreef 2, 2333 ZA Leiden, The Netherlands. E-mail: </w:t>
      </w:r>
      <w:hyperlink r:id="rId8" w:history="1">
        <w:r w:rsidRPr="005C7090">
          <w:rPr>
            <w:rStyle w:val="Hyperlink"/>
            <w:lang w:val="en-US" w:eastAsia="en-GB"/>
          </w:rPr>
          <w:t>r.lengton@lumc.nl</w:t>
        </w:r>
      </w:hyperlink>
    </w:p>
    <w:p w:rsidR="00B649FD" w:rsidRDefault="002D05DD">
      <w:pPr>
        <w:rPr>
          <w:lang w:val="en-US"/>
        </w:rPr>
      </w:pPr>
    </w:p>
    <w:p w:rsidR="000E2C80" w:rsidRDefault="000E2C80">
      <w:pPr>
        <w:rPr>
          <w:lang w:val="en-US"/>
        </w:rPr>
      </w:pPr>
    </w:p>
    <w:p w:rsidR="000E2C80" w:rsidRDefault="000E2C80">
      <w:pPr>
        <w:rPr>
          <w:lang w:val="en-US"/>
        </w:rPr>
      </w:pPr>
    </w:p>
    <w:p w:rsidR="000E2C80" w:rsidRDefault="000E2C80">
      <w:pPr>
        <w:rPr>
          <w:lang w:val="en-US"/>
        </w:rPr>
      </w:pPr>
    </w:p>
    <w:p w:rsidR="000E2C80" w:rsidRDefault="000E2C80">
      <w:pPr>
        <w:rPr>
          <w:lang w:val="en-US"/>
        </w:rPr>
      </w:pPr>
    </w:p>
    <w:p w:rsidR="000E2C80" w:rsidRDefault="000E2C80">
      <w:pPr>
        <w:rPr>
          <w:lang w:val="en-US"/>
        </w:rPr>
      </w:pPr>
    </w:p>
    <w:p w:rsidR="000E2C80" w:rsidRDefault="000E2C80">
      <w:pPr>
        <w:rPr>
          <w:lang w:val="en-US"/>
        </w:rPr>
      </w:pPr>
    </w:p>
    <w:p w:rsidR="000E2C80" w:rsidRDefault="000E2C80">
      <w:pPr>
        <w:rPr>
          <w:lang w:val="en-US"/>
        </w:rPr>
      </w:pPr>
    </w:p>
    <w:p w:rsidR="000E2C80" w:rsidRDefault="000E2C80">
      <w:pPr>
        <w:rPr>
          <w:lang w:val="en-US"/>
        </w:rPr>
      </w:pPr>
    </w:p>
    <w:p w:rsidR="000E2C80" w:rsidRDefault="000E2C80">
      <w:pPr>
        <w:rPr>
          <w:lang w:val="en-US"/>
        </w:rPr>
      </w:pPr>
    </w:p>
    <w:p w:rsidR="000E2C80" w:rsidRDefault="000E2C80">
      <w:pPr>
        <w:rPr>
          <w:lang w:val="en-US"/>
        </w:rPr>
      </w:pPr>
    </w:p>
    <w:p w:rsidR="000E2C80" w:rsidRDefault="000E2C80">
      <w:pPr>
        <w:rPr>
          <w:lang w:val="en-US"/>
        </w:rPr>
      </w:pPr>
    </w:p>
    <w:p w:rsidR="000E2C80" w:rsidRDefault="000E2C80">
      <w:pPr>
        <w:rPr>
          <w:lang w:val="en-US"/>
        </w:rPr>
      </w:pPr>
    </w:p>
    <w:p w:rsidR="000E2C80" w:rsidRDefault="000E2C80">
      <w:pPr>
        <w:rPr>
          <w:lang w:val="en-US"/>
        </w:rPr>
      </w:pPr>
    </w:p>
    <w:p w:rsidR="000E2C80" w:rsidRPr="000E2C80" w:rsidRDefault="000E2C80" w:rsidP="000E2C80">
      <w:pPr>
        <w:tabs>
          <w:tab w:val="left" w:pos="1965"/>
        </w:tabs>
        <w:rPr>
          <w:rFonts w:ascii="Calibri" w:eastAsia="Calibri" w:hAnsi="Calibri" w:cs="Times New Roman"/>
          <w:lang w:val="en-US"/>
        </w:rPr>
      </w:pPr>
      <w:bookmarkStart w:id="0" w:name="_GoBack"/>
      <w:bookmarkEnd w:id="0"/>
      <w:r w:rsidRPr="000E2C80">
        <w:rPr>
          <w:rFonts w:ascii="Calibri" w:eastAsia="Calibri" w:hAnsi="Calibri" w:cs="Times New Roman"/>
          <w:b/>
          <w:lang w:val="en-US" w:eastAsia="en-GB"/>
        </w:rPr>
        <w:lastRenderedPageBreak/>
        <w:t xml:space="preserve">Supplementary table 1. </w:t>
      </w:r>
      <w:r w:rsidRPr="000E2C80">
        <w:rPr>
          <w:rFonts w:ascii="Calibri" w:eastAsia="Calibri" w:hAnsi="Calibri" w:cs="Times New Roman"/>
          <w:lang w:val="en-US"/>
        </w:rPr>
        <w:t>P-values for interaction at baseline of leptin, diabetes and hypertension with body mass index or total body fat in the association with chronic kidney disease and moderately increased albuminuria of participants of the Netherlands Epidemiology of Obesity (NEO).</w:t>
      </w:r>
    </w:p>
    <w:tbl>
      <w:tblPr>
        <w:tblStyle w:val="Onopgemaaktetabel41"/>
        <w:tblW w:w="8215" w:type="dxa"/>
        <w:tblLook w:val="04A0" w:firstRow="1" w:lastRow="0" w:firstColumn="1" w:lastColumn="0" w:noHBand="0" w:noVBand="1"/>
      </w:tblPr>
      <w:tblGrid>
        <w:gridCol w:w="284"/>
        <w:gridCol w:w="2405"/>
        <w:gridCol w:w="1842"/>
        <w:gridCol w:w="1842"/>
        <w:gridCol w:w="1842"/>
      </w:tblGrid>
      <w:tr w:rsidR="000E2C80" w:rsidRPr="000E2C80" w:rsidTr="009A18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gridSpan w:val="2"/>
            <w:tcBorders>
              <w:top w:val="single" w:sz="4" w:space="0" w:color="auto"/>
              <w:bottom w:val="single" w:sz="4" w:space="0" w:color="auto"/>
            </w:tcBorders>
          </w:tcPr>
          <w:p w:rsidR="000E2C80" w:rsidRPr="000E2C80" w:rsidRDefault="000E2C80" w:rsidP="000E2C80">
            <w:pPr>
              <w:spacing w:after="0" w:line="240" w:lineRule="auto"/>
              <w:rPr>
                <w:sz w:val="20"/>
                <w:szCs w:val="20"/>
                <w:lang w:val="en-US"/>
              </w:rPr>
            </w:pPr>
          </w:p>
        </w:tc>
        <w:tc>
          <w:tcPr>
            <w:tcW w:w="1842" w:type="dxa"/>
            <w:tcBorders>
              <w:top w:val="single" w:sz="4" w:space="0" w:color="auto"/>
              <w:bottom w:val="single" w:sz="4" w:space="0" w:color="auto"/>
            </w:tcBorders>
          </w:tcPr>
          <w:p w:rsidR="000E2C80" w:rsidRPr="000E2C80" w:rsidRDefault="000E2C80" w:rsidP="000E2C80">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lang w:val="en-US"/>
              </w:rPr>
            </w:pPr>
            <w:r w:rsidRPr="000E2C80">
              <w:rPr>
                <w:sz w:val="20"/>
                <w:szCs w:val="20"/>
                <w:lang w:val="en-US"/>
              </w:rPr>
              <w:t>Leptin</w:t>
            </w:r>
            <w:r w:rsidRPr="000E2C80">
              <w:rPr>
                <w:sz w:val="20"/>
                <w:szCs w:val="20"/>
                <w:vertAlign w:val="superscript"/>
                <w:lang w:val="en-US"/>
              </w:rPr>
              <w:t>a</w:t>
            </w:r>
            <w:r w:rsidRPr="000E2C80">
              <w:rPr>
                <w:sz w:val="20"/>
                <w:szCs w:val="20"/>
                <w:lang w:val="en-US"/>
              </w:rPr>
              <w:t xml:space="preserve"> </w:t>
            </w:r>
            <w:r w:rsidRPr="000E2C80">
              <w:rPr>
                <w:sz w:val="20"/>
                <w:szCs w:val="20"/>
              </w:rPr>
              <w:t>(μg/L)</w:t>
            </w:r>
          </w:p>
        </w:tc>
        <w:tc>
          <w:tcPr>
            <w:tcW w:w="1842" w:type="dxa"/>
            <w:tcBorders>
              <w:top w:val="single" w:sz="4" w:space="0" w:color="auto"/>
              <w:bottom w:val="single" w:sz="4" w:space="0" w:color="auto"/>
            </w:tcBorders>
          </w:tcPr>
          <w:p w:rsidR="000E2C80" w:rsidRPr="000E2C80" w:rsidRDefault="000E2C80" w:rsidP="000E2C80">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vertAlign w:val="superscript"/>
                <w:lang w:val="en-US"/>
              </w:rPr>
            </w:pPr>
            <w:r w:rsidRPr="000E2C80">
              <w:rPr>
                <w:sz w:val="20"/>
                <w:szCs w:val="20"/>
                <w:lang w:val="en-US"/>
              </w:rPr>
              <w:t>Diabetes</w:t>
            </w:r>
            <w:r w:rsidRPr="000E2C80">
              <w:rPr>
                <w:sz w:val="20"/>
                <w:szCs w:val="20"/>
                <w:vertAlign w:val="superscript"/>
                <w:lang w:val="en-US"/>
              </w:rPr>
              <w:t>b</w:t>
            </w:r>
          </w:p>
        </w:tc>
        <w:tc>
          <w:tcPr>
            <w:tcW w:w="1842" w:type="dxa"/>
            <w:tcBorders>
              <w:top w:val="single" w:sz="4" w:space="0" w:color="auto"/>
              <w:bottom w:val="single" w:sz="4" w:space="0" w:color="auto"/>
            </w:tcBorders>
          </w:tcPr>
          <w:p w:rsidR="000E2C80" w:rsidRPr="000E2C80" w:rsidRDefault="000E2C80" w:rsidP="000E2C80">
            <w:pPr>
              <w:spacing w:after="0" w:line="240" w:lineRule="auto"/>
              <w:cnfStyle w:val="100000000000" w:firstRow="1" w:lastRow="0" w:firstColumn="0" w:lastColumn="0" w:oddVBand="0" w:evenVBand="0" w:oddHBand="0" w:evenHBand="0" w:firstRowFirstColumn="0" w:firstRowLastColumn="0" w:lastRowFirstColumn="0" w:lastRowLastColumn="0"/>
              <w:rPr>
                <w:sz w:val="20"/>
                <w:szCs w:val="20"/>
                <w:vertAlign w:val="superscript"/>
                <w:lang w:val="en-US"/>
              </w:rPr>
            </w:pPr>
            <w:r w:rsidRPr="000E2C80">
              <w:rPr>
                <w:sz w:val="20"/>
                <w:szCs w:val="20"/>
                <w:lang w:val="en-US"/>
              </w:rPr>
              <w:t>Hypertension</w:t>
            </w:r>
            <w:r w:rsidRPr="000E2C80">
              <w:rPr>
                <w:sz w:val="20"/>
                <w:szCs w:val="20"/>
                <w:vertAlign w:val="superscript"/>
                <w:lang w:val="en-US"/>
              </w:rPr>
              <w:t>c</w:t>
            </w:r>
          </w:p>
        </w:tc>
      </w:tr>
      <w:tr w:rsidR="000E2C80" w:rsidRPr="000E2C80" w:rsidTr="000E2C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gridSpan w:val="2"/>
            <w:tcBorders>
              <w:top w:val="single" w:sz="4" w:space="0" w:color="auto"/>
              <w:bottom w:val="single" w:sz="4" w:space="0" w:color="auto"/>
            </w:tcBorders>
          </w:tcPr>
          <w:p w:rsidR="000E2C80" w:rsidRPr="000E2C80" w:rsidRDefault="000E2C80" w:rsidP="000E2C80">
            <w:pPr>
              <w:spacing w:after="0" w:line="240" w:lineRule="auto"/>
              <w:rPr>
                <w:sz w:val="20"/>
                <w:szCs w:val="20"/>
                <w:lang w:val="en-US"/>
              </w:rPr>
            </w:pPr>
          </w:p>
        </w:tc>
        <w:tc>
          <w:tcPr>
            <w:tcW w:w="1842" w:type="dxa"/>
            <w:tcBorders>
              <w:top w:val="single" w:sz="4" w:space="0" w:color="auto"/>
              <w:bottom w:val="single" w:sz="4" w:space="0" w:color="auto"/>
            </w:tcBorders>
          </w:tcPr>
          <w:p w:rsidR="000E2C80" w:rsidRPr="000E2C80" w:rsidRDefault="000E2C80" w:rsidP="000E2C8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0E2C80">
              <w:rPr>
                <w:sz w:val="20"/>
                <w:szCs w:val="20"/>
                <w:lang w:val="en-US"/>
              </w:rPr>
              <w:t>P for interaction</w:t>
            </w:r>
          </w:p>
        </w:tc>
        <w:tc>
          <w:tcPr>
            <w:tcW w:w="1842" w:type="dxa"/>
            <w:tcBorders>
              <w:top w:val="single" w:sz="4" w:space="0" w:color="auto"/>
              <w:bottom w:val="single" w:sz="4" w:space="0" w:color="auto"/>
            </w:tcBorders>
          </w:tcPr>
          <w:p w:rsidR="000E2C80" w:rsidRPr="000E2C80" w:rsidRDefault="000E2C80" w:rsidP="000E2C8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0E2C80">
              <w:rPr>
                <w:sz w:val="20"/>
                <w:szCs w:val="20"/>
                <w:lang w:val="en-US"/>
              </w:rPr>
              <w:t>P for interaction</w:t>
            </w:r>
          </w:p>
        </w:tc>
        <w:tc>
          <w:tcPr>
            <w:tcW w:w="1842" w:type="dxa"/>
            <w:tcBorders>
              <w:top w:val="single" w:sz="4" w:space="0" w:color="auto"/>
              <w:bottom w:val="single" w:sz="4" w:space="0" w:color="auto"/>
            </w:tcBorders>
          </w:tcPr>
          <w:p w:rsidR="000E2C80" w:rsidRPr="000E2C80" w:rsidRDefault="000E2C80" w:rsidP="000E2C8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lang w:val="en-US"/>
              </w:rPr>
            </w:pPr>
            <w:r w:rsidRPr="000E2C80">
              <w:rPr>
                <w:sz w:val="20"/>
                <w:szCs w:val="20"/>
                <w:lang w:val="en-US"/>
              </w:rPr>
              <w:t>P for interaction</w:t>
            </w:r>
          </w:p>
        </w:tc>
      </w:tr>
      <w:tr w:rsidR="000E2C80" w:rsidRPr="000E2C80" w:rsidTr="009A183A">
        <w:tc>
          <w:tcPr>
            <w:cnfStyle w:val="001000000000" w:firstRow="0" w:lastRow="0" w:firstColumn="1" w:lastColumn="0" w:oddVBand="0" w:evenVBand="0" w:oddHBand="0" w:evenHBand="0" w:firstRowFirstColumn="0" w:firstRowLastColumn="0" w:lastRowFirstColumn="0" w:lastRowLastColumn="0"/>
            <w:tcW w:w="2689" w:type="dxa"/>
            <w:gridSpan w:val="2"/>
          </w:tcPr>
          <w:p w:rsidR="000E2C80" w:rsidRPr="000E2C80" w:rsidRDefault="000E2C80" w:rsidP="000E2C80">
            <w:pPr>
              <w:spacing w:after="0" w:line="240" w:lineRule="auto"/>
              <w:rPr>
                <w:sz w:val="20"/>
                <w:szCs w:val="20"/>
              </w:rPr>
            </w:pPr>
            <w:r w:rsidRPr="000E2C80">
              <w:rPr>
                <w:i/>
                <w:iCs/>
                <w:sz w:val="20"/>
                <w:szCs w:val="20"/>
              </w:rPr>
              <w:t>BMI (kg/m</w:t>
            </w:r>
            <w:r w:rsidRPr="000E2C80">
              <w:rPr>
                <w:i/>
                <w:iCs/>
                <w:sz w:val="20"/>
                <w:szCs w:val="20"/>
                <w:vertAlign w:val="superscript"/>
              </w:rPr>
              <w:t>2</w:t>
            </w:r>
            <w:r w:rsidRPr="000E2C80">
              <w:rPr>
                <w:i/>
                <w:iCs/>
                <w:sz w:val="20"/>
                <w:szCs w:val="20"/>
              </w:rPr>
              <w:t>)</w:t>
            </w:r>
          </w:p>
        </w:tc>
        <w:tc>
          <w:tcPr>
            <w:tcW w:w="1842" w:type="dxa"/>
          </w:tcPr>
          <w:p w:rsidR="000E2C80" w:rsidRPr="000E2C80" w:rsidRDefault="000E2C80" w:rsidP="000E2C8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842" w:type="dxa"/>
          </w:tcPr>
          <w:p w:rsidR="000E2C80" w:rsidRPr="000E2C80" w:rsidRDefault="000E2C80" w:rsidP="000E2C8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842" w:type="dxa"/>
          </w:tcPr>
          <w:p w:rsidR="000E2C80" w:rsidRPr="000E2C80" w:rsidRDefault="000E2C80" w:rsidP="000E2C8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0E2C80" w:rsidRPr="000E2C80" w:rsidTr="000E2C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dxa"/>
          </w:tcPr>
          <w:p w:rsidR="000E2C80" w:rsidRPr="000E2C80" w:rsidRDefault="000E2C80" w:rsidP="000E2C80">
            <w:pPr>
              <w:spacing w:after="0" w:line="240" w:lineRule="auto"/>
              <w:rPr>
                <w:sz w:val="20"/>
                <w:szCs w:val="20"/>
              </w:rPr>
            </w:pPr>
          </w:p>
        </w:tc>
        <w:tc>
          <w:tcPr>
            <w:tcW w:w="2405" w:type="dxa"/>
          </w:tcPr>
          <w:p w:rsidR="000E2C80" w:rsidRPr="000E2C80" w:rsidRDefault="000E2C80" w:rsidP="000E2C80">
            <w:pPr>
              <w:spacing w:after="0" w:line="240" w:lineRule="auto"/>
              <w:cnfStyle w:val="000000100000" w:firstRow="0" w:lastRow="0" w:firstColumn="0" w:lastColumn="0" w:oddVBand="0" w:evenVBand="0" w:oddHBand="1" w:evenHBand="0" w:firstRowFirstColumn="0" w:firstRowLastColumn="0" w:lastRowFirstColumn="0" w:lastRowLastColumn="0"/>
              <w:rPr>
                <w:b/>
                <w:sz w:val="20"/>
                <w:szCs w:val="20"/>
                <w:vertAlign w:val="superscript"/>
              </w:rPr>
            </w:pPr>
            <w:r w:rsidRPr="000E2C80">
              <w:rPr>
                <w:rFonts w:ascii="Calibri Light" w:hAnsi="Calibri Light" w:cs="Calibri Light"/>
                <w:b/>
                <w:sz w:val="20"/>
                <w:szCs w:val="20"/>
                <w:lang w:val="en-US"/>
              </w:rPr>
              <w:t>Chronic kidney disease</w:t>
            </w:r>
            <w:r w:rsidRPr="000E2C80">
              <w:rPr>
                <w:rFonts w:ascii="Calibri Light" w:hAnsi="Calibri Light" w:cs="Calibri Light"/>
                <w:b/>
                <w:sz w:val="20"/>
                <w:szCs w:val="20"/>
                <w:vertAlign w:val="superscript"/>
                <w:lang w:val="en-US"/>
              </w:rPr>
              <w:t>d</w:t>
            </w:r>
          </w:p>
        </w:tc>
        <w:tc>
          <w:tcPr>
            <w:tcW w:w="1842" w:type="dxa"/>
          </w:tcPr>
          <w:p w:rsidR="000E2C80" w:rsidRPr="000E2C80" w:rsidRDefault="000E2C80" w:rsidP="000E2C8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E2C80">
              <w:rPr>
                <w:sz w:val="20"/>
                <w:szCs w:val="20"/>
              </w:rPr>
              <w:t>0.609</w:t>
            </w:r>
          </w:p>
        </w:tc>
        <w:tc>
          <w:tcPr>
            <w:tcW w:w="1842" w:type="dxa"/>
          </w:tcPr>
          <w:p w:rsidR="000E2C80" w:rsidRPr="000E2C80" w:rsidRDefault="000E2C80" w:rsidP="000E2C8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E2C80">
              <w:rPr>
                <w:sz w:val="20"/>
                <w:szCs w:val="20"/>
              </w:rPr>
              <w:t>0.758</w:t>
            </w:r>
          </w:p>
        </w:tc>
        <w:tc>
          <w:tcPr>
            <w:tcW w:w="1842" w:type="dxa"/>
          </w:tcPr>
          <w:p w:rsidR="000E2C80" w:rsidRPr="000E2C80" w:rsidRDefault="000E2C80" w:rsidP="000E2C8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E2C80">
              <w:rPr>
                <w:sz w:val="20"/>
                <w:szCs w:val="20"/>
              </w:rPr>
              <w:t>0.568</w:t>
            </w:r>
          </w:p>
        </w:tc>
      </w:tr>
      <w:tr w:rsidR="000E2C80" w:rsidRPr="000E2C80" w:rsidTr="009A183A">
        <w:tc>
          <w:tcPr>
            <w:cnfStyle w:val="001000000000" w:firstRow="0" w:lastRow="0" w:firstColumn="1" w:lastColumn="0" w:oddVBand="0" w:evenVBand="0" w:oddHBand="0" w:evenHBand="0" w:firstRowFirstColumn="0" w:firstRowLastColumn="0" w:lastRowFirstColumn="0" w:lastRowLastColumn="0"/>
            <w:tcW w:w="2689" w:type="dxa"/>
            <w:gridSpan w:val="2"/>
          </w:tcPr>
          <w:p w:rsidR="000E2C80" w:rsidRPr="000E2C80" w:rsidRDefault="000E2C80" w:rsidP="000E2C80">
            <w:pPr>
              <w:spacing w:after="0" w:line="240" w:lineRule="auto"/>
              <w:rPr>
                <w:i/>
                <w:iCs/>
                <w:sz w:val="20"/>
                <w:szCs w:val="20"/>
              </w:rPr>
            </w:pPr>
          </w:p>
        </w:tc>
        <w:tc>
          <w:tcPr>
            <w:tcW w:w="1842" w:type="dxa"/>
          </w:tcPr>
          <w:p w:rsidR="000E2C80" w:rsidRPr="000E2C80" w:rsidRDefault="000E2C80" w:rsidP="000E2C8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842" w:type="dxa"/>
          </w:tcPr>
          <w:p w:rsidR="000E2C80" w:rsidRPr="000E2C80" w:rsidRDefault="000E2C80" w:rsidP="000E2C8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842" w:type="dxa"/>
          </w:tcPr>
          <w:p w:rsidR="000E2C80" w:rsidRPr="000E2C80" w:rsidRDefault="000E2C80" w:rsidP="000E2C8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0E2C80" w:rsidRPr="000E2C80" w:rsidTr="000E2C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gridSpan w:val="2"/>
          </w:tcPr>
          <w:p w:rsidR="000E2C80" w:rsidRPr="000E2C80" w:rsidRDefault="000E2C80" w:rsidP="000E2C80">
            <w:pPr>
              <w:spacing w:after="0" w:line="240" w:lineRule="auto"/>
              <w:rPr>
                <w:i/>
                <w:iCs/>
                <w:sz w:val="20"/>
                <w:szCs w:val="20"/>
              </w:rPr>
            </w:pPr>
            <w:r w:rsidRPr="000E2C80">
              <w:rPr>
                <w:i/>
                <w:iCs/>
                <w:sz w:val="20"/>
                <w:szCs w:val="20"/>
              </w:rPr>
              <w:t>Total body fat (%)</w:t>
            </w:r>
          </w:p>
        </w:tc>
        <w:tc>
          <w:tcPr>
            <w:tcW w:w="1842" w:type="dxa"/>
          </w:tcPr>
          <w:p w:rsidR="000E2C80" w:rsidRPr="000E2C80" w:rsidRDefault="000E2C80" w:rsidP="000E2C8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842" w:type="dxa"/>
          </w:tcPr>
          <w:p w:rsidR="000E2C80" w:rsidRPr="000E2C80" w:rsidRDefault="000E2C80" w:rsidP="000E2C8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842" w:type="dxa"/>
          </w:tcPr>
          <w:p w:rsidR="000E2C80" w:rsidRPr="000E2C80" w:rsidRDefault="000E2C80" w:rsidP="000E2C8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0E2C80" w:rsidRPr="000E2C80" w:rsidTr="009A183A">
        <w:tc>
          <w:tcPr>
            <w:cnfStyle w:val="001000000000" w:firstRow="0" w:lastRow="0" w:firstColumn="1" w:lastColumn="0" w:oddVBand="0" w:evenVBand="0" w:oddHBand="0" w:evenHBand="0" w:firstRowFirstColumn="0" w:firstRowLastColumn="0" w:lastRowFirstColumn="0" w:lastRowLastColumn="0"/>
            <w:tcW w:w="284" w:type="dxa"/>
          </w:tcPr>
          <w:p w:rsidR="000E2C80" w:rsidRPr="000E2C80" w:rsidRDefault="000E2C80" w:rsidP="000E2C80">
            <w:pPr>
              <w:spacing w:after="0" w:line="240" w:lineRule="auto"/>
              <w:rPr>
                <w:sz w:val="20"/>
                <w:szCs w:val="20"/>
              </w:rPr>
            </w:pPr>
          </w:p>
        </w:tc>
        <w:tc>
          <w:tcPr>
            <w:tcW w:w="2405" w:type="dxa"/>
          </w:tcPr>
          <w:p w:rsidR="000E2C80" w:rsidRPr="000E2C80" w:rsidRDefault="000E2C80" w:rsidP="000E2C80">
            <w:pPr>
              <w:spacing w:after="0" w:line="240" w:lineRule="auto"/>
              <w:cnfStyle w:val="000000000000" w:firstRow="0" w:lastRow="0" w:firstColumn="0" w:lastColumn="0" w:oddVBand="0" w:evenVBand="0" w:oddHBand="0" w:evenHBand="0" w:firstRowFirstColumn="0" w:firstRowLastColumn="0" w:lastRowFirstColumn="0" w:lastRowLastColumn="0"/>
              <w:rPr>
                <w:b/>
                <w:sz w:val="20"/>
                <w:szCs w:val="20"/>
                <w:vertAlign w:val="superscript"/>
              </w:rPr>
            </w:pPr>
            <w:r w:rsidRPr="000E2C80">
              <w:rPr>
                <w:rFonts w:ascii="Calibri Light" w:hAnsi="Calibri Light" w:cs="Calibri Light"/>
                <w:b/>
                <w:sz w:val="20"/>
                <w:szCs w:val="20"/>
                <w:lang w:val="en-US"/>
              </w:rPr>
              <w:t>Chronic kidney disease</w:t>
            </w:r>
            <w:r w:rsidRPr="000E2C80">
              <w:rPr>
                <w:rFonts w:ascii="Calibri Light" w:hAnsi="Calibri Light" w:cs="Calibri Light"/>
                <w:b/>
                <w:sz w:val="20"/>
                <w:szCs w:val="20"/>
                <w:vertAlign w:val="superscript"/>
                <w:lang w:val="en-US"/>
              </w:rPr>
              <w:t>d</w:t>
            </w:r>
          </w:p>
        </w:tc>
        <w:tc>
          <w:tcPr>
            <w:tcW w:w="1842" w:type="dxa"/>
          </w:tcPr>
          <w:p w:rsidR="000E2C80" w:rsidRPr="000E2C80" w:rsidRDefault="000E2C80" w:rsidP="000E2C8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E2C80">
              <w:rPr>
                <w:sz w:val="20"/>
                <w:szCs w:val="20"/>
              </w:rPr>
              <w:t>0.246</w:t>
            </w:r>
          </w:p>
        </w:tc>
        <w:tc>
          <w:tcPr>
            <w:tcW w:w="1842" w:type="dxa"/>
          </w:tcPr>
          <w:p w:rsidR="000E2C80" w:rsidRPr="000E2C80" w:rsidRDefault="000E2C80" w:rsidP="000E2C8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E2C80">
              <w:rPr>
                <w:sz w:val="20"/>
                <w:szCs w:val="20"/>
              </w:rPr>
              <w:t>0.742</w:t>
            </w:r>
          </w:p>
        </w:tc>
        <w:tc>
          <w:tcPr>
            <w:tcW w:w="1842" w:type="dxa"/>
          </w:tcPr>
          <w:p w:rsidR="000E2C80" w:rsidRPr="000E2C80" w:rsidRDefault="000E2C80" w:rsidP="000E2C8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E2C80">
              <w:rPr>
                <w:sz w:val="20"/>
                <w:szCs w:val="20"/>
              </w:rPr>
              <w:t>0.443</w:t>
            </w:r>
          </w:p>
        </w:tc>
      </w:tr>
      <w:tr w:rsidR="000E2C80" w:rsidRPr="000E2C80" w:rsidTr="000E2C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dxa"/>
            <w:tcBorders>
              <w:bottom w:val="dotDash" w:sz="4" w:space="0" w:color="auto"/>
            </w:tcBorders>
          </w:tcPr>
          <w:p w:rsidR="000E2C80" w:rsidRPr="000E2C80" w:rsidRDefault="000E2C80" w:rsidP="000E2C80">
            <w:pPr>
              <w:spacing w:after="0" w:line="240" w:lineRule="auto"/>
              <w:rPr>
                <w:sz w:val="20"/>
                <w:szCs w:val="20"/>
              </w:rPr>
            </w:pPr>
          </w:p>
        </w:tc>
        <w:tc>
          <w:tcPr>
            <w:tcW w:w="2405" w:type="dxa"/>
            <w:tcBorders>
              <w:bottom w:val="dotDash" w:sz="4" w:space="0" w:color="auto"/>
            </w:tcBorders>
          </w:tcPr>
          <w:p w:rsidR="000E2C80" w:rsidRPr="000E2C80" w:rsidRDefault="000E2C80" w:rsidP="000E2C80">
            <w:pPr>
              <w:spacing w:after="0"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lang w:val="en-US"/>
              </w:rPr>
            </w:pPr>
          </w:p>
        </w:tc>
        <w:tc>
          <w:tcPr>
            <w:tcW w:w="1842" w:type="dxa"/>
            <w:tcBorders>
              <w:bottom w:val="dotDash" w:sz="4" w:space="0" w:color="auto"/>
            </w:tcBorders>
          </w:tcPr>
          <w:p w:rsidR="000E2C80" w:rsidRPr="000E2C80" w:rsidRDefault="000E2C80" w:rsidP="000E2C8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842" w:type="dxa"/>
            <w:tcBorders>
              <w:bottom w:val="dotDash" w:sz="4" w:space="0" w:color="auto"/>
            </w:tcBorders>
          </w:tcPr>
          <w:p w:rsidR="000E2C80" w:rsidRPr="000E2C80" w:rsidRDefault="000E2C80" w:rsidP="000E2C8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842" w:type="dxa"/>
            <w:tcBorders>
              <w:bottom w:val="dotDash" w:sz="4" w:space="0" w:color="auto"/>
            </w:tcBorders>
          </w:tcPr>
          <w:p w:rsidR="000E2C80" w:rsidRPr="000E2C80" w:rsidRDefault="000E2C80" w:rsidP="000E2C8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0E2C80" w:rsidRPr="000E2C80" w:rsidTr="009A183A">
        <w:tc>
          <w:tcPr>
            <w:cnfStyle w:val="001000000000" w:firstRow="0" w:lastRow="0" w:firstColumn="1" w:lastColumn="0" w:oddVBand="0" w:evenVBand="0" w:oddHBand="0" w:evenHBand="0" w:firstRowFirstColumn="0" w:firstRowLastColumn="0" w:lastRowFirstColumn="0" w:lastRowLastColumn="0"/>
            <w:tcW w:w="284" w:type="dxa"/>
            <w:tcBorders>
              <w:top w:val="dotDash" w:sz="4" w:space="0" w:color="auto"/>
            </w:tcBorders>
          </w:tcPr>
          <w:p w:rsidR="000E2C80" w:rsidRPr="000E2C80" w:rsidRDefault="000E2C80" w:rsidP="000E2C80">
            <w:pPr>
              <w:spacing w:after="0" w:line="240" w:lineRule="auto"/>
              <w:rPr>
                <w:sz w:val="20"/>
                <w:szCs w:val="20"/>
              </w:rPr>
            </w:pPr>
          </w:p>
        </w:tc>
        <w:tc>
          <w:tcPr>
            <w:tcW w:w="2405" w:type="dxa"/>
            <w:tcBorders>
              <w:top w:val="dotDash" w:sz="4" w:space="0" w:color="auto"/>
            </w:tcBorders>
          </w:tcPr>
          <w:p w:rsidR="000E2C80" w:rsidRPr="000E2C80" w:rsidRDefault="000E2C80" w:rsidP="000E2C80">
            <w:pPr>
              <w:spacing w:after="0"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lang w:val="en-US"/>
              </w:rPr>
            </w:pPr>
          </w:p>
        </w:tc>
        <w:tc>
          <w:tcPr>
            <w:tcW w:w="1842" w:type="dxa"/>
            <w:tcBorders>
              <w:top w:val="dotDash" w:sz="4" w:space="0" w:color="auto"/>
            </w:tcBorders>
          </w:tcPr>
          <w:p w:rsidR="000E2C80" w:rsidRPr="000E2C80" w:rsidRDefault="000E2C80" w:rsidP="000E2C8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842" w:type="dxa"/>
            <w:tcBorders>
              <w:top w:val="dotDash" w:sz="4" w:space="0" w:color="auto"/>
            </w:tcBorders>
          </w:tcPr>
          <w:p w:rsidR="000E2C80" w:rsidRPr="000E2C80" w:rsidRDefault="000E2C80" w:rsidP="000E2C8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842" w:type="dxa"/>
            <w:tcBorders>
              <w:top w:val="dotDash" w:sz="4" w:space="0" w:color="auto"/>
            </w:tcBorders>
          </w:tcPr>
          <w:p w:rsidR="000E2C80" w:rsidRPr="000E2C80" w:rsidRDefault="000E2C80" w:rsidP="000E2C8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0E2C80" w:rsidRPr="000E2C80" w:rsidTr="000E2C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gridSpan w:val="2"/>
          </w:tcPr>
          <w:p w:rsidR="000E2C80" w:rsidRPr="000E2C80" w:rsidRDefault="000E2C80" w:rsidP="000E2C80">
            <w:pPr>
              <w:spacing w:after="0" w:line="240" w:lineRule="auto"/>
              <w:rPr>
                <w:rFonts w:ascii="Calibri Light" w:hAnsi="Calibri Light" w:cs="Calibri Light"/>
                <w:sz w:val="20"/>
                <w:szCs w:val="20"/>
                <w:lang w:val="en-US"/>
              </w:rPr>
            </w:pPr>
            <w:r w:rsidRPr="000E2C80">
              <w:rPr>
                <w:i/>
                <w:iCs/>
                <w:sz w:val="20"/>
                <w:szCs w:val="20"/>
              </w:rPr>
              <w:t>BMI (kg/m</w:t>
            </w:r>
            <w:r w:rsidRPr="000E2C80">
              <w:rPr>
                <w:i/>
                <w:iCs/>
                <w:sz w:val="20"/>
                <w:szCs w:val="20"/>
                <w:vertAlign w:val="superscript"/>
              </w:rPr>
              <w:t>2</w:t>
            </w:r>
            <w:r w:rsidRPr="000E2C80">
              <w:rPr>
                <w:i/>
                <w:iCs/>
                <w:sz w:val="20"/>
                <w:szCs w:val="20"/>
              </w:rPr>
              <w:t>)</w:t>
            </w:r>
          </w:p>
        </w:tc>
        <w:tc>
          <w:tcPr>
            <w:tcW w:w="1842" w:type="dxa"/>
          </w:tcPr>
          <w:p w:rsidR="000E2C80" w:rsidRPr="000E2C80" w:rsidRDefault="000E2C80" w:rsidP="000E2C8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842" w:type="dxa"/>
          </w:tcPr>
          <w:p w:rsidR="000E2C80" w:rsidRPr="000E2C80" w:rsidRDefault="000E2C80" w:rsidP="000E2C8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842" w:type="dxa"/>
          </w:tcPr>
          <w:p w:rsidR="000E2C80" w:rsidRPr="000E2C80" w:rsidRDefault="000E2C80" w:rsidP="000E2C8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0E2C80" w:rsidRPr="000E2C80" w:rsidTr="009A183A">
        <w:tc>
          <w:tcPr>
            <w:cnfStyle w:val="001000000000" w:firstRow="0" w:lastRow="0" w:firstColumn="1" w:lastColumn="0" w:oddVBand="0" w:evenVBand="0" w:oddHBand="0" w:evenHBand="0" w:firstRowFirstColumn="0" w:firstRowLastColumn="0" w:lastRowFirstColumn="0" w:lastRowLastColumn="0"/>
            <w:tcW w:w="284" w:type="dxa"/>
          </w:tcPr>
          <w:p w:rsidR="000E2C80" w:rsidRPr="000E2C80" w:rsidRDefault="000E2C80" w:rsidP="000E2C80">
            <w:pPr>
              <w:spacing w:after="0" w:line="240" w:lineRule="auto"/>
              <w:rPr>
                <w:sz w:val="20"/>
                <w:szCs w:val="20"/>
              </w:rPr>
            </w:pPr>
          </w:p>
        </w:tc>
        <w:tc>
          <w:tcPr>
            <w:tcW w:w="2405" w:type="dxa"/>
          </w:tcPr>
          <w:p w:rsidR="000E2C80" w:rsidRPr="000E2C80" w:rsidRDefault="000E2C80" w:rsidP="000E2C80">
            <w:pPr>
              <w:spacing w:after="0" w:line="240" w:lineRule="auto"/>
              <w:cnfStyle w:val="000000000000" w:firstRow="0" w:lastRow="0" w:firstColumn="0" w:lastColumn="0" w:oddVBand="0" w:evenVBand="0" w:oddHBand="0" w:evenHBand="0" w:firstRowFirstColumn="0" w:firstRowLastColumn="0" w:lastRowFirstColumn="0" w:lastRowLastColumn="0"/>
              <w:rPr>
                <w:rFonts w:ascii="Calibri Light" w:hAnsi="Calibri Light" w:cs="Calibri Light"/>
                <w:b/>
                <w:sz w:val="20"/>
                <w:szCs w:val="20"/>
                <w:lang w:val="en-US"/>
              </w:rPr>
            </w:pPr>
            <w:r w:rsidRPr="000E2C80">
              <w:rPr>
                <w:b/>
                <w:sz w:val="20"/>
                <w:szCs w:val="20"/>
              </w:rPr>
              <w:t>Moderately increased albuminuria</w:t>
            </w:r>
            <w:r w:rsidRPr="000E2C80">
              <w:rPr>
                <w:b/>
                <w:sz w:val="20"/>
                <w:szCs w:val="20"/>
                <w:vertAlign w:val="superscript"/>
              </w:rPr>
              <w:t>e</w:t>
            </w:r>
          </w:p>
        </w:tc>
        <w:tc>
          <w:tcPr>
            <w:tcW w:w="1842" w:type="dxa"/>
          </w:tcPr>
          <w:p w:rsidR="000E2C80" w:rsidRPr="000E2C80" w:rsidRDefault="000E2C80" w:rsidP="000E2C8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E2C80">
              <w:rPr>
                <w:sz w:val="20"/>
                <w:szCs w:val="20"/>
              </w:rPr>
              <w:t>0.128</w:t>
            </w:r>
          </w:p>
        </w:tc>
        <w:tc>
          <w:tcPr>
            <w:tcW w:w="1842" w:type="dxa"/>
          </w:tcPr>
          <w:p w:rsidR="000E2C80" w:rsidRPr="000E2C80" w:rsidRDefault="000E2C80" w:rsidP="000E2C8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E2C80">
              <w:rPr>
                <w:sz w:val="20"/>
                <w:szCs w:val="20"/>
              </w:rPr>
              <w:t>0.679</w:t>
            </w:r>
          </w:p>
        </w:tc>
        <w:tc>
          <w:tcPr>
            <w:tcW w:w="1842" w:type="dxa"/>
          </w:tcPr>
          <w:p w:rsidR="000E2C80" w:rsidRPr="000E2C80" w:rsidRDefault="000E2C80" w:rsidP="000E2C8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r w:rsidRPr="000E2C80">
              <w:rPr>
                <w:sz w:val="20"/>
                <w:szCs w:val="20"/>
              </w:rPr>
              <w:t>0.588</w:t>
            </w:r>
          </w:p>
        </w:tc>
      </w:tr>
      <w:tr w:rsidR="000E2C80" w:rsidRPr="000E2C80" w:rsidTr="000E2C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dxa"/>
          </w:tcPr>
          <w:p w:rsidR="000E2C80" w:rsidRPr="000E2C80" w:rsidRDefault="000E2C80" w:rsidP="000E2C80">
            <w:pPr>
              <w:spacing w:after="0" w:line="240" w:lineRule="auto"/>
              <w:rPr>
                <w:sz w:val="20"/>
                <w:szCs w:val="20"/>
              </w:rPr>
            </w:pPr>
          </w:p>
        </w:tc>
        <w:tc>
          <w:tcPr>
            <w:tcW w:w="2405" w:type="dxa"/>
          </w:tcPr>
          <w:p w:rsidR="000E2C80" w:rsidRPr="000E2C80" w:rsidRDefault="000E2C80" w:rsidP="000E2C80">
            <w:pPr>
              <w:spacing w:after="0"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lang w:val="en-US"/>
              </w:rPr>
            </w:pPr>
          </w:p>
        </w:tc>
        <w:tc>
          <w:tcPr>
            <w:tcW w:w="1842" w:type="dxa"/>
          </w:tcPr>
          <w:p w:rsidR="000E2C80" w:rsidRPr="000E2C80" w:rsidRDefault="000E2C80" w:rsidP="000E2C8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842" w:type="dxa"/>
          </w:tcPr>
          <w:p w:rsidR="000E2C80" w:rsidRPr="000E2C80" w:rsidRDefault="000E2C80" w:rsidP="000E2C8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842" w:type="dxa"/>
          </w:tcPr>
          <w:p w:rsidR="000E2C80" w:rsidRPr="000E2C80" w:rsidRDefault="000E2C80" w:rsidP="000E2C8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0E2C80" w:rsidRPr="000E2C80" w:rsidTr="009A183A">
        <w:tc>
          <w:tcPr>
            <w:cnfStyle w:val="001000000000" w:firstRow="0" w:lastRow="0" w:firstColumn="1" w:lastColumn="0" w:oddVBand="0" w:evenVBand="0" w:oddHBand="0" w:evenHBand="0" w:firstRowFirstColumn="0" w:firstRowLastColumn="0" w:lastRowFirstColumn="0" w:lastRowLastColumn="0"/>
            <w:tcW w:w="2689" w:type="dxa"/>
            <w:gridSpan w:val="2"/>
          </w:tcPr>
          <w:p w:rsidR="000E2C80" w:rsidRPr="000E2C80" w:rsidRDefault="000E2C80" w:rsidP="000E2C80">
            <w:pPr>
              <w:spacing w:after="0" w:line="240" w:lineRule="auto"/>
              <w:rPr>
                <w:sz w:val="20"/>
                <w:szCs w:val="20"/>
              </w:rPr>
            </w:pPr>
            <w:r w:rsidRPr="000E2C80">
              <w:rPr>
                <w:i/>
                <w:iCs/>
                <w:sz w:val="20"/>
                <w:szCs w:val="20"/>
              </w:rPr>
              <w:t>Total body fat (%)</w:t>
            </w:r>
          </w:p>
        </w:tc>
        <w:tc>
          <w:tcPr>
            <w:tcW w:w="1842" w:type="dxa"/>
          </w:tcPr>
          <w:p w:rsidR="000E2C80" w:rsidRPr="000E2C80" w:rsidRDefault="000E2C80" w:rsidP="000E2C8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842" w:type="dxa"/>
          </w:tcPr>
          <w:p w:rsidR="000E2C80" w:rsidRPr="000E2C80" w:rsidRDefault="000E2C80" w:rsidP="000E2C8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842" w:type="dxa"/>
          </w:tcPr>
          <w:p w:rsidR="000E2C80" w:rsidRPr="000E2C80" w:rsidRDefault="000E2C80" w:rsidP="000E2C80">
            <w:pPr>
              <w:spacing w:after="0" w:line="24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0E2C80" w:rsidRPr="000E2C80" w:rsidTr="000E2C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 w:type="dxa"/>
            <w:tcBorders>
              <w:bottom w:val="single" w:sz="4" w:space="0" w:color="auto"/>
            </w:tcBorders>
          </w:tcPr>
          <w:p w:rsidR="000E2C80" w:rsidRPr="000E2C80" w:rsidRDefault="000E2C80" w:rsidP="000E2C80">
            <w:pPr>
              <w:spacing w:after="0" w:line="240" w:lineRule="auto"/>
              <w:rPr>
                <w:sz w:val="20"/>
                <w:szCs w:val="20"/>
              </w:rPr>
            </w:pPr>
          </w:p>
        </w:tc>
        <w:tc>
          <w:tcPr>
            <w:tcW w:w="2405" w:type="dxa"/>
            <w:tcBorders>
              <w:bottom w:val="single" w:sz="4" w:space="0" w:color="auto"/>
            </w:tcBorders>
          </w:tcPr>
          <w:p w:rsidR="000E2C80" w:rsidRPr="000E2C80" w:rsidRDefault="000E2C80" w:rsidP="000E2C80">
            <w:pPr>
              <w:spacing w:after="0" w:line="240" w:lineRule="auto"/>
              <w:cnfStyle w:val="000000100000" w:firstRow="0" w:lastRow="0" w:firstColumn="0" w:lastColumn="0" w:oddVBand="0" w:evenVBand="0" w:oddHBand="1" w:evenHBand="0" w:firstRowFirstColumn="0" w:firstRowLastColumn="0" w:lastRowFirstColumn="0" w:lastRowLastColumn="0"/>
              <w:rPr>
                <w:rFonts w:ascii="Calibri Light" w:hAnsi="Calibri Light" w:cs="Calibri Light"/>
                <w:b/>
                <w:sz w:val="20"/>
                <w:szCs w:val="20"/>
                <w:lang w:val="en-US"/>
              </w:rPr>
            </w:pPr>
            <w:r w:rsidRPr="000E2C80">
              <w:rPr>
                <w:rFonts w:ascii="Calibri Light" w:hAnsi="Calibri Light" w:cs="Calibri Light"/>
                <w:b/>
                <w:sz w:val="20"/>
                <w:szCs w:val="20"/>
                <w:lang w:val="en-US"/>
              </w:rPr>
              <w:t>Moderately increased albuminuria</w:t>
            </w:r>
            <w:r w:rsidRPr="000E2C80">
              <w:rPr>
                <w:rFonts w:ascii="Calibri Light" w:hAnsi="Calibri Light" w:cs="Calibri Light"/>
                <w:b/>
                <w:sz w:val="20"/>
                <w:szCs w:val="20"/>
                <w:vertAlign w:val="superscript"/>
                <w:lang w:val="en-US"/>
              </w:rPr>
              <w:t>e</w:t>
            </w:r>
          </w:p>
        </w:tc>
        <w:tc>
          <w:tcPr>
            <w:tcW w:w="1842" w:type="dxa"/>
            <w:tcBorders>
              <w:bottom w:val="single" w:sz="4" w:space="0" w:color="auto"/>
            </w:tcBorders>
          </w:tcPr>
          <w:p w:rsidR="000E2C80" w:rsidRPr="000E2C80" w:rsidRDefault="000E2C80" w:rsidP="000E2C8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E2C80">
              <w:rPr>
                <w:sz w:val="20"/>
                <w:szCs w:val="20"/>
              </w:rPr>
              <w:t>0.861</w:t>
            </w:r>
          </w:p>
        </w:tc>
        <w:tc>
          <w:tcPr>
            <w:tcW w:w="1842" w:type="dxa"/>
            <w:tcBorders>
              <w:bottom w:val="single" w:sz="4" w:space="0" w:color="auto"/>
            </w:tcBorders>
          </w:tcPr>
          <w:p w:rsidR="000E2C80" w:rsidRPr="000E2C80" w:rsidRDefault="000E2C80" w:rsidP="000E2C8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E2C80">
              <w:rPr>
                <w:sz w:val="20"/>
                <w:szCs w:val="20"/>
              </w:rPr>
              <w:t>0.865</w:t>
            </w:r>
          </w:p>
        </w:tc>
        <w:tc>
          <w:tcPr>
            <w:tcW w:w="1842" w:type="dxa"/>
            <w:tcBorders>
              <w:bottom w:val="single" w:sz="4" w:space="0" w:color="auto"/>
            </w:tcBorders>
          </w:tcPr>
          <w:p w:rsidR="000E2C80" w:rsidRPr="000E2C80" w:rsidRDefault="000E2C80" w:rsidP="000E2C80">
            <w:pPr>
              <w:spacing w:after="0" w:line="240" w:lineRule="auto"/>
              <w:cnfStyle w:val="000000100000" w:firstRow="0" w:lastRow="0" w:firstColumn="0" w:lastColumn="0" w:oddVBand="0" w:evenVBand="0" w:oddHBand="1" w:evenHBand="0" w:firstRowFirstColumn="0" w:firstRowLastColumn="0" w:lastRowFirstColumn="0" w:lastRowLastColumn="0"/>
              <w:rPr>
                <w:sz w:val="20"/>
                <w:szCs w:val="20"/>
              </w:rPr>
            </w:pPr>
            <w:r w:rsidRPr="000E2C80">
              <w:rPr>
                <w:sz w:val="20"/>
                <w:szCs w:val="20"/>
              </w:rPr>
              <w:t>0.285</w:t>
            </w:r>
          </w:p>
        </w:tc>
      </w:tr>
    </w:tbl>
    <w:p w:rsidR="000E2C80" w:rsidRPr="000E2C80" w:rsidRDefault="000E2C80" w:rsidP="000E2C80">
      <w:pPr>
        <w:tabs>
          <w:tab w:val="left" w:pos="1965"/>
        </w:tabs>
        <w:rPr>
          <w:rFonts w:ascii="Calibri" w:eastAsia="Calibri" w:hAnsi="Calibri" w:cs="Times New Roman"/>
          <w:sz w:val="18"/>
          <w:szCs w:val="18"/>
          <w:vertAlign w:val="superscript"/>
          <w:lang w:val="en-US"/>
        </w:rPr>
      </w:pPr>
      <w:r w:rsidRPr="000E2C80">
        <w:rPr>
          <w:rFonts w:ascii="Calibri" w:eastAsia="Calibri" w:hAnsi="Calibri" w:cs="Times New Roman"/>
          <w:sz w:val="18"/>
          <w:szCs w:val="18"/>
          <w:lang w:val="en-US"/>
        </w:rPr>
        <w:t xml:space="preserve">Results were based on analyses weighted towards the BMI distribution of the general population (N=1758), adjusted for sex, age, smoking, ethnicity, physical activity and Dutch Healthy Diet index. </w:t>
      </w:r>
      <w:r w:rsidRPr="000E2C80">
        <w:rPr>
          <w:rFonts w:ascii="Calibri" w:eastAsia="Calibri" w:hAnsi="Calibri" w:cs="Times New Roman"/>
          <w:sz w:val="18"/>
          <w:szCs w:val="18"/>
          <w:lang w:val="en-US"/>
        </w:rPr>
        <w:br/>
      </w:r>
      <w:r w:rsidRPr="000E2C80">
        <w:rPr>
          <w:rFonts w:ascii="Calibri" w:eastAsia="Calibri" w:hAnsi="Calibri" w:cs="Times New Roman"/>
          <w:sz w:val="18"/>
          <w:szCs w:val="18"/>
          <w:vertAlign w:val="superscript"/>
          <w:lang w:val="en-US"/>
        </w:rPr>
        <w:t>a</w:t>
      </w:r>
      <w:r w:rsidRPr="000E2C80">
        <w:rPr>
          <w:rFonts w:ascii="Calibri" w:eastAsia="Calibri" w:hAnsi="Calibri" w:cs="Times New Roman"/>
          <w:sz w:val="18"/>
          <w:szCs w:val="18"/>
          <w:lang w:val="en-US"/>
        </w:rPr>
        <w:t xml:space="preserve"> Underwent natural logarithmic transformation.</w:t>
      </w:r>
      <w:r w:rsidRPr="000E2C80">
        <w:rPr>
          <w:rFonts w:ascii="Calibri" w:eastAsia="Calibri" w:hAnsi="Calibri" w:cs="Times New Roman"/>
          <w:sz w:val="18"/>
          <w:szCs w:val="18"/>
          <w:vertAlign w:val="superscript"/>
          <w:lang w:val="en-US"/>
        </w:rPr>
        <w:br/>
        <w:t>b</w:t>
      </w:r>
      <w:r w:rsidRPr="000E2C80">
        <w:rPr>
          <w:rFonts w:ascii="Calibri" w:eastAsia="Calibri" w:hAnsi="Calibri" w:cs="Times New Roman"/>
          <w:sz w:val="18"/>
          <w:szCs w:val="18"/>
          <w:lang w:val="en-US"/>
        </w:rPr>
        <w:t xml:space="preserve"> Diabetes mellitus is considered present in case of a self-reported physician’s diagnosis and/or use of glucose lowering drugs or fasting glucose levels ≥7 mmol/L.</w:t>
      </w:r>
      <w:r w:rsidRPr="000E2C80">
        <w:rPr>
          <w:rFonts w:ascii="Calibri" w:eastAsia="Calibri" w:hAnsi="Calibri" w:cs="Times New Roman"/>
          <w:sz w:val="18"/>
          <w:szCs w:val="18"/>
          <w:lang w:val="en-US"/>
        </w:rPr>
        <w:br/>
      </w:r>
      <w:r w:rsidRPr="000E2C80">
        <w:rPr>
          <w:rFonts w:ascii="Calibri" w:eastAsia="Calibri" w:hAnsi="Calibri" w:cs="Times New Roman"/>
          <w:sz w:val="18"/>
          <w:szCs w:val="18"/>
          <w:vertAlign w:val="superscript"/>
          <w:lang w:val="en-US"/>
        </w:rPr>
        <w:t>c</w:t>
      </w:r>
      <w:r w:rsidRPr="000E2C80">
        <w:rPr>
          <w:rFonts w:ascii="Calibri" w:eastAsia="Calibri" w:hAnsi="Calibri" w:cs="Times New Roman"/>
          <w:sz w:val="18"/>
          <w:szCs w:val="18"/>
          <w:lang w:val="en-US"/>
        </w:rPr>
        <w:t xml:space="preserve"> Systolic blood pressure ≥140 mmHg and/or the diastolic blood pressure ≥90 mmHg or use of antihypertensive drugs.  </w:t>
      </w:r>
      <w:r w:rsidRPr="000E2C80">
        <w:rPr>
          <w:rFonts w:ascii="Calibri" w:eastAsia="Calibri" w:hAnsi="Calibri" w:cs="Times New Roman"/>
          <w:sz w:val="18"/>
          <w:szCs w:val="18"/>
          <w:lang w:val="en-US"/>
        </w:rPr>
        <w:br/>
      </w:r>
      <w:r w:rsidRPr="000E2C80">
        <w:rPr>
          <w:rFonts w:ascii="Calibri" w:eastAsia="Calibri" w:hAnsi="Calibri" w:cs="Times New Roman"/>
          <w:sz w:val="18"/>
          <w:szCs w:val="18"/>
          <w:vertAlign w:val="superscript"/>
          <w:lang w:val="en-US"/>
        </w:rPr>
        <w:t>d</w:t>
      </w:r>
      <w:r w:rsidRPr="000E2C80">
        <w:rPr>
          <w:rFonts w:ascii="Calibri" w:eastAsia="Calibri" w:hAnsi="Calibri" w:cs="Times New Roman"/>
          <w:sz w:val="18"/>
          <w:szCs w:val="18"/>
          <w:lang w:val="en-US"/>
        </w:rPr>
        <w:t xml:space="preserve"> Defined as having an eGFR &lt;60 mL/min/1.73 m</w:t>
      </w:r>
      <w:r w:rsidRPr="000E2C80">
        <w:rPr>
          <w:rFonts w:ascii="Calibri" w:eastAsia="Calibri" w:hAnsi="Calibri" w:cs="Times New Roman"/>
          <w:sz w:val="18"/>
          <w:szCs w:val="18"/>
          <w:vertAlign w:val="superscript"/>
          <w:lang w:val="en-US"/>
        </w:rPr>
        <w:t>2</w:t>
      </w:r>
      <w:r w:rsidRPr="000E2C80">
        <w:rPr>
          <w:rFonts w:ascii="Calibri" w:eastAsia="Calibri" w:hAnsi="Calibri" w:cs="Times New Roman"/>
          <w:sz w:val="18"/>
          <w:szCs w:val="18"/>
          <w:lang w:val="en-US"/>
        </w:rPr>
        <w:t xml:space="preserve"> and/or moderately increased albuminuria.</w:t>
      </w:r>
      <w:r w:rsidRPr="000E2C80">
        <w:rPr>
          <w:rFonts w:ascii="Calibri" w:eastAsia="Calibri" w:hAnsi="Calibri" w:cs="Times New Roman"/>
          <w:sz w:val="18"/>
          <w:szCs w:val="18"/>
          <w:lang w:val="en-US"/>
        </w:rPr>
        <w:br/>
      </w:r>
      <w:r w:rsidRPr="000E2C80">
        <w:rPr>
          <w:rFonts w:ascii="Calibri" w:eastAsia="Calibri" w:hAnsi="Calibri" w:cs="Times New Roman"/>
          <w:sz w:val="18"/>
          <w:szCs w:val="18"/>
          <w:vertAlign w:val="superscript"/>
          <w:lang w:val="en-US"/>
        </w:rPr>
        <w:t>e</w:t>
      </w:r>
      <w:r w:rsidRPr="000E2C80">
        <w:rPr>
          <w:rFonts w:ascii="Calibri" w:eastAsia="Calibri" w:hAnsi="Calibri" w:cs="Times New Roman"/>
          <w:sz w:val="18"/>
          <w:szCs w:val="18"/>
          <w:lang w:val="en-US"/>
        </w:rPr>
        <w:t xml:space="preserve"> Moderately increased albuminuria is defined as urine albumin-to-creatinine ratio </w:t>
      </w:r>
      <w:r w:rsidRPr="000E2C80">
        <w:rPr>
          <w:rFonts w:ascii="Calibri" w:eastAsia="Calibri" w:hAnsi="Calibri" w:cs="Calibri"/>
          <w:sz w:val="18"/>
          <w:szCs w:val="18"/>
          <w:lang w:val="en-US"/>
        </w:rPr>
        <w:t>≥</w:t>
      </w:r>
      <w:r w:rsidRPr="000E2C80">
        <w:rPr>
          <w:rFonts w:ascii="Calibri" w:eastAsia="Calibri" w:hAnsi="Calibri" w:cs="Times New Roman"/>
          <w:sz w:val="18"/>
          <w:szCs w:val="18"/>
          <w:lang w:val="en-US"/>
        </w:rPr>
        <w:t xml:space="preserve"> 2.5 mg/mmol in men and </w:t>
      </w:r>
      <w:r w:rsidRPr="000E2C80">
        <w:rPr>
          <w:rFonts w:ascii="Calibri" w:eastAsia="Calibri" w:hAnsi="Calibri" w:cs="Calibri"/>
          <w:sz w:val="18"/>
          <w:szCs w:val="18"/>
          <w:lang w:val="en-US"/>
        </w:rPr>
        <w:t>≥</w:t>
      </w:r>
      <w:r w:rsidRPr="000E2C80">
        <w:rPr>
          <w:rFonts w:ascii="Calibri" w:eastAsia="Calibri" w:hAnsi="Calibri" w:cs="Times New Roman"/>
          <w:sz w:val="18"/>
          <w:szCs w:val="18"/>
          <w:lang w:val="en-US"/>
        </w:rPr>
        <w:t xml:space="preserve"> 3.5 mg/mmol in women.</w:t>
      </w:r>
      <w:r w:rsidRPr="000E2C80">
        <w:rPr>
          <w:rFonts w:ascii="Calibri" w:eastAsia="Calibri" w:hAnsi="Calibri" w:cs="Times New Roman"/>
          <w:sz w:val="18"/>
          <w:szCs w:val="18"/>
          <w:lang w:val="en-US"/>
        </w:rPr>
        <w:br/>
        <w:t>Abbreviations: BMI, body mass index.</w:t>
      </w:r>
    </w:p>
    <w:p w:rsidR="000E2C80" w:rsidRPr="000E2C80" w:rsidRDefault="000E2C80">
      <w:pPr>
        <w:rPr>
          <w:lang w:val="en-US"/>
        </w:rPr>
      </w:pPr>
    </w:p>
    <w:sectPr w:rsidR="000E2C80" w:rsidRPr="000E2C8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2C80" w:rsidRDefault="000E2C80" w:rsidP="00512DD1">
      <w:r>
        <w:separator/>
      </w:r>
    </w:p>
  </w:endnote>
  <w:endnote w:type="continuationSeparator" w:id="0">
    <w:p w:rsidR="000E2C80" w:rsidRDefault="000E2C80" w:rsidP="00512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2C80" w:rsidRDefault="000E2C80" w:rsidP="00512DD1">
      <w:r>
        <w:separator/>
      </w:r>
    </w:p>
  </w:footnote>
  <w:footnote w:type="continuationSeparator" w:id="0">
    <w:p w:rsidR="000E2C80" w:rsidRDefault="000E2C80" w:rsidP="00512D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C80"/>
    <w:rsid w:val="000E2C80"/>
    <w:rsid w:val="00210C8D"/>
    <w:rsid w:val="002C1A2C"/>
    <w:rsid w:val="002D05DD"/>
    <w:rsid w:val="00341184"/>
    <w:rsid w:val="0046468E"/>
    <w:rsid w:val="00512DD1"/>
    <w:rsid w:val="007F302D"/>
    <w:rsid w:val="00951547"/>
    <w:rsid w:val="00B55708"/>
    <w:rsid w:val="00CC55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EED347F-96A3-449D-876A-73D62DB06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2C80"/>
    <w:pPr>
      <w:spacing w:after="160" w:line="259" w:lineRule="auto"/>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aliases w:val="Tabel Erasmus MC"/>
    <w:basedOn w:val="Standaardtabel"/>
    <w:uiPriority w:val="39"/>
    <w:rsid w:val="0046468E"/>
    <w:rPr>
      <w:rFonts w:ascii="Arial" w:hAnsi="Arial"/>
    </w:rPr>
    <w:tblPr>
      <w:tblBorders>
        <w:top w:val="single" w:sz="4" w:space="0" w:color="89D4F1"/>
        <w:left w:val="single" w:sz="4" w:space="0" w:color="89D4F1"/>
        <w:bottom w:val="single" w:sz="4" w:space="0" w:color="89D4F1"/>
        <w:right w:val="single" w:sz="4" w:space="0" w:color="89D4F1"/>
        <w:insideH w:val="single" w:sz="4" w:space="0" w:color="89D4F1"/>
        <w:insideV w:val="single" w:sz="4" w:space="0" w:color="89D4F1"/>
      </w:tblBorders>
      <w:tblCellMar>
        <w:top w:w="57" w:type="dxa"/>
        <w:left w:w="57" w:type="dxa"/>
        <w:bottom w:w="57" w:type="dxa"/>
        <w:right w:w="57" w:type="dxa"/>
      </w:tblCellMar>
    </w:tblPr>
  </w:style>
  <w:style w:type="table" w:styleId="Lijsttabel6kleurrijk-Accent2">
    <w:name w:val="List Table 6 Colorful Accent 2"/>
    <w:basedOn w:val="Standaardtabel"/>
    <w:uiPriority w:val="51"/>
    <w:rsid w:val="00CC55D4"/>
    <w:rPr>
      <w:rFonts w:ascii="Times New Roman" w:eastAsia="Times New Roman" w:hAnsi="Times New Roman" w:cs="Times New Roman"/>
      <w:color w:val="C45911" w:themeColor="accent2" w:themeShade="BF"/>
      <w:sz w:val="20"/>
      <w:szCs w:val="20"/>
      <w:lang w:val="en-GB" w:eastAsia="en-GB"/>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Koptekst">
    <w:name w:val="header"/>
    <w:basedOn w:val="Standaard"/>
    <w:link w:val="KoptekstChar"/>
    <w:uiPriority w:val="99"/>
    <w:unhideWhenUsed/>
    <w:rsid w:val="00512DD1"/>
    <w:pPr>
      <w:tabs>
        <w:tab w:val="center" w:pos="4536"/>
        <w:tab w:val="right" w:pos="9072"/>
      </w:tabs>
    </w:pPr>
  </w:style>
  <w:style w:type="character" w:customStyle="1" w:styleId="KoptekstChar">
    <w:name w:val="Koptekst Char"/>
    <w:basedOn w:val="Standaardalinea-lettertype"/>
    <w:link w:val="Koptekst"/>
    <w:uiPriority w:val="99"/>
    <w:rsid w:val="00512DD1"/>
  </w:style>
  <w:style w:type="paragraph" w:styleId="Voettekst">
    <w:name w:val="footer"/>
    <w:basedOn w:val="Standaard"/>
    <w:link w:val="VoettekstChar"/>
    <w:uiPriority w:val="99"/>
    <w:unhideWhenUsed/>
    <w:rsid w:val="00512DD1"/>
    <w:pPr>
      <w:tabs>
        <w:tab w:val="center" w:pos="4536"/>
        <w:tab w:val="right" w:pos="9072"/>
      </w:tabs>
    </w:pPr>
  </w:style>
  <w:style w:type="character" w:customStyle="1" w:styleId="VoettekstChar">
    <w:name w:val="Voettekst Char"/>
    <w:basedOn w:val="Standaardalinea-lettertype"/>
    <w:link w:val="Voettekst"/>
    <w:uiPriority w:val="99"/>
    <w:rsid w:val="00512DD1"/>
  </w:style>
  <w:style w:type="character" w:customStyle="1" w:styleId="highlight">
    <w:name w:val="highlight"/>
    <w:rsid w:val="000E2C80"/>
  </w:style>
  <w:style w:type="paragraph" w:styleId="Titel">
    <w:name w:val="Title"/>
    <w:basedOn w:val="Standaard"/>
    <w:next w:val="Standaard"/>
    <w:link w:val="TitelChar"/>
    <w:uiPriority w:val="10"/>
    <w:qFormat/>
    <w:rsid w:val="000E2C8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2C80"/>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0E2C80"/>
    <w:rPr>
      <w:color w:val="0563C1" w:themeColor="hyperlink"/>
      <w:u w:val="single"/>
    </w:rPr>
  </w:style>
  <w:style w:type="paragraph" w:styleId="Geenafstand">
    <w:name w:val="No Spacing"/>
    <w:uiPriority w:val="1"/>
    <w:qFormat/>
    <w:rsid w:val="000E2C80"/>
    <w:rPr>
      <w:sz w:val="22"/>
      <w:szCs w:val="22"/>
    </w:rPr>
  </w:style>
  <w:style w:type="character" w:styleId="Zwaar">
    <w:name w:val="Strong"/>
    <w:basedOn w:val="Standaardalinea-lettertype"/>
    <w:uiPriority w:val="22"/>
    <w:qFormat/>
    <w:rsid w:val="000E2C80"/>
    <w:rPr>
      <w:b/>
      <w:bCs/>
    </w:rPr>
  </w:style>
  <w:style w:type="table" w:customStyle="1" w:styleId="Onopgemaaktetabel41">
    <w:name w:val="Onopgemaakte tabel 41"/>
    <w:basedOn w:val="Standaardtabel"/>
    <w:uiPriority w:val="44"/>
    <w:rsid w:val="000E2C80"/>
    <w:rPr>
      <w:rFonts w:ascii="Calibri" w:eastAsia="Calibri" w:hAnsi="Calibri" w:cs="Times New Roman"/>
      <w:sz w:val="20"/>
      <w:szCs w:val="20"/>
      <w:lang w:val="en-GB"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ngton@lumc.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49420\AppData\Local\Temp\Templafy\WordVsto\btlhvm24.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Blanco_Word_doc","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88410EE0-F98B-4058-BA2A-4A6D59726E27}">
  <ds:schemaRefs/>
</ds:datastoreItem>
</file>

<file path=customXml/itemProps2.xml><?xml version="1.0" encoding="utf-8"?>
<ds:datastoreItem xmlns:ds="http://schemas.openxmlformats.org/officeDocument/2006/customXml" ds:itemID="{9A32F8E7-CF5B-439E-A7AE-FB42C17106FF}">
  <ds:schemaRefs/>
</ds:datastoreItem>
</file>

<file path=docProps/app.xml><?xml version="1.0" encoding="utf-8"?>
<Properties xmlns="http://schemas.openxmlformats.org/officeDocument/2006/extended-properties" xmlns:vt="http://schemas.openxmlformats.org/officeDocument/2006/docPropsVTypes">
  <Template>btlhvm24</Template>
  <TotalTime>0</TotalTime>
  <Pages>2</Pages>
  <Words>414</Words>
  <Characters>2280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Lengton</dc:creator>
  <cp:keywords/>
  <dc:description/>
  <cp:lastModifiedBy>Robin Lengton</cp:lastModifiedBy>
  <cp:revision>2</cp:revision>
  <dcterms:created xsi:type="dcterms:W3CDTF">2024-03-26T11:08:00Z</dcterms:created>
  <dcterms:modified xsi:type="dcterms:W3CDTF">2024-03-26T11:08:00Z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dc6714-9f23-4030-b547-8c94b19e0b7a_Enabled">
    <vt:lpwstr>true</vt:lpwstr>
  </property>
  <property fmtid="{D5CDD505-2E9C-101B-9397-08002B2CF9AE}" pid="3" name="MSIP_Label_f5dc6714-9f23-4030-b547-8c94b19e0b7a_SetDate">
    <vt:lpwstr>2022-11-25T13:09:38Z</vt:lpwstr>
  </property>
  <property fmtid="{D5CDD505-2E9C-101B-9397-08002B2CF9AE}" pid="4" name="MSIP_Label_f5dc6714-9f23-4030-b547-8c94b19e0b7a_Method">
    <vt:lpwstr>Standard</vt:lpwstr>
  </property>
  <property fmtid="{D5CDD505-2E9C-101B-9397-08002B2CF9AE}" pid="5" name="MSIP_Label_f5dc6714-9f23-4030-b547-8c94b19e0b7a_Name">
    <vt:lpwstr>Internal Information (R3)</vt:lpwstr>
  </property>
  <property fmtid="{D5CDD505-2E9C-101B-9397-08002B2CF9AE}" pid="6" name="MSIP_Label_f5dc6714-9f23-4030-b547-8c94b19e0b7a_SiteId">
    <vt:lpwstr>acbd4e6b-e845-4677-853c-a8d24faf3655</vt:lpwstr>
  </property>
  <property fmtid="{D5CDD505-2E9C-101B-9397-08002B2CF9AE}" pid="7" name="MSIP_Label_f5dc6714-9f23-4030-b547-8c94b19e0b7a_ActionId">
    <vt:lpwstr>f08f2f8c-0ac0-4afb-bb12-d8b14412b7fc</vt:lpwstr>
  </property>
  <property fmtid="{D5CDD505-2E9C-101B-9397-08002B2CF9AE}" pid="8" name="MSIP_Label_f5dc6714-9f23-4030-b547-8c94b19e0b7a_ContentBits">
    <vt:lpwstr>0</vt:lpwstr>
  </property>
  <property fmtid="{D5CDD505-2E9C-101B-9397-08002B2CF9AE}" pid="9" name="TemplafyTenantId">
    <vt:lpwstr>erasmusmc</vt:lpwstr>
  </property>
  <property fmtid="{D5CDD505-2E9C-101B-9397-08002B2CF9AE}" pid="10" name="TemplafyTemplateId">
    <vt:lpwstr>638058507567287981</vt:lpwstr>
  </property>
  <property fmtid="{D5CDD505-2E9C-101B-9397-08002B2CF9AE}" pid="11" name="TemplafyUserProfileId">
    <vt:lpwstr>637731689023222053</vt:lpwstr>
  </property>
  <property fmtid="{D5CDD505-2E9C-101B-9397-08002B2CF9AE}" pid="12" name="TemplafyFromBlank">
    <vt:bool>true</vt:bool>
  </property>
</Properties>
</file>