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11AEA" w14:textId="2CE4FBC2" w:rsidR="00ED3EB3" w:rsidRDefault="000A4B44">
      <w:pPr>
        <w:pStyle w:val="Heading2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0A4B44">
        <w:rPr>
          <w:rFonts w:ascii="Arial" w:hAnsi="Arial" w:cs="Arial"/>
          <w:b w:val="0"/>
          <w:bCs w:val="0"/>
          <w:color w:val="auto"/>
          <w:sz w:val="24"/>
          <w:szCs w:val="24"/>
        </w:rPr>
        <w:t>Supplemental Table 1</w:t>
      </w:r>
      <w:r w:rsidRPr="000A4B44">
        <w:rPr>
          <w:rFonts w:ascii="Arial" w:hAnsi="Arial" w:cs="Arial"/>
          <w:b w:val="0"/>
          <w:bCs w:val="0"/>
          <w:color w:val="auto"/>
          <w:sz w:val="24"/>
          <w:szCs w:val="24"/>
        </w:rPr>
        <w:t>. Distribution of fidelity items overall and across study groups.</w:t>
      </w:r>
    </w:p>
    <w:p w14:paraId="7C00EBE8" w14:textId="77777777" w:rsidR="000A4B44" w:rsidRPr="000A4B44" w:rsidRDefault="000A4B44" w:rsidP="000A4B4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6"/>
        <w:gridCol w:w="1705"/>
        <w:gridCol w:w="1705"/>
        <w:gridCol w:w="1705"/>
        <w:gridCol w:w="1695"/>
      </w:tblGrid>
      <w:tr w:rsidR="000A4B44" w:rsidRPr="000A4B44" w14:paraId="5490EBBE" w14:textId="77777777">
        <w:tc>
          <w:tcPr>
            <w:tcW w:w="4320" w:type="dxa"/>
          </w:tcPr>
          <w:p w14:paraId="41B25C2C" w14:textId="77777777" w:rsidR="00ED3EB3" w:rsidRPr="000A4B44" w:rsidRDefault="000A4B4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4B44">
              <w:rPr>
                <w:rFonts w:ascii="Arial" w:hAnsi="Arial" w:cs="Arial"/>
                <w:b/>
                <w:bCs/>
                <w:sz w:val="24"/>
                <w:szCs w:val="24"/>
              </w:rPr>
              <w:t>Fidelity Item</w:t>
            </w:r>
          </w:p>
        </w:tc>
        <w:tc>
          <w:tcPr>
            <w:tcW w:w="1728" w:type="dxa"/>
          </w:tcPr>
          <w:p w14:paraId="7286E3AA" w14:textId="77777777" w:rsidR="00ED3EB3" w:rsidRPr="000A4B44" w:rsidRDefault="000A4B4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4B44">
              <w:rPr>
                <w:rFonts w:ascii="Arial" w:hAnsi="Arial" w:cs="Arial"/>
                <w:b/>
                <w:bCs/>
                <w:sz w:val="24"/>
                <w:szCs w:val="24"/>
              </w:rPr>
              <w:t>Overall (n=85)</w:t>
            </w:r>
          </w:p>
        </w:tc>
        <w:tc>
          <w:tcPr>
            <w:tcW w:w="1728" w:type="dxa"/>
          </w:tcPr>
          <w:p w14:paraId="3BD8EF3D" w14:textId="77777777" w:rsidR="00ED3EB3" w:rsidRPr="000A4B44" w:rsidRDefault="000A4B4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4B44">
              <w:rPr>
                <w:rFonts w:ascii="Arial" w:hAnsi="Arial" w:cs="Arial"/>
                <w:b/>
                <w:bCs/>
                <w:sz w:val="24"/>
                <w:szCs w:val="24"/>
              </w:rPr>
              <w:t>TNOC</w:t>
            </w:r>
          </w:p>
        </w:tc>
        <w:tc>
          <w:tcPr>
            <w:tcW w:w="1728" w:type="dxa"/>
          </w:tcPr>
          <w:p w14:paraId="0C5EC204" w14:textId="77777777" w:rsidR="00ED3EB3" w:rsidRPr="000A4B44" w:rsidRDefault="000A4B4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4B44">
              <w:rPr>
                <w:rFonts w:ascii="Arial" w:hAnsi="Arial" w:cs="Arial"/>
                <w:b/>
                <w:bCs/>
                <w:sz w:val="24"/>
                <w:szCs w:val="24"/>
              </w:rPr>
              <w:t>Control</w:t>
            </w:r>
          </w:p>
        </w:tc>
        <w:tc>
          <w:tcPr>
            <w:tcW w:w="1728" w:type="dxa"/>
          </w:tcPr>
          <w:p w14:paraId="2A45D88A" w14:textId="77777777" w:rsidR="00ED3EB3" w:rsidRPr="000A4B44" w:rsidRDefault="000A4B4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4B44">
              <w:rPr>
                <w:rFonts w:ascii="Arial" w:hAnsi="Arial" w:cs="Arial"/>
                <w:b/>
                <w:bCs/>
                <w:sz w:val="24"/>
                <w:szCs w:val="24"/>
              </w:rPr>
              <w:t>p-value</w:t>
            </w:r>
          </w:p>
        </w:tc>
      </w:tr>
      <w:tr w:rsidR="000A4B44" w:rsidRPr="000A4B44" w14:paraId="56738DBA" w14:textId="77777777">
        <w:tc>
          <w:tcPr>
            <w:tcW w:w="4320" w:type="dxa"/>
          </w:tcPr>
          <w:p w14:paraId="56B0A80C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 xml:space="preserve">Discussed </w:t>
            </w:r>
            <w:proofErr w:type="gramStart"/>
            <w:r w:rsidRPr="000A4B44">
              <w:rPr>
                <w:rFonts w:ascii="Arial" w:hAnsi="Arial" w:cs="Arial"/>
                <w:sz w:val="24"/>
                <w:szCs w:val="24"/>
              </w:rPr>
              <w:t>risk</w:t>
            </w:r>
            <w:proofErr w:type="gramEnd"/>
            <w:r w:rsidRPr="000A4B44">
              <w:rPr>
                <w:rFonts w:ascii="Arial" w:hAnsi="Arial" w:cs="Arial"/>
                <w:sz w:val="24"/>
                <w:szCs w:val="24"/>
              </w:rPr>
              <w:t xml:space="preserve"> for thyroid cancer</w:t>
            </w:r>
          </w:p>
        </w:tc>
        <w:tc>
          <w:tcPr>
            <w:tcW w:w="1728" w:type="dxa"/>
          </w:tcPr>
          <w:p w14:paraId="522BADE6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80 (94.1%)</w:t>
            </w:r>
          </w:p>
        </w:tc>
        <w:tc>
          <w:tcPr>
            <w:tcW w:w="1728" w:type="dxa"/>
          </w:tcPr>
          <w:p w14:paraId="70BB2CB7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41 (97.6%)</w:t>
            </w:r>
          </w:p>
        </w:tc>
        <w:tc>
          <w:tcPr>
            <w:tcW w:w="1728" w:type="dxa"/>
          </w:tcPr>
          <w:p w14:paraId="57AF525A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39 (90.7%)</w:t>
            </w:r>
          </w:p>
        </w:tc>
        <w:tc>
          <w:tcPr>
            <w:tcW w:w="1728" w:type="dxa"/>
          </w:tcPr>
          <w:p w14:paraId="7BF739DB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0.360</w:t>
            </w:r>
          </w:p>
        </w:tc>
      </w:tr>
      <w:tr w:rsidR="000A4B44" w:rsidRPr="000A4B44" w14:paraId="06B8D98C" w14:textId="77777777">
        <w:tc>
          <w:tcPr>
            <w:tcW w:w="4320" w:type="dxa"/>
          </w:tcPr>
          <w:p w14:paraId="2A110C7C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Addressed other important factors</w:t>
            </w:r>
          </w:p>
        </w:tc>
        <w:tc>
          <w:tcPr>
            <w:tcW w:w="1728" w:type="dxa"/>
          </w:tcPr>
          <w:p w14:paraId="6B18CACF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74 (87.1%)</w:t>
            </w:r>
          </w:p>
        </w:tc>
        <w:tc>
          <w:tcPr>
            <w:tcW w:w="1728" w:type="dxa"/>
          </w:tcPr>
          <w:p w14:paraId="31295844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39 (92.9%)</w:t>
            </w:r>
          </w:p>
        </w:tc>
        <w:tc>
          <w:tcPr>
            <w:tcW w:w="1728" w:type="dxa"/>
          </w:tcPr>
          <w:p w14:paraId="1A2C064B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35 (81.4%)</w:t>
            </w:r>
          </w:p>
        </w:tc>
        <w:tc>
          <w:tcPr>
            <w:tcW w:w="1728" w:type="dxa"/>
          </w:tcPr>
          <w:p w14:paraId="25FA19B4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0.195</w:t>
            </w:r>
          </w:p>
        </w:tc>
      </w:tr>
      <w:tr w:rsidR="000A4B44" w:rsidRPr="000A4B44" w14:paraId="02A1D7F1" w14:textId="77777777">
        <w:tc>
          <w:tcPr>
            <w:tcW w:w="4320" w:type="dxa"/>
          </w:tcPr>
          <w:p w14:paraId="7C7E8A73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Reviewed options for management</w:t>
            </w:r>
          </w:p>
        </w:tc>
        <w:tc>
          <w:tcPr>
            <w:tcW w:w="1728" w:type="dxa"/>
          </w:tcPr>
          <w:p w14:paraId="1D925FA1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85 (100.0%)</w:t>
            </w:r>
          </w:p>
        </w:tc>
        <w:tc>
          <w:tcPr>
            <w:tcW w:w="1728" w:type="dxa"/>
          </w:tcPr>
          <w:p w14:paraId="136B7517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42 (100.0%)</w:t>
            </w:r>
          </w:p>
        </w:tc>
        <w:tc>
          <w:tcPr>
            <w:tcW w:w="1728" w:type="dxa"/>
          </w:tcPr>
          <w:p w14:paraId="1C779F6A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43 (100.0%)</w:t>
            </w:r>
          </w:p>
        </w:tc>
        <w:tc>
          <w:tcPr>
            <w:tcW w:w="1728" w:type="dxa"/>
          </w:tcPr>
          <w:p w14:paraId="342B77DB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—</w:t>
            </w:r>
          </w:p>
        </w:tc>
      </w:tr>
      <w:tr w:rsidR="000A4B44" w:rsidRPr="000A4B44" w14:paraId="1DB2B8A6" w14:textId="77777777">
        <w:tc>
          <w:tcPr>
            <w:tcW w:w="4320" w:type="dxa"/>
          </w:tcPr>
          <w:p w14:paraId="15E5E1B0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Discussed prognosis</w:t>
            </w:r>
          </w:p>
        </w:tc>
        <w:tc>
          <w:tcPr>
            <w:tcW w:w="1728" w:type="dxa"/>
          </w:tcPr>
          <w:p w14:paraId="2F0FEC11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43 (50.6%)</w:t>
            </w:r>
          </w:p>
        </w:tc>
        <w:tc>
          <w:tcPr>
            <w:tcW w:w="1728" w:type="dxa"/>
          </w:tcPr>
          <w:p w14:paraId="10E00B77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29 (69.0%)</w:t>
            </w:r>
          </w:p>
        </w:tc>
        <w:tc>
          <w:tcPr>
            <w:tcW w:w="1728" w:type="dxa"/>
          </w:tcPr>
          <w:p w14:paraId="7E248C0C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14 (32.6%)</w:t>
            </w:r>
          </w:p>
        </w:tc>
        <w:tc>
          <w:tcPr>
            <w:tcW w:w="1728" w:type="dxa"/>
          </w:tcPr>
          <w:p w14:paraId="5B1DB4EC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0.001</w:t>
            </w:r>
          </w:p>
        </w:tc>
      </w:tr>
      <w:tr w:rsidR="000A4B44" w:rsidRPr="000A4B44" w14:paraId="36CA35BC" w14:textId="77777777">
        <w:tc>
          <w:tcPr>
            <w:tcW w:w="4320" w:type="dxa"/>
          </w:tcPr>
          <w:p w14:paraId="6C6275E5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A4B44">
              <w:rPr>
                <w:rFonts w:ascii="Arial" w:hAnsi="Arial" w:cs="Arial"/>
                <w:sz w:val="24"/>
                <w:szCs w:val="24"/>
              </w:rPr>
              <w:t>Explained</w:t>
            </w:r>
            <w:proofErr w:type="gramEnd"/>
            <w:r w:rsidRPr="000A4B44">
              <w:rPr>
                <w:rFonts w:ascii="Arial" w:hAnsi="Arial" w:cs="Arial"/>
                <w:sz w:val="24"/>
                <w:szCs w:val="24"/>
              </w:rPr>
              <w:t xml:space="preserve"> what the options mean</w:t>
            </w:r>
          </w:p>
        </w:tc>
        <w:tc>
          <w:tcPr>
            <w:tcW w:w="1728" w:type="dxa"/>
          </w:tcPr>
          <w:p w14:paraId="1851B7DF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70 (82.4%)</w:t>
            </w:r>
          </w:p>
        </w:tc>
        <w:tc>
          <w:tcPr>
            <w:tcW w:w="1728" w:type="dxa"/>
          </w:tcPr>
          <w:p w14:paraId="1207AC39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37 (88.1%)</w:t>
            </w:r>
          </w:p>
        </w:tc>
        <w:tc>
          <w:tcPr>
            <w:tcW w:w="1728" w:type="dxa"/>
          </w:tcPr>
          <w:p w14:paraId="4B66C1C0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33 (76.7%)</w:t>
            </w:r>
          </w:p>
        </w:tc>
        <w:tc>
          <w:tcPr>
            <w:tcW w:w="1728" w:type="dxa"/>
          </w:tcPr>
          <w:p w14:paraId="4023C1AF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0.255</w:t>
            </w:r>
          </w:p>
        </w:tc>
      </w:tr>
      <w:tr w:rsidR="000A4B44" w:rsidRPr="000A4B44" w14:paraId="0EBB2D91" w14:textId="77777777">
        <w:tc>
          <w:tcPr>
            <w:tcW w:w="4320" w:type="dxa"/>
          </w:tcPr>
          <w:p w14:paraId="067C3B00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Addressed uncertainty about diagnosis</w:t>
            </w:r>
          </w:p>
        </w:tc>
        <w:tc>
          <w:tcPr>
            <w:tcW w:w="1728" w:type="dxa"/>
          </w:tcPr>
          <w:p w14:paraId="66F03056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30 (35.3%)</w:t>
            </w:r>
          </w:p>
        </w:tc>
        <w:tc>
          <w:tcPr>
            <w:tcW w:w="1728" w:type="dxa"/>
          </w:tcPr>
          <w:p w14:paraId="277B3C12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22 (52.4%)</w:t>
            </w:r>
          </w:p>
        </w:tc>
        <w:tc>
          <w:tcPr>
            <w:tcW w:w="1728" w:type="dxa"/>
          </w:tcPr>
          <w:p w14:paraId="3DBC3670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8 (18.6%)</w:t>
            </w:r>
          </w:p>
        </w:tc>
        <w:tc>
          <w:tcPr>
            <w:tcW w:w="1728" w:type="dxa"/>
          </w:tcPr>
          <w:p w14:paraId="78812D7E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0.001</w:t>
            </w:r>
          </w:p>
        </w:tc>
      </w:tr>
      <w:tr w:rsidR="000A4B44" w:rsidRPr="000A4B44" w14:paraId="08668F04" w14:textId="77777777">
        <w:tc>
          <w:tcPr>
            <w:tcW w:w="4320" w:type="dxa"/>
          </w:tcPr>
          <w:p w14:paraId="3DCFD1A4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Explained possibility of inconclusive results</w:t>
            </w:r>
          </w:p>
        </w:tc>
        <w:tc>
          <w:tcPr>
            <w:tcW w:w="1728" w:type="dxa"/>
          </w:tcPr>
          <w:p w14:paraId="68AA62BB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35 (41.2%)</w:t>
            </w:r>
          </w:p>
        </w:tc>
        <w:tc>
          <w:tcPr>
            <w:tcW w:w="1728" w:type="dxa"/>
          </w:tcPr>
          <w:p w14:paraId="6B9A9E2F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19 (45.2%)</w:t>
            </w:r>
          </w:p>
        </w:tc>
        <w:tc>
          <w:tcPr>
            <w:tcW w:w="1728" w:type="dxa"/>
          </w:tcPr>
          <w:p w14:paraId="25B373C0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16 (37.2%)</w:t>
            </w:r>
          </w:p>
        </w:tc>
        <w:tc>
          <w:tcPr>
            <w:tcW w:w="1728" w:type="dxa"/>
          </w:tcPr>
          <w:p w14:paraId="706C5E32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0.512</w:t>
            </w:r>
          </w:p>
        </w:tc>
      </w:tr>
      <w:tr w:rsidR="000A4B44" w:rsidRPr="000A4B44" w14:paraId="3AEE0F4B" w14:textId="77777777">
        <w:tc>
          <w:tcPr>
            <w:tcW w:w="4320" w:type="dxa"/>
          </w:tcPr>
          <w:p w14:paraId="618940D4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Discussed potential complications of the procedure</w:t>
            </w:r>
          </w:p>
        </w:tc>
        <w:tc>
          <w:tcPr>
            <w:tcW w:w="1728" w:type="dxa"/>
          </w:tcPr>
          <w:p w14:paraId="6988DD94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48 (56.5%)</w:t>
            </w:r>
          </w:p>
        </w:tc>
        <w:tc>
          <w:tcPr>
            <w:tcW w:w="1728" w:type="dxa"/>
          </w:tcPr>
          <w:p w14:paraId="42A96B6E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24 (57.1%)</w:t>
            </w:r>
          </w:p>
        </w:tc>
        <w:tc>
          <w:tcPr>
            <w:tcW w:w="1728" w:type="dxa"/>
          </w:tcPr>
          <w:p w14:paraId="788B2DAE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24 (55.8%)</w:t>
            </w:r>
          </w:p>
        </w:tc>
        <w:tc>
          <w:tcPr>
            <w:tcW w:w="1728" w:type="dxa"/>
          </w:tcPr>
          <w:p w14:paraId="0E645A6F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&gt;0.999</w:t>
            </w:r>
          </w:p>
        </w:tc>
      </w:tr>
      <w:tr w:rsidR="000A4B44" w:rsidRPr="000A4B44" w14:paraId="51046AB6" w14:textId="77777777">
        <w:tc>
          <w:tcPr>
            <w:tcW w:w="4320" w:type="dxa"/>
          </w:tcPr>
          <w:p w14:paraId="59CD8836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Clarified next steps</w:t>
            </w:r>
          </w:p>
        </w:tc>
        <w:tc>
          <w:tcPr>
            <w:tcW w:w="1728" w:type="dxa"/>
          </w:tcPr>
          <w:p w14:paraId="3CEF62E6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81 (95.3%)</w:t>
            </w:r>
          </w:p>
        </w:tc>
        <w:tc>
          <w:tcPr>
            <w:tcW w:w="1728" w:type="dxa"/>
          </w:tcPr>
          <w:p w14:paraId="46B1DEE1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40 (95.2%)</w:t>
            </w:r>
          </w:p>
        </w:tc>
        <w:tc>
          <w:tcPr>
            <w:tcW w:w="1728" w:type="dxa"/>
          </w:tcPr>
          <w:p w14:paraId="30C048F6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41 (95.3%)</w:t>
            </w:r>
          </w:p>
        </w:tc>
        <w:tc>
          <w:tcPr>
            <w:tcW w:w="1728" w:type="dxa"/>
          </w:tcPr>
          <w:p w14:paraId="5BBBDC6F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&gt;0.999</w:t>
            </w:r>
          </w:p>
        </w:tc>
      </w:tr>
      <w:tr w:rsidR="000A4B44" w:rsidRPr="000A4B44" w14:paraId="1876D99A" w14:textId="77777777">
        <w:tc>
          <w:tcPr>
            <w:tcW w:w="4320" w:type="dxa"/>
          </w:tcPr>
          <w:p w14:paraId="317EA089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Asked what patients thought of the options</w:t>
            </w:r>
          </w:p>
        </w:tc>
        <w:tc>
          <w:tcPr>
            <w:tcW w:w="1728" w:type="dxa"/>
          </w:tcPr>
          <w:p w14:paraId="61E16822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62 (72.9%)</w:t>
            </w:r>
          </w:p>
        </w:tc>
        <w:tc>
          <w:tcPr>
            <w:tcW w:w="1728" w:type="dxa"/>
          </w:tcPr>
          <w:p w14:paraId="1F64BB51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33 (78.6%)</w:t>
            </w:r>
          </w:p>
        </w:tc>
        <w:tc>
          <w:tcPr>
            <w:tcW w:w="1728" w:type="dxa"/>
          </w:tcPr>
          <w:p w14:paraId="7672D988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29 (67.4%)</w:t>
            </w:r>
          </w:p>
        </w:tc>
        <w:tc>
          <w:tcPr>
            <w:tcW w:w="1728" w:type="dxa"/>
          </w:tcPr>
          <w:p w14:paraId="2F101EB5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0.330</w:t>
            </w:r>
          </w:p>
        </w:tc>
      </w:tr>
      <w:tr w:rsidR="000A4B44" w:rsidRPr="000A4B44" w14:paraId="789651BB" w14:textId="77777777">
        <w:tc>
          <w:tcPr>
            <w:tcW w:w="4320" w:type="dxa"/>
          </w:tcPr>
          <w:p w14:paraId="2286A63D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Provided a printable summary</w:t>
            </w:r>
          </w:p>
        </w:tc>
        <w:tc>
          <w:tcPr>
            <w:tcW w:w="1728" w:type="dxa"/>
          </w:tcPr>
          <w:p w14:paraId="22A43BF7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38 (44.7%)</w:t>
            </w:r>
          </w:p>
        </w:tc>
        <w:tc>
          <w:tcPr>
            <w:tcW w:w="1728" w:type="dxa"/>
          </w:tcPr>
          <w:p w14:paraId="119D495A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37 (88.1%)</w:t>
            </w:r>
          </w:p>
        </w:tc>
        <w:tc>
          <w:tcPr>
            <w:tcW w:w="1728" w:type="dxa"/>
          </w:tcPr>
          <w:p w14:paraId="5A13B445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1 (2.3%)</w:t>
            </w:r>
          </w:p>
        </w:tc>
        <w:tc>
          <w:tcPr>
            <w:tcW w:w="1728" w:type="dxa"/>
          </w:tcPr>
          <w:p w14:paraId="40F7AC35" w14:textId="77777777" w:rsidR="00ED3EB3" w:rsidRPr="000A4B44" w:rsidRDefault="000A4B44">
            <w:pPr>
              <w:rPr>
                <w:rFonts w:ascii="Arial" w:hAnsi="Arial" w:cs="Arial"/>
                <w:sz w:val="24"/>
                <w:szCs w:val="24"/>
              </w:rPr>
            </w:pPr>
            <w:r w:rsidRPr="000A4B44">
              <w:rPr>
                <w:rFonts w:ascii="Arial" w:hAnsi="Arial" w:cs="Arial"/>
                <w:sz w:val="24"/>
                <w:szCs w:val="24"/>
              </w:rPr>
              <w:t>&lt;0.001</w:t>
            </w:r>
          </w:p>
        </w:tc>
      </w:tr>
    </w:tbl>
    <w:p w14:paraId="39CA6307" w14:textId="77777777" w:rsidR="000A4B44" w:rsidRDefault="000A4B44"/>
    <w:sectPr w:rsidR="00000000" w:rsidSect="000A4B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189472">
    <w:abstractNumId w:val="8"/>
  </w:num>
  <w:num w:numId="2" w16cid:durableId="723986543">
    <w:abstractNumId w:val="6"/>
  </w:num>
  <w:num w:numId="3" w16cid:durableId="1669360972">
    <w:abstractNumId w:val="5"/>
  </w:num>
  <w:num w:numId="4" w16cid:durableId="463625876">
    <w:abstractNumId w:val="4"/>
  </w:num>
  <w:num w:numId="5" w16cid:durableId="115565494">
    <w:abstractNumId w:val="7"/>
  </w:num>
  <w:num w:numId="6" w16cid:durableId="156191753">
    <w:abstractNumId w:val="3"/>
  </w:num>
  <w:num w:numId="7" w16cid:durableId="384641114">
    <w:abstractNumId w:val="2"/>
  </w:num>
  <w:num w:numId="8" w16cid:durableId="869148368">
    <w:abstractNumId w:val="1"/>
  </w:num>
  <w:num w:numId="9" w16cid:durableId="202173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B44"/>
    <w:rsid w:val="0015074B"/>
    <w:rsid w:val="0029639D"/>
    <w:rsid w:val="00326F90"/>
    <w:rsid w:val="00AA1D8D"/>
    <w:rsid w:val="00B47730"/>
    <w:rsid w:val="00BD7DFE"/>
    <w:rsid w:val="00CB0664"/>
    <w:rsid w:val="00ED3E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BA82EF"/>
  <w14:defaultImageDpi w14:val="300"/>
  <w15:docId w15:val="{FC677BDB-8232-4A41-97D9-F2B87092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Singh Ospina, Naykky</cp:lastModifiedBy>
  <cp:revision>2</cp:revision>
  <dcterms:created xsi:type="dcterms:W3CDTF">2013-12-23T23:15:00Z</dcterms:created>
  <dcterms:modified xsi:type="dcterms:W3CDTF">2025-10-09T13:48:00Z</dcterms:modified>
  <cp:category/>
</cp:coreProperties>
</file>