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1D3AE" w14:textId="59F5808F" w:rsidR="00E943D0" w:rsidRDefault="00AD15AC" w:rsidP="00AC5426">
      <w:pPr>
        <w:spacing w:line="360" w:lineRule="auto"/>
        <w:jc w:val="center"/>
        <w:rPr>
          <w:rFonts w:eastAsiaTheme="majorEastAsia" w:cstheme="majorBidi"/>
          <w:b/>
          <w:spacing w:val="-10"/>
          <w:kern w:val="28"/>
          <w:sz w:val="36"/>
          <w:szCs w:val="56"/>
        </w:rPr>
      </w:pPr>
      <w:r>
        <w:rPr>
          <w:rFonts w:eastAsiaTheme="majorEastAsia" w:cstheme="majorBidi"/>
          <w:b/>
          <w:spacing w:val="-10"/>
          <w:kern w:val="28"/>
          <w:sz w:val="36"/>
          <w:szCs w:val="56"/>
        </w:rPr>
        <w:t>Supplementary material</w:t>
      </w:r>
    </w:p>
    <w:p w14:paraId="6B0AB19D" w14:textId="77777777" w:rsidR="00735126" w:rsidRDefault="00735126" w:rsidP="00735126">
      <w:pPr>
        <w:spacing w:line="360" w:lineRule="auto"/>
        <w:jc w:val="center"/>
        <w:rPr>
          <w:rFonts w:eastAsiaTheme="majorEastAsia" w:cstheme="majorBidi"/>
          <w:b/>
          <w:spacing w:val="-10"/>
          <w:kern w:val="28"/>
          <w:sz w:val="36"/>
          <w:szCs w:val="56"/>
        </w:rPr>
      </w:pPr>
      <w:r w:rsidRPr="00C4634A">
        <w:rPr>
          <w:rFonts w:eastAsiaTheme="majorEastAsia" w:cstheme="majorBidi"/>
          <w:b/>
          <w:spacing w:val="-10"/>
          <w:kern w:val="28"/>
          <w:sz w:val="36"/>
          <w:szCs w:val="56"/>
        </w:rPr>
        <w:t xml:space="preserve">Chronic mild </w:t>
      </w:r>
      <w:r>
        <w:rPr>
          <w:rFonts w:eastAsiaTheme="majorEastAsia" w:cstheme="majorBidi"/>
          <w:b/>
          <w:spacing w:val="-10"/>
          <w:kern w:val="28"/>
          <w:sz w:val="36"/>
          <w:szCs w:val="56"/>
        </w:rPr>
        <w:t>t</w:t>
      </w:r>
      <w:r w:rsidRPr="00C4634A">
        <w:rPr>
          <w:rFonts w:eastAsiaTheme="majorEastAsia" w:cstheme="majorBidi"/>
          <w:b/>
          <w:spacing w:val="-10"/>
          <w:kern w:val="28"/>
          <w:sz w:val="36"/>
          <w:szCs w:val="56"/>
        </w:rPr>
        <w:t xml:space="preserve">raumatic </w:t>
      </w:r>
      <w:r>
        <w:rPr>
          <w:rFonts w:eastAsiaTheme="majorEastAsia" w:cstheme="majorBidi"/>
          <w:b/>
          <w:spacing w:val="-10"/>
          <w:kern w:val="28"/>
          <w:sz w:val="36"/>
          <w:szCs w:val="56"/>
        </w:rPr>
        <w:t>b</w:t>
      </w:r>
      <w:r w:rsidRPr="00C4634A">
        <w:rPr>
          <w:rFonts w:eastAsiaTheme="majorEastAsia" w:cstheme="majorBidi"/>
          <w:b/>
          <w:spacing w:val="-10"/>
          <w:kern w:val="28"/>
          <w:sz w:val="36"/>
          <w:szCs w:val="56"/>
        </w:rPr>
        <w:t xml:space="preserve">rain </w:t>
      </w:r>
      <w:r>
        <w:rPr>
          <w:rFonts w:eastAsiaTheme="majorEastAsia" w:cstheme="majorBidi"/>
          <w:b/>
          <w:spacing w:val="-10"/>
          <w:kern w:val="28"/>
          <w:sz w:val="36"/>
          <w:szCs w:val="56"/>
        </w:rPr>
        <w:t>i</w:t>
      </w:r>
      <w:r w:rsidRPr="00C4634A">
        <w:rPr>
          <w:rFonts w:eastAsiaTheme="majorEastAsia" w:cstheme="majorBidi"/>
          <w:b/>
          <w:spacing w:val="-10"/>
          <w:kern w:val="28"/>
          <w:sz w:val="36"/>
          <w:szCs w:val="56"/>
        </w:rPr>
        <w:t xml:space="preserve">njury: </w:t>
      </w:r>
      <w:bookmarkStart w:id="0" w:name="_Hlk105331733"/>
      <w:r>
        <w:rPr>
          <w:rFonts w:eastAsiaTheme="majorEastAsia" w:cstheme="majorBidi"/>
          <w:b/>
          <w:spacing w:val="-10"/>
          <w:kern w:val="28"/>
          <w:sz w:val="36"/>
          <w:szCs w:val="56"/>
        </w:rPr>
        <w:t>Aberrant static and dynamic connectomic features identified through m</w:t>
      </w:r>
      <w:r w:rsidRPr="00C4634A">
        <w:rPr>
          <w:rFonts w:eastAsiaTheme="majorEastAsia" w:cstheme="majorBidi"/>
          <w:b/>
          <w:spacing w:val="-10"/>
          <w:kern w:val="28"/>
          <w:sz w:val="36"/>
          <w:szCs w:val="56"/>
        </w:rPr>
        <w:t xml:space="preserve">achine </w:t>
      </w:r>
      <w:r>
        <w:rPr>
          <w:rFonts w:eastAsiaTheme="majorEastAsia" w:cstheme="majorBidi"/>
          <w:b/>
          <w:spacing w:val="-10"/>
          <w:kern w:val="28"/>
          <w:sz w:val="36"/>
          <w:szCs w:val="56"/>
        </w:rPr>
        <w:t>l</w:t>
      </w:r>
      <w:r w:rsidRPr="00C4634A">
        <w:rPr>
          <w:rFonts w:eastAsiaTheme="majorEastAsia" w:cstheme="majorBidi"/>
          <w:b/>
          <w:spacing w:val="-10"/>
          <w:kern w:val="28"/>
          <w:sz w:val="36"/>
          <w:szCs w:val="56"/>
        </w:rPr>
        <w:t xml:space="preserve">earning </w:t>
      </w:r>
      <w:r>
        <w:rPr>
          <w:rFonts w:eastAsiaTheme="majorEastAsia" w:cstheme="majorBidi"/>
          <w:b/>
          <w:spacing w:val="-10"/>
          <w:kern w:val="28"/>
          <w:sz w:val="36"/>
          <w:szCs w:val="56"/>
          <w:lang w:val="en-US"/>
        </w:rPr>
        <w:t xml:space="preserve">model </w:t>
      </w:r>
      <w:r w:rsidRPr="00C4634A">
        <w:rPr>
          <w:rFonts w:eastAsiaTheme="majorEastAsia" w:cstheme="majorBidi"/>
          <w:b/>
          <w:spacing w:val="-10"/>
          <w:kern w:val="28"/>
          <w:sz w:val="36"/>
          <w:szCs w:val="56"/>
        </w:rPr>
        <w:t>fusion</w:t>
      </w:r>
      <w:bookmarkEnd w:id="0"/>
    </w:p>
    <w:p w14:paraId="144CB273" w14:textId="77777777" w:rsidR="00735126" w:rsidRPr="001A42BD" w:rsidRDefault="00735126" w:rsidP="00735126">
      <w:pPr>
        <w:spacing w:line="360" w:lineRule="auto"/>
        <w:jc w:val="center"/>
        <w:rPr>
          <w:vertAlign w:val="superscript"/>
          <w:lang w:val="en-US"/>
        </w:rPr>
      </w:pPr>
      <w:r>
        <w:t>Nicholas J. Simos,</w:t>
      </w:r>
      <w:r>
        <w:rPr>
          <w:vertAlign w:val="superscript"/>
        </w:rPr>
        <w:t>1^*</w:t>
      </w:r>
      <w:r>
        <w:t xml:space="preserve"> Katina Manolitsi,</w:t>
      </w:r>
      <w:r>
        <w:rPr>
          <w:vertAlign w:val="superscript"/>
          <w:lang w:val="en-US"/>
        </w:rPr>
        <w:t>2,</w:t>
      </w:r>
      <w:r w:rsidRPr="000120B7">
        <w:rPr>
          <w:vertAlign w:val="superscript"/>
          <w:lang w:val="en-US"/>
        </w:rPr>
        <w:t>5</w:t>
      </w:r>
      <w:r>
        <w:rPr>
          <w:vertAlign w:val="superscript"/>
          <w:lang w:val="en-US"/>
        </w:rPr>
        <w:t>*</w:t>
      </w:r>
      <w:r>
        <w:t xml:space="preserve"> Andrea I. Luppi,</w:t>
      </w:r>
      <w:r>
        <w:rPr>
          <w:vertAlign w:val="superscript"/>
        </w:rPr>
        <w:t>3,4</w:t>
      </w:r>
      <w:r>
        <w:t xml:space="preserve"> </w:t>
      </w:r>
      <w:r>
        <w:rPr>
          <w:lang w:val="en-US"/>
        </w:rPr>
        <w:t>Antonios Kagialis</w:t>
      </w:r>
      <w:r>
        <w:t>,</w:t>
      </w:r>
      <w:r>
        <w:rPr>
          <w:vertAlign w:val="superscript"/>
        </w:rPr>
        <w:t>5</w:t>
      </w:r>
      <w:r>
        <w:t xml:space="preserve"> Marios Antonakakis,</w:t>
      </w:r>
      <w:r>
        <w:rPr>
          <w:vertAlign w:val="superscript"/>
        </w:rPr>
        <w:t>6</w:t>
      </w:r>
      <w:r>
        <w:t xml:space="preserve"> Michalis Zervakis,</w:t>
      </w:r>
      <w:r>
        <w:rPr>
          <w:vertAlign w:val="superscript"/>
        </w:rPr>
        <w:t>6</w:t>
      </w:r>
      <w:r>
        <w:t xml:space="preserve"> Despina Antypa</w:t>
      </w:r>
      <w:r w:rsidRPr="00AC5426">
        <w:rPr>
          <w:lang w:val="en-US"/>
        </w:rPr>
        <w:t>,</w:t>
      </w:r>
      <w:r w:rsidRPr="002E7F90">
        <w:rPr>
          <w:vertAlign w:val="superscript"/>
          <w:lang w:val="en-US"/>
        </w:rPr>
        <w:t>5</w:t>
      </w:r>
      <w:r>
        <w:t xml:space="preserve"> Eleftherios Kavroulakis,</w:t>
      </w:r>
      <w:r w:rsidRPr="001A42BD">
        <w:rPr>
          <w:vertAlign w:val="superscript"/>
          <w:lang w:val="en-US"/>
        </w:rPr>
        <w:t>7</w:t>
      </w:r>
      <w:r>
        <w:t xml:space="preserve"> Thomas G. Maris,</w:t>
      </w:r>
      <w:r>
        <w:rPr>
          <w:vertAlign w:val="superscript"/>
        </w:rPr>
        <w:t>1,</w:t>
      </w:r>
      <w:r w:rsidRPr="001A42BD">
        <w:rPr>
          <w:vertAlign w:val="superscript"/>
          <w:lang w:val="en-US"/>
        </w:rPr>
        <w:t>7</w:t>
      </w:r>
      <w:r>
        <w:t xml:space="preserve"> Antonios Vakis,</w:t>
      </w:r>
      <w:r>
        <w:rPr>
          <w:vertAlign w:val="superscript"/>
          <w:lang w:val="en-US"/>
        </w:rPr>
        <w:t>2</w:t>
      </w:r>
      <w:r>
        <w:t xml:space="preserve"> Emmanuel A. Stamatakis,</w:t>
      </w:r>
      <w:r>
        <w:rPr>
          <w:vertAlign w:val="superscript"/>
        </w:rPr>
        <w:t xml:space="preserve">3,4^ </w:t>
      </w:r>
      <w:r>
        <w:t>and</w:t>
      </w:r>
      <w:r>
        <w:rPr>
          <w:vertAlign w:val="superscript"/>
          <w:lang w:val="en-US"/>
        </w:rPr>
        <w:t xml:space="preserve"> </w:t>
      </w:r>
      <w:r>
        <w:t>Efrosini Papadaki</w:t>
      </w:r>
      <w:r>
        <w:rPr>
          <w:vertAlign w:val="superscript"/>
        </w:rPr>
        <w:t>1,</w:t>
      </w:r>
      <w:r w:rsidRPr="001A42BD">
        <w:rPr>
          <w:vertAlign w:val="superscript"/>
          <w:lang w:val="en-US"/>
        </w:rPr>
        <w:t>7</w:t>
      </w:r>
    </w:p>
    <w:p w14:paraId="5D669428" w14:textId="77777777" w:rsidR="00735126" w:rsidRPr="0053401E" w:rsidRDefault="00735126" w:rsidP="00735126">
      <w:pPr>
        <w:spacing w:line="360" w:lineRule="auto"/>
        <w:jc w:val="center"/>
        <w:rPr>
          <w:vertAlign w:val="superscript"/>
        </w:rPr>
      </w:pPr>
    </w:p>
    <w:p w14:paraId="434EAD14" w14:textId="77777777" w:rsidR="00735126" w:rsidRPr="007614CF" w:rsidRDefault="00735126" w:rsidP="00735126">
      <w:pPr>
        <w:spacing w:after="0" w:line="360" w:lineRule="auto"/>
        <w:rPr>
          <w:b/>
        </w:rPr>
      </w:pPr>
      <w:r w:rsidRPr="007614CF">
        <w:rPr>
          <w:b/>
        </w:rPr>
        <w:t>Author affiliations:</w:t>
      </w:r>
    </w:p>
    <w:p w14:paraId="3C52BD58" w14:textId="77777777" w:rsidR="00735126" w:rsidRDefault="00735126" w:rsidP="00735126">
      <w:pPr>
        <w:spacing w:before="120" w:after="0" w:line="276" w:lineRule="auto"/>
      </w:pPr>
      <w:r w:rsidRPr="009F3B7B">
        <w:t xml:space="preserve">1 </w:t>
      </w:r>
      <w:r w:rsidRPr="00DE3F85">
        <w:t>Computational Bio-Medicine Laboratory, Institute of Computer Science, Foundation for Research and Technology–Hellas, 70013 Heraklion, Greece</w:t>
      </w:r>
    </w:p>
    <w:p w14:paraId="4D36B415" w14:textId="77777777" w:rsidR="00735126" w:rsidRDefault="00735126" w:rsidP="00735126">
      <w:pPr>
        <w:spacing w:before="120" w:after="0" w:line="276" w:lineRule="auto"/>
      </w:pPr>
      <w:r>
        <w:rPr>
          <w:lang w:val="en-US"/>
        </w:rPr>
        <w:t>2</w:t>
      </w:r>
      <w:r>
        <w:t xml:space="preserve"> </w:t>
      </w:r>
      <w:r w:rsidRPr="00DA132C">
        <w:t>Department of Neurosurgery, School of Medicine</w:t>
      </w:r>
      <w:r w:rsidRPr="00FF556F">
        <w:rPr>
          <w:lang w:val="en-US"/>
        </w:rPr>
        <w:t xml:space="preserve"> &amp; </w:t>
      </w:r>
      <w:r w:rsidRPr="00DA132C">
        <w:t>University Hospital of Heraklion, University of Crete, Crete, Greece</w:t>
      </w:r>
    </w:p>
    <w:p w14:paraId="46A75EAC" w14:textId="77777777" w:rsidR="00735126" w:rsidRDefault="00735126" w:rsidP="00735126">
      <w:pPr>
        <w:spacing w:before="120" w:after="0" w:line="276" w:lineRule="auto"/>
      </w:pPr>
      <w:r>
        <w:t xml:space="preserve">3 </w:t>
      </w:r>
      <w:r w:rsidRPr="00502FA6">
        <w:t>Division of Anaesthesia, School of Clinical Medicine, University of Cambridge, Addenbrooke’s Hospital, Hills Rd, CB2 0SP Cambridge, UK</w:t>
      </w:r>
    </w:p>
    <w:p w14:paraId="1DE7CC8B" w14:textId="77777777" w:rsidR="00735126" w:rsidRDefault="00735126" w:rsidP="00735126">
      <w:pPr>
        <w:spacing w:before="120" w:after="0" w:line="276" w:lineRule="auto"/>
      </w:pPr>
      <w:r>
        <w:t xml:space="preserve">4 </w:t>
      </w:r>
      <w:r w:rsidRPr="00502FA6">
        <w:t>Department of Clinical Neurosciences, School of Clinical Medicine, University of Cambridge, Addenbrooke’s Hospital, Hills Rd, CB2 0SP Cambridge, UK</w:t>
      </w:r>
    </w:p>
    <w:p w14:paraId="609EC517" w14:textId="77777777" w:rsidR="00735126" w:rsidRDefault="00735126" w:rsidP="00735126">
      <w:pPr>
        <w:spacing w:before="120" w:after="0" w:line="276" w:lineRule="auto"/>
      </w:pPr>
      <w:r>
        <w:t xml:space="preserve">5 </w:t>
      </w:r>
      <w:r w:rsidRPr="00DA132C">
        <w:t>Department of Psychiatry, School of Medicine</w:t>
      </w:r>
      <w:r w:rsidRPr="00FF556F">
        <w:rPr>
          <w:lang w:val="en-US"/>
        </w:rPr>
        <w:t xml:space="preserve"> &amp; </w:t>
      </w:r>
      <w:r w:rsidRPr="00DA132C">
        <w:t>University Hospital of Heraklion, University of Crete, Crete, Greece</w:t>
      </w:r>
    </w:p>
    <w:p w14:paraId="45FBDFF8" w14:textId="77777777" w:rsidR="00735126" w:rsidRDefault="00735126" w:rsidP="00735126">
      <w:pPr>
        <w:spacing w:before="120" w:after="0" w:line="276" w:lineRule="auto"/>
      </w:pPr>
      <w:r>
        <w:t xml:space="preserve">6 </w:t>
      </w:r>
      <w:r w:rsidRPr="00502FA6">
        <w:t xml:space="preserve">Digital Image and Signal Processing Laboratory, School of </w:t>
      </w:r>
      <w:r>
        <w:t>Electrical</w:t>
      </w:r>
      <w:r w:rsidRPr="00502FA6">
        <w:t xml:space="preserve"> and Computer Engineering, Technical University of Crete, Chania, Greece</w:t>
      </w:r>
      <w:r>
        <w:t>.</w:t>
      </w:r>
    </w:p>
    <w:p w14:paraId="6ACBF40C" w14:textId="77777777" w:rsidR="00735126" w:rsidRDefault="00735126" w:rsidP="00735126">
      <w:pPr>
        <w:spacing w:before="120" w:after="0" w:line="276" w:lineRule="auto"/>
      </w:pPr>
      <w:r>
        <w:rPr>
          <w:lang w:val="en-US"/>
        </w:rPr>
        <w:t>7</w:t>
      </w:r>
      <w:r>
        <w:t xml:space="preserve"> </w:t>
      </w:r>
      <w:r w:rsidRPr="001A42BD">
        <w:t>Department of Radiology, School of Medicine &amp; University Hospital of Heraklion, University of Crete, Crete, Greece</w:t>
      </w:r>
    </w:p>
    <w:p w14:paraId="2D5E7116" w14:textId="77777777" w:rsidR="00735126" w:rsidRPr="00CD0006" w:rsidRDefault="00735126" w:rsidP="00735126">
      <w:pPr>
        <w:spacing w:after="0" w:line="360" w:lineRule="auto"/>
      </w:pPr>
    </w:p>
    <w:p w14:paraId="1B25353B" w14:textId="77777777" w:rsidR="00735126" w:rsidRDefault="00735126" w:rsidP="00735126">
      <w:pPr>
        <w:spacing w:after="0" w:line="276" w:lineRule="auto"/>
      </w:pPr>
      <w:r>
        <w:t>^</w:t>
      </w:r>
      <w:r w:rsidRPr="002D1205">
        <w:t>Correspondence to:</w:t>
      </w:r>
      <w:r>
        <w:t xml:space="preserve"> </w:t>
      </w:r>
      <w:r w:rsidRPr="009C79E2">
        <w:t>Emmanuel A Stamatakis PhD</w:t>
      </w:r>
    </w:p>
    <w:p w14:paraId="7D77E2E9" w14:textId="77777777" w:rsidR="00735126" w:rsidRDefault="00735126" w:rsidP="00735126">
      <w:pPr>
        <w:spacing w:after="0" w:line="276" w:lineRule="auto"/>
      </w:pPr>
      <w:r>
        <w:t xml:space="preserve">Full address: </w:t>
      </w:r>
    </w:p>
    <w:p w14:paraId="7B48F39C" w14:textId="77777777" w:rsidR="00735126" w:rsidRDefault="00735126" w:rsidP="00735126">
      <w:pPr>
        <w:spacing w:after="0" w:line="276" w:lineRule="auto"/>
      </w:pPr>
      <w:r>
        <w:t>Division of Anaesthesia</w:t>
      </w:r>
    </w:p>
    <w:p w14:paraId="38B6A853" w14:textId="77777777" w:rsidR="00735126" w:rsidRDefault="00735126" w:rsidP="00735126">
      <w:pPr>
        <w:spacing w:after="0" w:line="276" w:lineRule="auto"/>
      </w:pPr>
      <w:r>
        <w:t>University Of Cambridge</w:t>
      </w:r>
    </w:p>
    <w:p w14:paraId="52644D58" w14:textId="77777777" w:rsidR="00735126" w:rsidRDefault="00735126" w:rsidP="00735126">
      <w:pPr>
        <w:spacing w:after="0" w:line="276" w:lineRule="auto"/>
      </w:pPr>
      <w:r>
        <w:t>Box 93, Addenbrooke's Hospital</w:t>
      </w:r>
    </w:p>
    <w:p w14:paraId="6CF816F6" w14:textId="77777777" w:rsidR="00735126" w:rsidRDefault="00735126" w:rsidP="00735126">
      <w:pPr>
        <w:spacing w:after="0" w:line="276" w:lineRule="auto"/>
      </w:pPr>
      <w:r>
        <w:t>Hills Road</w:t>
      </w:r>
    </w:p>
    <w:p w14:paraId="0495CE16" w14:textId="77777777" w:rsidR="00735126" w:rsidRDefault="00735126" w:rsidP="00735126">
      <w:pPr>
        <w:spacing w:after="0" w:line="276" w:lineRule="auto"/>
      </w:pPr>
      <w:r>
        <w:t>Cambridge, CB2 0QQ</w:t>
      </w:r>
    </w:p>
    <w:p w14:paraId="020FD912" w14:textId="77777777" w:rsidR="00735126" w:rsidRDefault="00735126" w:rsidP="00735126">
      <w:pPr>
        <w:spacing w:after="0" w:line="276" w:lineRule="auto"/>
        <w:rPr>
          <w:rStyle w:val="Hyperlink"/>
          <w:rFonts w:cstheme="minorBidi"/>
        </w:rPr>
      </w:pPr>
      <w:r>
        <w:t>U.K.</w:t>
      </w:r>
      <w:r>
        <w:br/>
        <w:t xml:space="preserve">E-mail: </w:t>
      </w:r>
      <w:hyperlink r:id="rId8" w:history="1">
        <w:r w:rsidRPr="005673D7">
          <w:rPr>
            <w:rStyle w:val="Hyperlink"/>
            <w:rFonts w:cstheme="minorBidi"/>
          </w:rPr>
          <w:t>eas46@cam.ac.uk</w:t>
        </w:r>
      </w:hyperlink>
    </w:p>
    <w:p w14:paraId="3507280F" w14:textId="77777777" w:rsidR="00735126" w:rsidRDefault="00735126" w:rsidP="00735126">
      <w:pPr>
        <w:spacing w:after="0" w:line="276" w:lineRule="auto"/>
        <w:rPr>
          <w:rStyle w:val="Hyperlink"/>
          <w:rFonts w:cstheme="minorBidi"/>
        </w:rPr>
      </w:pPr>
    </w:p>
    <w:p w14:paraId="6E989AD8" w14:textId="77777777" w:rsidR="00735126" w:rsidRDefault="00735126" w:rsidP="00735126">
      <w:pPr>
        <w:spacing w:after="0" w:line="276" w:lineRule="auto"/>
      </w:pPr>
      <w:r>
        <w:t>^Correspondence to: Nicholas J. Simos</w:t>
      </w:r>
    </w:p>
    <w:p w14:paraId="6F7947AD" w14:textId="77777777" w:rsidR="00735126" w:rsidRDefault="00735126" w:rsidP="00735126">
      <w:pPr>
        <w:spacing w:after="0" w:line="276" w:lineRule="auto"/>
      </w:pPr>
      <w:r>
        <w:t xml:space="preserve">Full address: </w:t>
      </w:r>
    </w:p>
    <w:p w14:paraId="1ABFB7C1" w14:textId="77777777" w:rsidR="00735126" w:rsidRDefault="00735126" w:rsidP="00735126">
      <w:pPr>
        <w:spacing w:after="0" w:line="276" w:lineRule="auto"/>
      </w:pPr>
      <w:r>
        <w:t>Computational Bio-Medicine Laboratory</w:t>
      </w:r>
    </w:p>
    <w:p w14:paraId="47F91CFD" w14:textId="77777777" w:rsidR="00735126" w:rsidRDefault="00735126" w:rsidP="00735126">
      <w:pPr>
        <w:spacing w:after="0" w:line="276" w:lineRule="auto"/>
      </w:pPr>
      <w:r>
        <w:t>Institute of Computer Science</w:t>
      </w:r>
    </w:p>
    <w:p w14:paraId="3AD9E064" w14:textId="77777777" w:rsidR="00735126" w:rsidRDefault="00735126" w:rsidP="00735126">
      <w:pPr>
        <w:spacing w:after="0" w:line="276" w:lineRule="auto"/>
      </w:pPr>
      <w:r>
        <w:t>Foundation for Research and Technology–Hellas (FORTH)</w:t>
      </w:r>
    </w:p>
    <w:p w14:paraId="538224EF" w14:textId="77777777" w:rsidR="00735126" w:rsidRDefault="00735126" w:rsidP="00735126">
      <w:pPr>
        <w:spacing w:after="0" w:line="276" w:lineRule="auto"/>
      </w:pPr>
      <w:r>
        <w:t>Nikolaou Plastira 100</w:t>
      </w:r>
    </w:p>
    <w:p w14:paraId="42CFBF0A" w14:textId="77777777" w:rsidR="00735126" w:rsidRDefault="00735126" w:rsidP="00735126">
      <w:pPr>
        <w:spacing w:after="0" w:line="276" w:lineRule="auto"/>
      </w:pPr>
      <w:r>
        <w:t>P.O Box 1385</w:t>
      </w:r>
    </w:p>
    <w:p w14:paraId="36E0B0C9" w14:textId="77777777" w:rsidR="00735126" w:rsidRDefault="00735126" w:rsidP="00735126">
      <w:pPr>
        <w:spacing w:after="0" w:line="276" w:lineRule="auto"/>
      </w:pPr>
      <w:r>
        <w:t>Vassilika Vouton, 70013 Heraklion, Crete, Greece</w:t>
      </w:r>
    </w:p>
    <w:p w14:paraId="64EAD3CD" w14:textId="77777777" w:rsidR="00735126" w:rsidRDefault="00735126" w:rsidP="00735126">
      <w:pPr>
        <w:spacing w:after="0" w:line="276" w:lineRule="auto"/>
      </w:pPr>
      <w:r>
        <w:t>E-mail: nicholasjohnsimos@gmail.com</w:t>
      </w:r>
    </w:p>
    <w:p w14:paraId="33A359A7" w14:textId="7BF93BC2" w:rsidR="0081000F" w:rsidRDefault="00735126" w:rsidP="00777A99">
      <w:pPr>
        <w:spacing w:after="0" w:line="276" w:lineRule="auto"/>
      </w:pPr>
      <w:r>
        <w:t>*Authors NJS and KM had equal contribution to this work</w:t>
      </w:r>
    </w:p>
    <w:p w14:paraId="67B324DA" w14:textId="77777777" w:rsidR="0081000F" w:rsidRPr="00B959E8" w:rsidRDefault="0081000F" w:rsidP="00B959E8">
      <w:pPr>
        <w:spacing w:before="120" w:after="0" w:line="276" w:lineRule="auto"/>
      </w:pPr>
    </w:p>
    <w:p w14:paraId="2CDD99E3" w14:textId="217A9C02" w:rsidR="00F91DDF" w:rsidRPr="00F91DDF" w:rsidRDefault="007354E5" w:rsidP="00777A99">
      <w:pPr>
        <w:pStyle w:val="Heading1"/>
      </w:pPr>
      <w:r w:rsidRPr="00A03ADB">
        <w:t>Materials and methods</w:t>
      </w:r>
      <w:r w:rsidR="00523CC2" w:rsidRPr="00A03ADB">
        <w:t xml:space="preserve"> </w:t>
      </w:r>
    </w:p>
    <w:p w14:paraId="62223F11" w14:textId="36EA7F43" w:rsidR="00AF2E9B" w:rsidRPr="00C80815" w:rsidRDefault="00AF2E9B" w:rsidP="00777A99">
      <w:pPr>
        <w:pStyle w:val="Heading2"/>
      </w:pPr>
      <w:r w:rsidRPr="00C80815">
        <w:t>Functional network measures</w:t>
      </w:r>
    </w:p>
    <w:p w14:paraId="009855FF" w14:textId="3DB38717" w:rsidR="0099689C" w:rsidRPr="00C025DA" w:rsidRDefault="0099689C" w:rsidP="00C025DA">
      <w:pPr>
        <w:spacing w:line="360" w:lineRule="auto"/>
        <w:rPr>
          <w:rFonts w:eastAsiaTheme="minorEastAsia" w:cs="Times New Roman"/>
          <w:lang w:val="en-US"/>
        </w:rPr>
      </w:pPr>
      <w:r w:rsidRPr="00C025DA">
        <w:rPr>
          <w:rFonts w:cs="Times New Roman"/>
        </w:rPr>
        <w:t>In the current study, weighted-undirected networks were used in all analysis steps</w:t>
      </w:r>
      <w:r w:rsidR="00781115" w:rsidRPr="00C025DA">
        <w:rPr>
          <w:rFonts w:cs="Times New Roman"/>
        </w:rPr>
        <w:t xml:space="preserve">, based on </w:t>
      </w:r>
      <w:r w:rsidR="005F7275" w:rsidRPr="00C025DA">
        <w:rPr>
          <w:rFonts w:cs="Times New Roman"/>
          <w:lang w:val="en-US"/>
        </w:rPr>
        <w:t>Prsn</w:t>
      </w:r>
      <w:r w:rsidR="00781115" w:rsidRPr="00C025DA">
        <w:rPr>
          <w:rFonts w:cs="Times New Roman"/>
        </w:rPr>
        <w:t xml:space="preserve"> or MI indices</w:t>
      </w:r>
      <w:r w:rsidR="000D5C4A" w:rsidRPr="00C025DA">
        <w:rPr>
          <w:rFonts w:cs="Times New Roman"/>
        </w:rPr>
        <w:t xml:space="preserve"> </w:t>
      </w:r>
      <w:r w:rsidRPr="00C025DA">
        <w:rPr>
          <w:rFonts w:cs="Times New Roman"/>
        </w:rPr>
        <w:fldChar w:fldCharType="begin" w:fldLock="1"/>
      </w:r>
      <w:r w:rsidR="00EA2DE3">
        <w:rPr>
          <w:rFonts w:cs="Times New Roman"/>
        </w:rPr>
        <w:instrText>ADDIN CSL_CITATION {"citationItems":[{"id":"ITEM-1","itemData":{"DOI":"10.1016/j.neuroimage.2009.10.003","ISSN":"10538119","PMID":"19819337","abstract":"Brain connectivity datasets comprise networks of brain regions connected by anatomical tracts or by functional associations. Complex network analysis-a new multidisciplinary approach to the study of complex systems-aims to characterize these brain networks with a small number of neurobiologically meaningful and easily computable measures. In this article, we discuss construction of brain networks from connectivity data and describe the most commonly used network measures of structural and functional connectivity. We describe measures that variously detect functional integration and segregation, quantify centrality of individual brain regions or pathways, characterize patterns of local anatomical circuitry, and test resilience of networks to insult. We discuss the issues surrounding comparison of structural and functional network connectivity, as well as comparison of networks across subjects. Finally, we describe a Matlab toolbox (http://www.brain-connectivity-toolbox.net) accompanying this article and containing a collection of complex network measures and large-scale neuroanatomical connectivity datasets. © 2009 Elsevier Inc.","author":[{"dropping-particle":"","family":"Rubinov","given":"Mikail","non-dropping-particle":"","parse-names":false,"suffix":""},{"dropping-particle":"","family":"Sporns","given":"Olaf","non-dropping-particle":"","parse-names":false,"suffix":""}],"container-title":"NeuroImage","id":"ITEM-1","issue":"3","issued":{"date-parts":[["2010"]]},"page":"1059-1069","publisher":"Elsevier Inc.","title":"Complex network measures of brain connectivity: Uses and interpretations","type":"article-journal","volume":"52"},"uris":["http://www.mendeley.com/documents/?uuid=c52bce08-0fe8-4890-9376-3b928fe50240"]}],"mendeley":{"formattedCitation":"(Rubinov and Sporns 2010)","plainTextFormattedCitation":"(Rubinov and Sporns 2010)","previouslyFormattedCitation":"[1]"},"properties":{"noteIndex":0},"schema":"https://github.com/citation-style-language/schema/raw/master/csl-citation.json"}</w:instrText>
      </w:r>
      <w:r w:rsidRPr="00C025DA">
        <w:rPr>
          <w:rFonts w:cs="Times New Roman"/>
        </w:rPr>
        <w:fldChar w:fldCharType="separate"/>
      </w:r>
      <w:r w:rsidR="00EA2DE3" w:rsidRPr="00EA2DE3">
        <w:rPr>
          <w:rFonts w:cs="Times New Roman"/>
          <w:noProof/>
        </w:rPr>
        <w:t>(Rubinov and Sporns 2010)</w:t>
      </w:r>
      <w:r w:rsidRPr="00C025DA">
        <w:rPr>
          <w:rFonts w:cs="Times New Roman"/>
        </w:rPr>
        <w:fldChar w:fldCharType="end"/>
      </w:r>
      <w:r w:rsidR="000D5C4A" w:rsidRPr="00C025DA">
        <w:rPr>
          <w:rFonts w:cs="Times New Roman"/>
        </w:rPr>
        <w:t xml:space="preserve">. </w:t>
      </w:r>
      <w:r w:rsidRPr="00C025DA">
        <w:rPr>
          <w:rFonts w:cs="Times New Roman"/>
        </w:rPr>
        <w:t xml:space="preserve">Some basic notation used for the calculation of several graph metrics below: </w:t>
      </w:r>
    </w:p>
    <w:p w14:paraId="6F27B53B" w14:textId="77777777" w:rsidR="0099689C" w:rsidRPr="00C025DA" w:rsidRDefault="0099689C" w:rsidP="00C025DA">
      <w:pPr>
        <w:pStyle w:val="ListParagraph"/>
        <w:numPr>
          <w:ilvl w:val="0"/>
          <w:numId w:val="12"/>
        </w:numPr>
        <w:jc w:val="left"/>
        <w:rPr>
          <w:rFonts w:ascii="Times New Roman" w:hAnsi="Times New Roman" w:cs="Times New Roman"/>
        </w:rPr>
      </w:pPr>
      <w:r w:rsidRPr="00C025DA">
        <w:rPr>
          <w:rFonts w:ascii="Times New Roman" w:hAnsi="Times New Roman" w:cs="Times New Roman"/>
          <w:b/>
          <w:bCs/>
          <w:i/>
          <w:iCs/>
        </w:rPr>
        <w:t>N</w:t>
      </w:r>
      <w:r w:rsidRPr="00C025DA">
        <w:rPr>
          <w:rFonts w:ascii="Times New Roman" w:hAnsi="Times New Roman" w:cs="Times New Roman"/>
          <w:i/>
          <w:iCs/>
        </w:rPr>
        <w:t xml:space="preserve">: </w:t>
      </w:r>
      <w:r w:rsidRPr="00C025DA">
        <w:rPr>
          <w:rFonts w:ascii="Times New Roman" w:hAnsi="Times New Roman" w:cs="Times New Roman"/>
        </w:rPr>
        <w:t>all the nodes of the network</w:t>
      </w:r>
    </w:p>
    <w:p w14:paraId="61608EF8" w14:textId="77777777" w:rsidR="0099689C" w:rsidRPr="00C025DA" w:rsidRDefault="0099689C" w:rsidP="00C025DA">
      <w:pPr>
        <w:pStyle w:val="ListParagraph"/>
        <w:numPr>
          <w:ilvl w:val="0"/>
          <w:numId w:val="12"/>
        </w:numPr>
        <w:jc w:val="left"/>
        <w:rPr>
          <w:rFonts w:ascii="Times New Roman" w:hAnsi="Times New Roman" w:cs="Times New Roman"/>
        </w:rPr>
      </w:pPr>
      <w:r w:rsidRPr="00C025DA">
        <w:rPr>
          <w:rFonts w:ascii="Times New Roman" w:hAnsi="Times New Roman" w:cs="Times New Roman"/>
          <w:b/>
          <w:bCs/>
          <w:i/>
          <w:iCs/>
        </w:rPr>
        <w:t>n</w:t>
      </w:r>
      <w:r w:rsidRPr="00C025DA">
        <w:rPr>
          <w:rFonts w:ascii="Times New Roman" w:hAnsi="Times New Roman" w:cs="Times New Roman"/>
        </w:rPr>
        <w:t>: the number of nodes</w:t>
      </w:r>
    </w:p>
    <w:p w14:paraId="5059B31C" w14:textId="77777777" w:rsidR="0099689C" w:rsidRPr="00C025DA" w:rsidRDefault="0099689C" w:rsidP="00C025DA">
      <w:pPr>
        <w:pStyle w:val="ListParagraph"/>
        <w:numPr>
          <w:ilvl w:val="0"/>
          <w:numId w:val="12"/>
        </w:numPr>
        <w:jc w:val="left"/>
        <w:rPr>
          <w:rFonts w:ascii="Times New Roman" w:hAnsi="Times New Roman" w:cs="Times New Roman"/>
        </w:rPr>
      </w:pPr>
      <w:r w:rsidRPr="00C025DA">
        <w:rPr>
          <w:rFonts w:ascii="Times New Roman" w:hAnsi="Times New Roman" w:cs="Times New Roman"/>
          <w:b/>
          <w:bCs/>
          <w:i/>
          <w:iCs/>
        </w:rPr>
        <w:t>v</w:t>
      </w:r>
      <w:r w:rsidRPr="00C025DA">
        <w:rPr>
          <w:rFonts w:ascii="Times New Roman" w:hAnsi="Times New Roman" w:cs="Times New Roman"/>
        </w:rPr>
        <w:t xml:space="preserve">: sum of the network’s connections,  </w:t>
      </w:r>
      <m:oMath>
        <m:r>
          <m:rPr>
            <m:sty m:val="bi"/>
          </m:rPr>
          <w:rPr>
            <w:rFonts w:ascii="Cambria Math" w:hAnsi="Cambria Math" w:cs="Times New Roman"/>
          </w:rPr>
          <m:t>v</m:t>
        </m:r>
        <m:r>
          <w:rPr>
            <w:rFonts w:ascii="Cambria Math" w:hAnsi="Cambria Math" w:cs="Times New Roman"/>
          </w:rPr>
          <m:t xml:space="preserve">= </m:t>
        </m:r>
        <m:nary>
          <m:naryPr>
            <m:chr m:val="∑"/>
            <m:limLoc m:val="undOvr"/>
            <m:supHide m:val="1"/>
            <m:ctrlPr>
              <w:rPr>
                <w:rFonts w:ascii="Cambria Math" w:hAnsi="Cambria Math" w:cs="Times New Roman"/>
                <w:i/>
              </w:rPr>
            </m:ctrlPr>
          </m:naryPr>
          <m:sub>
            <m:r>
              <w:rPr>
                <w:rFonts w:ascii="Cambria Math" w:hAnsi="Cambria Math" w:cs="Times New Roman"/>
              </w:rPr>
              <m:t xml:space="preserve">i,j ∈N </m:t>
            </m:r>
          </m:sub>
          <m:sup/>
          <m:e>
            <m:sSub>
              <m:sSubPr>
                <m:ctrlPr>
                  <w:rPr>
                    <w:rFonts w:ascii="Cambria Math" w:hAnsi="Cambria Math" w:cs="Times New Roman"/>
                    <w:i/>
                  </w:rPr>
                </m:ctrlPr>
              </m:sSubPr>
              <m:e>
                <m:r>
                  <w:rPr>
                    <w:rFonts w:ascii="Cambria Math" w:hAnsi="Cambria Math" w:cs="Times New Roman"/>
                  </w:rPr>
                  <m:t>w</m:t>
                </m:r>
              </m:e>
              <m:sub>
                <m:r>
                  <w:rPr>
                    <w:rFonts w:ascii="Cambria Math" w:hAnsi="Cambria Math" w:cs="Times New Roman"/>
                  </w:rPr>
                  <m:t>ij</m:t>
                </m:r>
              </m:sub>
            </m:sSub>
          </m:e>
        </m:nary>
      </m:oMath>
    </w:p>
    <w:p w14:paraId="1C390C0C" w14:textId="77777777" w:rsidR="0099689C" w:rsidRPr="00C025DA" w:rsidRDefault="0099689C" w:rsidP="00C025DA">
      <w:pPr>
        <w:pStyle w:val="ListParagraph"/>
        <w:numPr>
          <w:ilvl w:val="0"/>
          <w:numId w:val="12"/>
        </w:numPr>
        <w:jc w:val="left"/>
        <w:rPr>
          <w:rFonts w:ascii="Times New Roman" w:hAnsi="Times New Roman" w:cs="Times New Roman"/>
        </w:rPr>
      </w:pPr>
      <w:r w:rsidRPr="00C025DA">
        <w:rPr>
          <w:rFonts w:ascii="Times New Roman" w:hAnsi="Times New Roman" w:cs="Times New Roman"/>
          <w:b/>
          <w:bCs/>
          <w:i/>
          <w:iCs/>
        </w:rPr>
        <w:t>w</w:t>
      </w:r>
      <w:r w:rsidRPr="00C025DA">
        <w:rPr>
          <w:rFonts w:ascii="Times New Roman" w:hAnsi="Times New Roman" w:cs="Times New Roman"/>
          <w:b/>
          <w:bCs/>
          <w:i/>
          <w:iCs/>
          <w:vertAlign w:val="subscript"/>
        </w:rPr>
        <w:t>ij</w:t>
      </w:r>
      <w:r w:rsidRPr="00C025DA">
        <w:rPr>
          <w:rFonts w:ascii="Times New Roman" w:hAnsi="Times New Roman" w:cs="Times New Roman"/>
          <w:i/>
          <w:iCs/>
        </w:rPr>
        <w:t>:</w:t>
      </w:r>
      <w:r w:rsidRPr="00C025DA">
        <w:rPr>
          <w:rFonts w:ascii="Times New Roman" w:hAnsi="Times New Roman" w:cs="Times New Roman"/>
        </w:rPr>
        <w:t xml:space="preserve"> the edge weight between nodes </w:t>
      </w:r>
      <w:r w:rsidRPr="00C025DA">
        <w:rPr>
          <w:rFonts w:ascii="Times New Roman" w:hAnsi="Times New Roman" w:cs="Times New Roman"/>
          <w:i/>
          <w:iCs/>
        </w:rPr>
        <w:t>i</w:t>
      </w:r>
      <w:r w:rsidRPr="00C025DA">
        <w:rPr>
          <w:rFonts w:ascii="Times New Roman" w:hAnsi="Times New Roman" w:cs="Times New Roman"/>
        </w:rPr>
        <w:t xml:space="preserve"> and </w:t>
      </w:r>
      <w:r w:rsidRPr="00C025DA">
        <w:rPr>
          <w:rFonts w:ascii="Times New Roman" w:hAnsi="Times New Roman" w:cs="Times New Roman"/>
          <w:i/>
          <w:iCs/>
        </w:rPr>
        <w:t>j</w:t>
      </w:r>
      <w:r w:rsidRPr="00C025DA">
        <w:rPr>
          <w:rFonts w:ascii="Times New Roman" w:hAnsi="Times New Roman" w:cs="Times New Roman"/>
        </w:rPr>
        <w:t>.</w:t>
      </w:r>
    </w:p>
    <w:p w14:paraId="538FD7CA" w14:textId="77777777" w:rsidR="0099689C" w:rsidRPr="00C025DA" w:rsidRDefault="0099689C" w:rsidP="00C025DA">
      <w:pPr>
        <w:pStyle w:val="ListParagraph"/>
        <w:numPr>
          <w:ilvl w:val="0"/>
          <w:numId w:val="12"/>
        </w:numPr>
        <w:jc w:val="left"/>
        <w:rPr>
          <w:rFonts w:ascii="Times New Roman" w:hAnsi="Times New Roman" w:cs="Times New Roman"/>
        </w:rPr>
      </w:pPr>
      <w:r w:rsidRPr="00C025DA">
        <w:rPr>
          <w:rFonts w:ascii="Times New Roman" w:hAnsi="Times New Roman" w:cs="Times New Roman"/>
          <w:b/>
          <w:bCs/>
          <w:i/>
          <w:iCs/>
        </w:rPr>
        <w:t>a</w:t>
      </w:r>
      <w:r w:rsidRPr="00C025DA">
        <w:rPr>
          <w:rFonts w:ascii="Times New Roman" w:hAnsi="Times New Roman" w:cs="Times New Roman"/>
          <w:b/>
          <w:bCs/>
          <w:i/>
          <w:iCs/>
          <w:vertAlign w:val="subscript"/>
        </w:rPr>
        <w:t>ij</w:t>
      </w:r>
      <w:r w:rsidRPr="00C025DA">
        <w:rPr>
          <w:rFonts w:ascii="Times New Roman" w:hAnsi="Times New Roman" w:cs="Times New Roman"/>
        </w:rPr>
        <w:t xml:space="preserve"> = 1 when a connection exists between </w:t>
      </w:r>
      <w:r w:rsidRPr="00C025DA">
        <w:rPr>
          <w:rFonts w:ascii="Times New Roman" w:hAnsi="Times New Roman" w:cs="Times New Roman"/>
          <w:i/>
          <w:iCs/>
        </w:rPr>
        <w:t>i,j</w:t>
      </w:r>
      <w:r w:rsidRPr="00C025DA">
        <w:rPr>
          <w:rFonts w:ascii="Times New Roman" w:hAnsi="Times New Roman" w:cs="Times New Roman"/>
        </w:rPr>
        <w:t xml:space="preserve">, 0 otherwise. </w:t>
      </w:r>
    </w:p>
    <w:p w14:paraId="50563966" w14:textId="77777777" w:rsidR="0099689C" w:rsidRPr="00C025DA" w:rsidRDefault="0099689C" w:rsidP="00C025DA">
      <w:pPr>
        <w:pStyle w:val="ListParagraph"/>
        <w:numPr>
          <w:ilvl w:val="0"/>
          <w:numId w:val="12"/>
        </w:numPr>
        <w:jc w:val="left"/>
        <w:rPr>
          <w:rFonts w:ascii="Times New Roman" w:hAnsi="Times New Roman" w:cs="Times New Roman"/>
        </w:rPr>
      </w:pPr>
      <w:r w:rsidRPr="00C025DA">
        <w:rPr>
          <w:rFonts w:ascii="Times New Roman" w:hAnsi="Times New Roman" w:cs="Times New Roman"/>
        </w:rPr>
        <w:t xml:space="preserve">The </w:t>
      </w:r>
      <w:r w:rsidRPr="00C025DA">
        <w:rPr>
          <w:rFonts w:ascii="Times New Roman" w:hAnsi="Times New Roman" w:cs="Times New Roman"/>
          <w:b/>
          <w:bCs/>
        </w:rPr>
        <w:t>shortest path</w:t>
      </w:r>
      <w:r w:rsidRPr="00C025DA">
        <w:rPr>
          <w:rFonts w:ascii="Times New Roman" w:hAnsi="Times New Roman" w:cs="Times New Roman"/>
        </w:rPr>
        <w:t xml:space="preserve"> </w:t>
      </w:r>
      <w:r w:rsidRPr="00C025DA">
        <w:rPr>
          <w:rFonts w:ascii="Times New Roman" w:hAnsi="Times New Roman" w:cs="Times New Roman"/>
          <w:b/>
          <w:bCs/>
          <w:i/>
          <w:iCs/>
        </w:rPr>
        <w:t>d</w:t>
      </w:r>
      <w:r w:rsidRPr="00C025DA">
        <w:rPr>
          <w:rFonts w:ascii="Times New Roman" w:hAnsi="Times New Roman" w:cs="Times New Roman"/>
          <w:b/>
          <w:bCs/>
          <w:i/>
          <w:iCs/>
          <w:vertAlign w:val="subscript"/>
        </w:rPr>
        <w:t>ij</w:t>
      </w:r>
      <w:r w:rsidRPr="00C025DA">
        <w:rPr>
          <w:rFonts w:ascii="Times New Roman" w:hAnsi="Times New Roman" w:cs="Times New Roman"/>
        </w:rPr>
        <w:t xml:space="preserve"> between nodes </w:t>
      </w:r>
      <w:r w:rsidRPr="00C025DA">
        <w:rPr>
          <w:rFonts w:ascii="Times New Roman" w:hAnsi="Times New Roman" w:cs="Times New Roman"/>
          <w:i/>
          <w:iCs/>
        </w:rPr>
        <w:t xml:space="preserve">i,j </w:t>
      </w:r>
      <w:r w:rsidRPr="00C025DA">
        <w:rPr>
          <w:rFonts w:ascii="Times New Roman" w:hAnsi="Times New Roman" w:cs="Times New Roman"/>
        </w:rPr>
        <w:t xml:space="preserve">is the path connecting the two nodes with the least sum of distances (maximum sum of strengths). </w:t>
      </w:r>
    </w:p>
    <w:p w14:paraId="6304CBD4" w14:textId="67D595A2" w:rsidR="0099689C" w:rsidRPr="00C025DA" w:rsidRDefault="00781115" w:rsidP="00C025DA">
      <w:pPr>
        <w:spacing w:line="360" w:lineRule="auto"/>
        <w:rPr>
          <w:rFonts w:cs="Times New Roman"/>
        </w:rPr>
      </w:pPr>
      <w:r w:rsidRPr="00C025DA">
        <w:rPr>
          <w:rFonts w:cs="Times New Roman"/>
        </w:rPr>
        <w:t>M</w:t>
      </w:r>
      <w:r w:rsidR="0099689C" w:rsidRPr="00C025DA">
        <w:rPr>
          <w:rFonts w:cs="Times New Roman"/>
        </w:rPr>
        <w:t>ost metrics operate on distance weighted networks, thus all formulas and discussion of graph metrics refers to distance weighting. A transformation of 1/FCG is used in all cases whe</w:t>
      </w:r>
      <w:r w:rsidRPr="00C025DA">
        <w:rPr>
          <w:rFonts w:cs="Times New Roman"/>
        </w:rPr>
        <w:t>n</w:t>
      </w:r>
      <w:r w:rsidR="0099689C" w:rsidRPr="00C025DA">
        <w:rPr>
          <w:rFonts w:cs="Times New Roman"/>
        </w:rPr>
        <w:t xml:space="preserve"> needed, taking the edge-wise multiplicative inverse. </w:t>
      </w:r>
    </w:p>
    <w:p w14:paraId="5ADD852C" w14:textId="29AD266C" w:rsidR="0099689C" w:rsidRDefault="0099689C" w:rsidP="00777A99">
      <w:pPr>
        <w:pStyle w:val="Heading3"/>
      </w:pPr>
      <w:r>
        <w:t>Characteristic Path Length</w:t>
      </w:r>
    </w:p>
    <w:p w14:paraId="7F4AD7CD" w14:textId="07DA5E51" w:rsidR="0099689C" w:rsidRPr="00C025DA" w:rsidRDefault="0099689C" w:rsidP="00C025DA">
      <w:pPr>
        <w:spacing w:line="360" w:lineRule="auto"/>
        <w:rPr>
          <w:rFonts w:cs="Times New Roman"/>
        </w:rPr>
      </w:pPr>
      <w:r w:rsidRPr="00C025DA">
        <w:rPr>
          <w:rFonts w:cs="Times New Roman"/>
        </w:rPr>
        <w:t xml:space="preserve">The characteristic path length of a given graph </w:t>
      </w:r>
      <w:r w:rsidR="00781115" w:rsidRPr="00C025DA">
        <w:rPr>
          <w:rFonts w:cs="Times New Roman"/>
        </w:rPr>
        <w:t xml:space="preserve">(L) </w:t>
      </w:r>
      <w:r w:rsidRPr="00C025DA">
        <w:rPr>
          <w:rFonts w:cs="Times New Roman"/>
        </w:rPr>
        <w:t xml:space="preserve">is the average shortest path between all pairs of nodes. High values indicate a global trend of connections/paths with low cost (short length). </w:t>
      </w:r>
      <w:r w:rsidRPr="00C025DA">
        <w:rPr>
          <w:rFonts w:cs="Times New Roman"/>
        </w:rPr>
        <w:lastRenderedPageBreak/>
        <w:t xml:space="preserve">It is thus a global measure of functional integration. In general, integrated networks exhibit globally strong connectedness that is controlled by hub nodes. A more diffuse connectedness is expected in such networks. </w:t>
      </w:r>
    </w:p>
    <w:p w14:paraId="10CE1D15" w14:textId="77777777" w:rsidR="0099689C" w:rsidRDefault="0099689C" w:rsidP="00777A99">
      <w:bookmarkStart w:id="1" w:name="_Hlk81999629"/>
      <m:oMathPara>
        <m:oMath>
          <m:r>
            <w:rPr>
              <w:rFonts w:ascii="Cambria Math" w:hAnsi="Cambria Math"/>
            </w:rPr>
            <m:t xml:space="preserve">L= </m:t>
          </m:r>
          <m:f>
            <m:fPr>
              <m:ctrlPr>
                <w:rPr>
                  <w:rFonts w:ascii="Cambria Math" w:hAnsi="Cambria Math"/>
                  <w:i/>
                  <w:color w:val="000000" w:themeColor="text1"/>
                </w:rPr>
              </m:ctrlPr>
            </m:fPr>
            <m:num>
              <m:r>
                <w:rPr>
                  <w:rFonts w:ascii="Cambria Math" w:hAnsi="Cambria Math"/>
                </w:rPr>
                <m:t>1</m:t>
              </m:r>
            </m:num>
            <m:den>
              <m:r>
                <w:rPr>
                  <w:rFonts w:ascii="Cambria Math" w:hAnsi="Cambria Math"/>
                </w:rPr>
                <m:t>n</m:t>
              </m:r>
            </m:den>
          </m:f>
          <m:nary>
            <m:naryPr>
              <m:chr m:val="∑"/>
              <m:limLoc m:val="undOvr"/>
              <m:supHide m:val="1"/>
              <m:ctrlPr>
                <w:rPr>
                  <w:rFonts w:ascii="Cambria Math" w:hAnsi="Cambria Math"/>
                  <w:i/>
                  <w:color w:val="000000" w:themeColor="text1"/>
                </w:rPr>
              </m:ctrlPr>
            </m:naryPr>
            <m:sub>
              <m:r>
                <w:rPr>
                  <w:rFonts w:ascii="Cambria Math" w:hAnsi="Cambria Math"/>
                </w:rPr>
                <m:t>i∈N</m:t>
              </m:r>
            </m:sub>
            <m:sup/>
            <m:e>
              <m:f>
                <m:fPr>
                  <m:ctrlPr>
                    <w:rPr>
                      <w:rFonts w:ascii="Cambria Math" w:hAnsi="Cambria Math"/>
                      <w:i/>
                      <w:color w:val="000000" w:themeColor="text1"/>
                    </w:rPr>
                  </m:ctrlPr>
                </m:fPr>
                <m:num>
                  <m:nary>
                    <m:naryPr>
                      <m:chr m:val="∑"/>
                      <m:limLoc m:val="undOvr"/>
                      <m:supHide m:val="1"/>
                      <m:ctrlPr>
                        <w:rPr>
                          <w:rFonts w:ascii="Cambria Math" w:hAnsi="Cambria Math"/>
                          <w:i/>
                          <w:color w:val="000000" w:themeColor="text1"/>
                        </w:rPr>
                      </m:ctrlPr>
                    </m:naryPr>
                    <m:sub>
                      <m:r>
                        <w:rPr>
                          <w:rFonts w:ascii="Cambria Math" w:hAnsi="Cambria Math"/>
                        </w:rPr>
                        <m:t>i∈N,j≠i</m:t>
                      </m:r>
                    </m:sub>
                    <m:sup/>
                    <m:e>
                      <m:sSub>
                        <m:sSubPr>
                          <m:ctrlPr>
                            <w:rPr>
                              <w:rFonts w:ascii="Cambria Math" w:hAnsi="Cambria Math"/>
                              <w:i/>
                              <w:color w:val="000000" w:themeColor="text1"/>
                            </w:rPr>
                          </m:ctrlPr>
                        </m:sSubPr>
                        <m:e>
                          <m:r>
                            <w:rPr>
                              <w:rFonts w:ascii="Cambria Math" w:hAnsi="Cambria Math"/>
                            </w:rPr>
                            <m:t>d</m:t>
                          </m:r>
                        </m:e>
                        <m:sub>
                          <m:r>
                            <w:rPr>
                              <w:rFonts w:ascii="Cambria Math" w:hAnsi="Cambria Math"/>
                            </w:rPr>
                            <m:t>ij</m:t>
                          </m:r>
                        </m:sub>
                      </m:sSub>
                    </m:e>
                  </m:nary>
                </m:num>
                <m:den>
                  <m:r>
                    <w:rPr>
                      <w:rFonts w:ascii="Cambria Math" w:hAnsi="Cambria Math"/>
                    </w:rPr>
                    <m:t>n-1</m:t>
                  </m:r>
                </m:den>
              </m:f>
            </m:e>
          </m:nary>
        </m:oMath>
      </m:oMathPara>
      <w:bookmarkEnd w:id="1"/>
    </w:p>
    <w:p w14:paraId="3FC77E72" w14:textId="72A7B80D" w:rsidR="0099689C" w:rsidRDefault="0099689C" w:rsidP="00777A99">
      <w:pPr>
        <w:pStyle w:val="Heading3"/>
      </w:pPr>
      <w:r>
        <w:t>Global Efficiency</w:t>
      </w:r>
    </w:p>
    <w:p w14:paraId="634AA90A" w14:textId="26ADB52F" w:rsidR="0099689C" w:rsidRPr="00C025DA" w:rsidRDefault="0099689C" w:rsidP="00C025DA">
      <w:pPr>
        <w:spacing w:line="360" w:lineRule="auto"/>
        <w:rPr>
          <w:rFonts w:cs="Times New Roman"/>
        </w:rPr>
      </w:pPr>
      <w:r w:rsidRPr="00C025DA">
        <w:rPr>
          <w:rFonts w:cs="Times New Roman"/>
        </w:rPr>
        <w:t>Global Efficiency (GE)</w:t>
      </w:r>
      <w:r w:rsidR="005164DB" w:rsidRPr="00C025DA">
        <w:rPr>
          <w:rFonts w:cs="Times New Roman"/>
        </w:rPr>
        <w:t xml:space="preserve">, </w:t>
      </w:r>
      <w:r w:rsidRPr="00C025DA">
        <w:rPr>
          <w:rFonts w:cs="Times New Roman"/>
        </w:rPr>
        <w:t xml:space="preserve">calculated as the average inverse shortest path length, is inversely related to the characteristic path length. The interpretations and uses of global efficiency are very similar to those of characteristic path length but with inverse value ranges. Lower values of characteristic path length indicate more efficient communication overall, high values of global efficiency indicate the same. Additionally, the characteristic path length is mostly influenced by longer paths while the opposite is true for global efficiency, this also makes global efficiency better fitted for judging the communication structure in disconnected graphs. In these cases, the calculated efficiency value is zero.  </w:t>
      </w:r>
    </w:p>
    <w:p w14:paraId="3CF76DBB" w14:textId="73021077" w:rsidR="0099689C" w:rsidRDefault="00781115" w:rsidP="00777A99">
      <m:oMathPara>
        <m:oMath>
          <m:r>
            <w:rPr>
              <w:rFonts w:ascii="Cambria Math" w:hAnsi="Cambria Math"/>
            </w:rPr>
            <m:t xml:space="preserve">GE= </m:t>
          </m:r>
          <m:f>
            <m:fPr>
              <m:ctrlPr>
                <w:rPr>
                  <w:rFonts w:ascii="Cambria Math" w:hAnsi="Cambria Math"/>
                  <w:i/>
                  <w:color w:val="000000" w:themeColor="text1"/>
                </w:rPr>
              </m:ctrlPr>
            </m:fPr>
            <m:num>
              <m:r>
                <w:rPr>
                  <w:rFonts w:ascii="Cambria Math" w:hAnsi="Cambria Math"/>
                </w:rPr>
                <m:t>1</m:t>
              </m:r>
            </m:num>
            <m:den>
              <m:r>
                <w:rPr>
                  <w:rFonts w:ascii="Cambria Math" w:hAnsi="Cambria Math"/>
                </w:rPr>
                <m:t>n</m:t>
              </m:r>
            </m:den>
          </m:f>
          <m:nary>
            <m:naryPr>
              <m:chr m:val="∑"/>
              <m:limLoc m:val="undOvr"/>
              <m:supHide m:val="1"/>
              <m:ctrlPr>
                <w:rPr>
                  <w:rFonts w:ascii="Cambria Math" w:hAnsi="Cambria Math"/>
                  <w:i/>
                  <w:color w:val="000000" w:themeColor="text1"/>
                </w:rPr>
              </m:ctrlPr>
            </m:naryPr>
            <m:sub>
              <m:r>
                <w:rPr>
                  <w:rFonts w:ascii="Cambria Math" w:hAnsi="Cambria Math"/>
                </w:rPr>
                <m:t>i∈N</m:t>
              </m:r>
            </m:sub>
            <m:sup/>
            <m:e>
              <m:f>
                <m:fPr>
                  <m:ctrlPr>
                    <w:rPr>
                      <w:rFonts w:ascii="Cambria Math" w:hAnsi="Cambria Math"/>
                      <w:i/>
                      <w:color w:val="000000" w:themeColor="text1"/>
                    </w:rPr>
                  </m:ctrlPr>
                </m:fPr>
                <m:num>
                  <m:nary>
                    <m:naryPr>
                      <m:chr m:val="∑"/>
                      <m:limLoc m:val="undOvr"/>
                      <m:supHide m:val="1"/>
                      <m:ctrlPr>
                        <w:rPr>
                          <w:rFonts w:ascii="Cambria Math" w:hAnsi="Cambria Math"/>
                          <w:i/>
                          <w:color w:val="000000" w:themeColor="text1"/>
                        </w:rPr>
                      </m:ctrlPr>
                    </m:naryPr>
                    <m:sub>
                      <m:r>
                        <w:rPr>
                          <w:rFonts w:ascii="Cambria Math" w:hAnsi="Cambria Math"/>
                        </w:rPr>
                        <m:t xml:space="preserve">i∈N,j≠i </m:t>
                      </m:r>
                    </m:sub>
                    <m:sup/>
                    <m:e>
                      <m:f>
                        <m:fPr>
                          <m:type m:val="skw"/>
                          <m:ctrlPr>
                            <w:rPr>
                              <w:rFonts w:ascii="Cambria Math" w:hAnsi="Cambria Math"/>
                              <w:i/>
                              <w:color w:val="000000" w:themeColor="text1"/>
                            </w:rPr>
                          </m:ctrlPr>
                        </m:fPr>
                        <m:num>
                          <m:r>
                            <w:rPr>
                              <w:rFonts w:ascii="Cambria Math" w:hAnsi="Cambria Math"/>
                            </w:rPr>
                            <m:t>1</m:t>
                          </m:r>
                        </m:num>
                        <m:den>
                          <m:sSub>
                            <m:sSubPr>
                              <m:ctrlPr>
                                <w:rPr>
                                  <w:rFonts w:ascii="Cambria Math" w:hAnsi="Cambria Math"/>
                                  <w:i/>
                                  <w:color w:val="000000" w:themeColor="text1"/>
                                </w:rPr>
                              </m:ctrlPr>
                            </m:sSubPr>
                            <m:e>
                              <m:r>
                                <w:rPr>
                                  <w:rFonts w:ascii="Cambria Math" w:hAnsi="Cambria Math"/>
                                </w:rPr>
                                <m:t>d</m:t>
                              </m:r>
                            </m:e>
                            <m:sub>
                              <m:r>
                                <w:rPr>
                                  <w:rFonts w:ascii="Cambria Math" w:hAnsi="Cambria Math"/>
                                </w:rPr>
                                <m:t>ij</m:t>
                              </m:r>
                            </m:sub>
                          </m:sSub>
                        </m:den>
                      </m:f>
                    </m:e>
                  </m:nary>
                </m:num>
                <m:den>
                  <m:r>
                    <w:rPr>
                      <w:rFonts w:ascii="Cambria Math" w:hAnsi="Cambria Math"/>
                    </w:rPr>
                    <m:t>n-1</m:t>
                  </m:r>
                </m:den>
              </m:f>
            </m:e>
          </m:nary>
        </m:oMath>
      </m:oMathPara>
    </w:p>
    <w:p w14:paraId="40B2E46E" w14:textId="274CBB1E" w:rsidR="0099689C" w:rsidRDefault="0099689C" w:rsidP="00777A99">
      <w:pPr>
        <w:pStyle w:val="Heading3"/>
      </w:pPr>
      <w:r>
        <w:t>Local Efficiency</w:t>
      </w:r>
    </w:p>
    <w:p w14:paraId="48684942" w14:textId="69F22881" w:rsidR="0099689C" w:rsidRPr="00C025DA" w:rsidRDefault="0099689C" w:rsidP="00C025DA">
      <w:pPr>
        <w:spacing w:line="360" w:lineRule="auto"/>
        <w:rPr>
          <w:rFonts w:cs="Times New Roman"/>
        </w:rPr>
      </w:pPr>
      <w:r w:rsidRPr="00C025DA">
        <w:rPr>
          <w:rFonts w:cs="Times New Roman"/>
        </w:rPr>
        <w:t xml:space="preserve">Higher values of Local Efficiency (LE) (or clustering coefficient) indicate better communication efficiency among the nodes of an immediate local community. Local efficiency is equivalent to global efficiency calculated on the neighborhood of a node. It is also quite similar to the clustering coefficient as it is described below, for this reason typically one of the two measures is used per application. The inverse shortest path length calculated on the subgraph of all immediate neighbors of a particular node is then normalized by the possible connections that could exist among those nodes. In general terms, it encapsulates whether a system is more immune to faults by quantifying the efficiency of communication between a node and its neighbors if it were removed from the network. </w:t>
      </w:r>
    </w:p>
    <w:p w14:paraId="05854209" w14:textId="77E3C880" w:rsidR="0099689C" w:rsidRPr="00FB3878" w:rsidRDefault="00EA2DE3" w:rsidP="00777A99">
      <m:oMathPara>
        <m:oMath>
          <m:sSub>
            <m:sSubPr>
              <m:ctrlPr>
                <w:rPr>
                  <w:rFonts w:ascii="Cambria Math" w:hAnsi="Cambria Math"/>
                  <w:i/>
                  <w:color w:val="000000" w:themeColor="text1"/>
                </w:rPr>
              </m:ctrlPr>
            </m:sSubPr>
            <m:e>
              <m:r>
                <w:rPr>
                  <w:rFonts w:ascii="Cambria Math" w:hAnsi="Cambria Math"/>
                </w:rPr>
                <m:t>E</m:t>
              </m:r>
            </m:e>
            <m:sub>
              <m:r>
                <w:rPr>
                  <w:rFonts w:ascii="Cambria Math" w:hAnsi="Cambria Math"/>
                </w:rPr>
                <m:t>LOC</m:t>
              </m:r>
            </m:sub>
          </m:sSub>
          <m:r>
            <w:rPr>
              <w:rFonts w:ascii="Cambria Math" w:hAnsi="Cambria Math"/>
            </w:rPr>
            <m:t xml:space="preserve">= </m:t>
          </m:r>
          <m:f>
            <m:fPr>
              <m:ctrlPr>
                <w:rPr>
                  <w:rFonts w:ascii="Cambria Math" w:hAnsi="Cambria Math"/>
                  <w:i/>
                  <w:color w:val="000000" w:themeColor="text1"/>
                </w:rPr>
              </m:ctrlPr>
            </m:fPr>
            <m:num>
              <m:r>
                <w:rPr>
                  <w:rFonts w:ascii="Cambria Math" w:hAnsi="Cambria Math"/>
                </w:rPr>
                <m:t>1</m:t>
              </m:r>
            </m:num>
            <m:den>
              <m:r>
                <w:rPr>
                  <w:rFonts w:ascii="Cambria Math" w:hAnsi="Cambria Math"/>
                </w:rPr>
                <m:t>n</m:t>
              </m:r>
            </m:den>
          </m:f>
          <m:nary>
            <m:naryPr>
              <m:chr m:val="∑"/>
              <m:limLoc m:val="undOvr"/>
              <m:supHide m:val="1"/>
              <m:ctrlPr>
                <w:rPr>
                  <w:rFonts w:ascii="Cambria Math" w:hAnsi="Cambria Math"/>
                  <w:i/>
                  <w:color w:val="000000" w:themeColor="text1"/>
                </w:rPr>
              </m:ctrlPr>
            </m:naryPr>
            <m:sub>
              <m:r>
                <w:rPr>
                  <w:rFonts w:ascii="Cambria Math" w:hAnsi="Cambria Math"/>
                </w:rPr>
                <m:t>i∈N</m:t>
              </m:r>
            </m:sub>
            <m:sup/>
            <m:e>
              <m:f>
                <m:fPr>
                  <m:ctrlPr>
                    <w:rPr>
                      <w:rFonts w:ascii="Cambria Math" w:hAnsi="Cambria Math"/>
                      <w:i/>
                      <w:color w:val="000000" w:themeColor="text1"/>
                    </w:rPr>
                  </m:ctrlPr>
                </m:fPr>
                <m:num>
                  <m:nary>
                    <m:naryPr>
                      <m:chr m:val="∑"/>
                      <m:limLoc m:val="undOvr"/>
                      <m:supHide m:val="1"/>
                      <m:ctrlPr>
                        <w:rPr>
                          <w:rFonts w:ascii="Cambria Math" w:hAnsi="Cambria Math"/>
                          <w:i/>
                          <w:color w:val="000000" w:themeColor="text1"/>
                        </w:rPr>
                      </m:ctrlPr>
                    </m:naryPr>
                    <m:sub>
                      <m:r>
                        <w:rPr>
                          <w:rFonts w:ascii="Cambria Math" w:hAnsi="Cambria Math"/>
                        </w:rPr>
                        <m:t xml:space="preserve">i∈N,j≠i </m:t>
                      </m:r>
                    </m:sub>
                    <m:sup/>
                    <m:e>
                      <m:sSup>
                        <m:sSupPr>
                          <m:ctrlPr>
                            <w:rPr>
                              <w:rFonts w:ascii="Cambria Math" w:hAnsi="Cambria Math"/>
                              <w:i/>
                              <w:color w:val="000000" w:themeColor="text1"/>
                            </w:rPr>
                          </m:ctrlPr>
                        </m:sSupPr>
                        <m:e>
                          <m:r>
                            <w:rPr>
                              <w:rFonts w:ascii="Cambria Math" w:hAnsi="Cambria Math"/>
                            </w:rPr>
                            <m:t>(</m:t>
                          </m:r>
                          <m:sSub>
                            <m:sSubPr>
                              <m:ctrlPr>
                                <w:rPr>
                                  <w:rFonts w:ascii="Cambria Math" w:hAnsi="Cambria Math"/>
                                  <w:i/>
                                  <w:color w:val="000000" w:themeColor="text1"/>
                                </w:rPr>
                              </m:ctrlPr>
                            </m:sSubPr>
                            <m:e>
                              <m:r>
                                <w:rPr>
                                  <w:rFonts w:ascii="Cambria Math" w:hAnsi="Cambria Math"/>
                                </w:rPr>
                                <m:t>w</m:t>
                              </m:r>
                            </m:e>
                            <m:sub>
                              <m:r>
                                <w:rPr>
                                  <w:rFonts w:ascii="Cambria Math" w:hAnsi="Cambria Math"/>
                                </w:rPr>
                                <m:t>ij</m:t>
                              </m:r>
                            </m:sub>
                          </m:sSub>
                          <m:sSub>
                            <m:sSubPr>
                              <m:ctrlPr>
                                <w:rPr>
                                  <w:rFonts w:ascii="Cambria Math" w:hAnsi="Cambria Math"/>
                                  <w:i/>
                                  <w:color w:val="000000" w:themeColor="text1"/>
                                </w:rPr>
                              </m:ctrlPr>
                            </m:sSubPr>
                            <m:e>
                              <m:r>
                                <w:rPr>
                                  <w:rFonts w:ascii="Cambria Math" w:hAnsi="Cambria Math"/>
                                </w:rPr>
                                <m:t>w</m:t>
                              </m:r>
                            </m:e>
                            <m:sub>
                              <m:r>
                                <w:rPr>
                                  <w:rFonts w:ascii="Cambria Math" w:hAnsi="Cambria Math"/>
                                </w:rPr>
                                <m:t>ih</m:t>
                              </m:r>
                            </m:sub>
                          </m:sSub>
                          <m:f>
                            <m:fPr>
                              <m:ctrlPr>
                                <w:rPr>
                                  <w:rFonts w:ascii="Cambria Math" w:hAnsi="Cambria Math"/>
                                  <w:i/>
                                  <w:color w:val="000000" w:themeColor="text1"/>
                                </w:rPr>
                              </m:ctrlPr>
                            </m:fPr>
                            <m:num>
                              <m:r>
                                <w:rPr>
                                  <w:rFonts w:ascii="Cambria Math" w:hAnsi="Cambria Math"/>
                                </w:rPr>
                                <m:t>1</m:t>
                              </m:r>
                            </m:num>
                            <m:den>
                              <m:sSub>
                                <m:sSubPr>
                                  <m:ctrlPr>
                                    <w:rPr>
                                      <w:rFonts w:ascii="Cambria Math" w:hAnsi="Cambria Math"/>
                                      <w:i/>
                                      <w:color w:val="000000" w:themeColor="text1"/>
                                    </w:rPr>
                                  </m:ctrlPr>
                                </m:sSubPr>
                                <m:e>
                                  <m:r>
                                    <w:rPr>
                                      <w:rFonts w:ascii="Cambria Math" w:hAnsi="Cambria Math"/>
                                    </w:rPr>
                                    <m:t>d</m:t>
                                  </m:r>
                                </m:e>
                                <m:sub>
                                  <m:r>
                                    <w:rPr>
                                      <w:rFonts w:ascii="Cambria Math" w:hAnsi="Cambria Math"/>
                                    </w:rPr>
                                    <m:t>ij(</m:t>
                                  </m:r>
                                  <m:sSub>
                                    <m:sSubPr>
                                      <m:ctrlPr>
                                        <w:rPr>
                                          <w:rFonts w:ascii="Cambria Math" w:hAnsi="Cambria Math"/>
                                          <w:i/>
                                          <w:color w:val="000000" w:themeColor="text1"/>
                                        </w:rPr>
                                      </m:ctrlPr>
                                    </m:sSubPr>
                                    <m:e>
                                      <m:r>
                                        <w:rPr>
                                          <w:rFonts w:ascii="Cambria Math" w:hAnsi="Cambria Math"/>
                                        </w:rPr>
                                        <m:t>N</m:t>
                                      </m:r>
                                    </m:e>
                                    <m:sub>
                                      <m:r>
                                        <w:rPr>
                                          <w:rFonts w:ascii="Cambria Math" w:hAnsi="Cambria Math"/>
                                        </w:rPr>
                                        <m:t>i</m:t>
                                      </m:r>
                                    </m:sub>
                                  </m:sSub>
                                  <m:r>
                                    <w:rPr>
                                      <w:rFonts w:ascii="Cambria Math" w:hAnsi="Cambria Math"/>
                                    </w:rPr>
                                    <m:t>)</m:t>
                                  </m:r>
                                </m:sub>
                              </m:sSub>
                            </m:den>
                          </m:f>
                          <m:r>
                            <w:rPr>
                              <w:rFonts w:ascii="Cambria Math" w:hAnsi="Cambria Math"/>
                            </w:rPr>
                            <m:t>)</m:t>
                          </m:r>
                        </m:e>
                        <m:sup>
                          <m:r>
                            <w:rPr>
                              <w:rFonts w:ascii="Cambria Math" w:hAnsi="Cambria Math"/>
                            </w:rPr>
                            <m:t>1/3</m:t>
                          </m:r>
                        </m:sup>
                      </m:sSup>
                    </m:e>
                  </m:nary>
                </m:num>
                <m:den>
                  <m:sSub>
                    <m:sSubPr>
                      <m:ctrlPr>
                        <w:rPr>
                          <w:rFonts w:ascii="Cambria Math" w:hAnsi="Cambria Math"/>
                          <w:i/>
                          <w:color w:val="000000" w:themeColor="text1"/>
                        </w:rPr>
                      </m:ctrlPr>
                    </m:sSubPr>
                    <m:e>
                      <m:r>
                        <w:rPr>
                          <w:rFonts w:ascii="Cambria Math" w:hAnsi="Cambria Math"/>
                        </w:rPr>
                        <m:t>k</m:t>
                      </m:r>
                    </m:e>
                    <m:sub>
                      <m:r>
                        <w:rPr>
                          <w:rFonts w:ascii="Cambria Math" w:hAnsi="Cambria Math"/>
                        </w:rPr>
                        <m:t>i</m:t>
                      </m:r>
                    </m:sub>
                  </m:sSub>
                  <m:r>
                    <w:rPr>
                      <w:rFonts w:ascii="Cambria Math" w:hAnsi="Cambria Math"/>
                    </w:rPr>
                    <m:t>(</m:t>
                  </m:r>
                  <m:sSub>
                    <m:sSubPr>
                      <m:ctrlPr>
                        <w:rPr>
                          <w:rFonts w:ascii="Cambria Math" w:hAnsi="Cambria Math"/>
                          <w:i/>
                          <w:color w:val="000000" w:themeColor="text1"/>
                        </w:rPr>
                      </m:ctrlPr>
                    </m:sSubPr>
                    <m:e>
                      <m:r>
                        <w:rPr>
                          <w:rFonts w:ascii="Cambria Math" w:hAnsi="Cambria Math"/>
                        </w:rPr>
                        <m:t>k</m:t>
                      </m:r>
                    </m:e>
                    <m:sub>
                      <m:r>
                        <w:rPr>
                          <w:rFonts w:ascii="Cambria Math" w:hAnsi="Cambria Math"/>
                        </w:rPr>
                        <m:t>i</m:t>
                      </m:r>
                    </m:sub>
                  </m:sSub>
                  <m:r>
                    <w:rPr>
                      <w:rFonts w:ascii="Cambria Math" w:hAnsi="Cambria Math"/>
                    </w:rPr>
                    <m:t>-1)</m:t>
                  </m:r>
                </m:den>
              </m:f>
            </m:e>
          </m:nary>
        </m:oMath>
      </m:oMathPara>
    </w:p>
    <w:p w14:paraId="793E8C60" w14:textId="0066FB70" w:rsidR="0099689C" w:rsidRPr="0099689C" w:rsidRDefault="0099689C" w:rsidP="00777A99">
      <w:pPr>
        <w:pStyle w:val="Heading3"/>
      </w:pPr>
      <w:r>
        <w:lastRenderedPageBreak/>
        <w:t>Clustering Coefficient</w:t>
      </w:r>
    </w:p>
    <w:p w14:paraId="268D26F9" w14:textId="3B4A25F9" w:rsidR="0033243C" w:rsidRPr="00944377" w:rsidRDefault="0099689C" w:rsidP="004D334C">
      <w:pPr>
        <w:spacing w:line="360" w:lineRule="auto"/>
        <w:rPr>
          <w:rFonts w:eastAsiaTheme="majorEastAsia" w:cs="Times New Roman"/>
          <w:iCs/>
        </w:rPr>
      </w:pPr>
      <w:r w:rsidRPr="00C025DA">
        <w:rPr>
          <w:rFonts w:eastAsiaTheme="majorEastAsia" w:cs="Times New Roman"/>
          <w:iCs/>
        </w:rPr>
        <w:t>The quantification of segregation via increased clustering in complex networks usually revolves around the prevalence of triangles. The ratio of neighbors around a particular node that are also neighbors with each other, calculated through a fraction of triangles, is known as the binary clustering coefficient</w:t>
      </w:r>
      <w:r w:rsidR="00781115" w:rsidRPr="00C025DA">
        <w:rPr>
          <w:rFonts w:eastAsiaTheme="majorEastAsia" w:cs="Times New Roman"/>
          <w:iCs/>
        </w:rPr>
        <w:t xml:space="preserve"> (C)</w:t>
      </w:r>
      <w:r w:rsidR="000D5C4A" w:rsidRPr="00C025DA">
        <w:rPr>
          <w:rFonts w:eastAsiaTheme="majorEastAsia" w:cs="Times New Roman"/>
          <w:iCs/>
        </w:rPr>
        <w:t xml:space="preserve"> </w:t>
      </w:r>
      <w:r w:rsidRPr="00C025DA">
        <w:rPr>
          <w:rFonts w:eastAsiaTheme="majorEastAsia" w:cs="Times New Roman"/>
          <w:iCs/>
        </w:rPr>
        <w:fldChar w:fldCharType="begin" w:fldLock="1"/>
      </w:r>
      <w:r w:rsidR="00EA2DE3">
        <w:rPr>
          <w:rFonts w:eastAsiaTheme="majorEastAsia" w:cs="Times New Roman"/>
          <w:iCs/>
        </w:rPr>
        <w:instrText>ADDIN CSL_CITATION {"citationItems":[{"id":"ITEM-1","itemData":{"abstract":"Networks of coupled dynamical systems have been used to model biological oscillators1–4 , Josephson junction arrays5,6 , excitable media7, neural networks8–10 , spatial games11 , genetic control networks12 and many other self-organizing systems. Ordinarily, the connection topology is assumed to be either completely regular or completely random. But many biological, technological and social networks lie somewhere between these two extremes. Here we explore simple models of networks that can be tuned through this middle ground: regular networks ‘rewired’ to intro- duce increasing amounts of disorder. We find that these systems can be highly clustered, like regular lattices, yet have small characteristic path lengths, like random graphs. We call them ‘small-world’ networks, by analogy with the small-world phenomenon13,14 (popularly known as six degrees ofseparation15 ). The neural network of the worm Caenorhabditis elegans, the power grid of the western United States, and the collaboration graph of film actors are shown to be small-world networks. Models of dynamical systems with small-world coupling display enhanced signal-propagation speed, computational power, and synchronizability. In particular, infectious diseases spread more easily in small-world networks than in regular lattices.","author":[{"dropping-particle":"","family":"Watts","given":"Duncan J.","non-dropping-particle":"","parse-names":false,"suffix":""},{"dropping-particle":"","family":"Strogatz","given":"Steven H.","non-dropping-particle":"","parse-names":false,"suffix":""}],"container-title":"NATURE","id":"ITEM-1","issued":{"date-parts":[["1998"]]},"page":"440-442","title":"Collective dynamics of ‘small-world’ networks","type":"article-journal","volume":"393"},"uris":["http://www.mendeley.com/documents/?uuid=4b5e11ce-8128-4124-abe3-7d7af0bf4080"]}],"mendeley":{"formattedCitation":"(Watts and Strogatz 1998)","plainTextFormattedCitation":"(Watts and Strogatz 1998)","previouslyFormattedCitation":"[2]"},"properties":{"noteIndex":0},"schema":"https://github.com/citation-style-language/schema/raw/master/csl-citation.json"}</w:instrText>
      </w:r>
      <w:r w:rsidRPr="00C025DA">
        <w:rPr>
          <w:rFonts w:eastAsiaTheme="majorEastAsia" w:cs="Times New Roman"/>
          <w:iCs/>
        </w:rPr>
        <w:fldChar w:fldCharType="separate"/>
      </w:r>
      <w:r w:rsidR="00EA2DE3" w:rsidRPr="00EA2DE3">
        <w:rPr>
          <w:rFonts w:eastAsiaTheme="majorEastAsia" w:cs="Times New Roman"/>
          <w:iCs/>
          <w:noProof/>
        </w:rPr>
        <w:t>(Watts and Strogatz 1998)</w:t>
      </w:r>
      <w:r w:rsidRPr="00C025DA">
        <w:rPr>
          <w:rFonts w:eastAsiaTheme="majorEastAsia" w:cs="Times New Roman"/>
          <w:iCs/>
        </w:rPr>
        <w:fldChar w:fldCharType="end"/>
      </w:r>
      <w:r w:rsidRPr="00C025DA">
        <w:rPr>
          <w:rFonts w:eastAsiaTheme="majorEastAsia" w:cs="Times New Roman"/>
          <w:iCs/>
        </w:rPr>
        <w:t xml:space="preserve">. In the weighted graph case, conceptually and computationally similar to local efficiency, the clustering coefficient measures the degree of information segregation at a given node’s neighborhood. Segregated networks are typically characterized by more clearly formed local communities, disconnected from each other and with strong internal associations. </w:t>
      </w:r>
    </w:p>
    <w:p w14:paraId="389A401E" w14:textId="2CCDF30F" w:rsidR="0099689C" w:rsidRDefault="0099689C" w:rsidP="00777A99">
      <w:pPr>
        <w:jc w:val="center"/>
      </w:pPr>
      <m:oMath>
        <m:r>
          <w:rPr>
            <w:rFonts w:ascii="Cambria Math" w:hAnsi="Cambria Math"/>
          </w:rPr>
          <m:t xml:space="preserve">C= </m:t>
        </m:r>
        <m:f>
          <m:fPr>
            <m:ctrlPr>
              <w:rPr>
                <w:rFonts w:ascii="Cambria Math" w:hAnsi="Cambria Math"/>
                <w:i/>
                <w:color w:val="000000" w:themeColor="text1"/>
              </w:rPr>
            </m:ctrlPr>
          </m:fPr>
          <m:num>
            <m:r>
              <w:rPr>
                <w:rFonts w:ascii="Cambria Math" w:hAnsi="Cambria Math"/>
              </w:rPr>
              <m:t>1</m:t>
            </m:r>
          </m:num>
          <m:den>
            <m:r>
              <w:rPr>
                <w:rFonts w:ascii="Cambria Math" w:hAnsi="Cambria Math"/>
              </w:rPr>
              <m:t>n</m:t>
            </m:r>
          </m:den>
        </m:f>
        <m:nary>
          <m:naryPr>
            <m:chr m:val="∑"/>
            <m:limLoc m:val="undOvr"/>
            <m:supHide m:val="1"/>
            <m:ctrlPr>
              <w:rPr>
                <w:rFonts w:ascii="Cambria Math" w:hAnsi="Cambria Math"/>
                <w:i/>
                <w:color w:val="000000" w:themeColor="text1"/>
              </w:rPr>
            </m:ctrlPr>
          </m:naryPr>
          <m:sub>
            <m:r>
              <w:rPr>
                <w:rFonts w:ascii="Cambria Math" w:hAnsi="Cambria Math"/>
              </w:rPr>
              <m:t>i∈N</m:t>
            </m:r>
          </m:sub>
          <m:sup/>
          <m:e>
            <m:f>
              <m:fPr>
                <m:ctrlPr>
                  <w:rPr>
                    <w:rFonts w:ascii="Cambria Math" w:hAnsi="Cambria Math"/>
                    <w:i/>
                    <w:color w:val="000000" w:themeColor="text1"/>
                  </w:rPr>
                </m:ctrlPr>
              </m:fPr>
              <m:num>
                <m:r>
                  <w:rPr>
                    <w:rFonts w:ascii="Cambria Math" w:hAnsi="Cambria Math"/>
                  </w:rPr>
                  <m:t>2</m:t>
                </m:r>
                <m:sSub>
                  <m:sSubPr>
                    <m:ctrlPr>
                      <w:rPr>
                        <w:rFonts w:ascii="Cambria Math" w:hAnsi="Cambria Math"/>
                        <w:i/>
                        <w:color w:val="000000" w:themeColor="text1"/>
                      </w:rPr>
                    </m:ctrlPr>
                  </m:sSubPr>
                  <m:e>
                    <m:r>
                      <w:rPr>
                        <w:rFonts w:ascii="Cambria Math" w:hAnsi="Cambria Math"/>
                      </w:rPr>
                      <m:t>t</m:t>
                    </m:r>
                  </m:e>
                  <m:sub>
                    <m:r>
                      <w:rPr>
                        <w:rFonts w:ascii="Cambria Math" w:hAnsi="Cambria Math"/>
                      </w:rPr>
                      <m:t>i</m:t>
                    </m:r>
                  </m:sub>
                </m:sSub>
              </m:num>
              <m:den>
                <m:sSub>
                  <m:sSubPr>
                    <m:ctrlPr>
                      <w:rPr>
                        <w:rFonts w:ascii="Cambria Math" w:hAnsi="Cambria Math"/>
                        <w:i/>
                        <w:color w:val="000000" w:themeColor="text1"/>
                      </w:rPr>
                    </m:ctrlPr>
                  </m:sSubPr>
                  <m:e>
                    <m:r>
                      <w:rPr>
                        <w:rFonts w:ascii="Cambria Math" w:hAnsi="Cambria Math"/>
                      </w:rPr>
                      <m:t>k</m:t>
                    </m:r>
                  </m:e>
                  <m:sub>
                    <m:r>
                      <w:rPr>
                        <w:rFonts w:ascii="Cambria Math" w:hAnsi="Cambria Math"/>
                      </w:rPr>
                      <m:t>i</m:t>
                    </m:r>
                  </m:sub>
                </m:sSub>
                <m:r>
                  <w:rPr>
                    <w:rFonts w:ascii="Cambria Math" w:hAnsi="Cambria Math"/>
                  </w:rPr>
                  <m:t>(</m:t>
                </m:r>
                <m:sSub>
                  <m:sSubPr>
                    <m:ctrlPr>
                      <w:rPr>
                        <w:rFonts w:ascii="Cambria Math" w:hAnsi="Cambria Math"/>
                        <w:i/>
                        <w:color w:val="000000" w:themeColor="text1"/>
                      </w:rPr>
                    </m:ctrlPr>
                  </m:sSubPr>
                  <m:e>
                    <m:r>
                      <w:rPr>
                        <w:rFonts w:ascii="Cambria Math" w:hAnsi="Cambria Math"/>
                      </w:rPr>
                      <m:t>k</m:t>
                    </m:r>
                  </m:e>
                  <m:sub>
                    <m:r>
                      <w:rPr>
                        <w:rFonts w:ascii="Cambria Math" w:hAnsi="Cambria Math"/>
                      </w:rPr>
                      <m:t>i</m:t>
                    </m:r>
                  </m:sub>
                </m:sSub>
                <m:r>
                  <w:rPr>
                    <w:rFonts w:ascii="Cambria Math" w:hAnsi="Cambria Math"/>
                  </w:rPr>
                  <m:t>-1)</m:t>
                </m:r>
              </m:den>
            </m:f>
          </m:e>
        </m:nary>
      </m:oMath>
      <w:r w:rsidR="00781115">
        <w:rPr>
          <w:rFonts w:eastAsiaTheme="minorEastAsia"/>
          <w:color w:val="000000" w:themeColor="text1"/>
        </w:rPr>
        <w:t xml:space="preserve"> </w:t>
      </w:r>
    </w:p>
    <w:p w14:paraId="5B58CB5C" w14:textId="77777777" w:rsidR="00FD7DA6" w:rsidRDefault="00781115" w:rsidP="00777A99">
      <w:pPr>
        <w:jc w:val="left"/>
        <w:rPr>
          <w:i/>
          <w:iCs/>
          <w:sz w:val="20"/>
          <w:szCs w:val="20"/>
        </w:rPr>
      </w:pPr>
      <w:r w:rsidRPr="00FD7DA6">
        <w:rPr>
          <w:i/>
          <w:iCs/>
          <w:sz w:val="20"/>
          <w:szCs w:val="20"/>
        </w:rPr>
        <w:t>Where ti is the geometric mean of triangles around the node I according to the following formula:</w:t>
      </w:r>
    </w:p>
    <w:p w14:paraId="78F9A50A" w14:textId="2B439932" w:rsidR="00FB3878" w:rsidRPr="00FD7DA6" w:rsidRDefault="00E943D0" w:rsidP="00777A99">
      <w:pPr>
        <w:jc w:val="left"/>
        <w:rPr>
          <w:rFonts w:eastAsiaTheme="minorEastAsia"/>
          <w:i/>
          <w:iCs/>
          <w:color w:val="000000" w:themeColor="text1"/>
          <w:sz w:val="20"/>
          <w:szCs w:val="20"/>
        </w:rPr>
      </w:pPr>
      <w:r w:rsidRPr="00FD7DA6">
        <w:rPr>
          <w:rFonts w:asciiTheme="minorHAnsi" w:eastAsiaTheme="minorEastAsia" w:hAnsiTheme="minorHAnsi"/>
          <w:i/>
          <w:iCs/>
          <w:sz w:val="20"/>
          <w:szCs w:val="20"/>
        </w:rPr>
        <w:t xml:space="preserve"> </w:t>
      </w:r>
      <m:oMath>
        <m:sSub>
          <m:sSubPr>
            <m:ctrlPr>
              <w:rPr>
                <w:rFonts w:ascii="Cambria Math" w:hAnsi="Cambria Math"/>
                <w:i/>
                <w:iCs/>
                <w:color w:val="000000" w:themeColor="text1"/>
                <w:sz w:val="20"/>
                <w:szCs w:val="20"/>
              </w:rPr>
            </m:ctrlPr>
          </m:sSubPr>
          <m:e>
            <m:r>
              <w:rPr>
                <w:rFonts w:ascii="Cambria Math" w:hAnsi="Cambria Math"/>
                <w:sz w:val="20"/>
                <w:szCs w:val="20"/>
              </w:rPr>
              <m:t>t</m:t>
            </m:r>
          </m:e>
          <m:sub>
            <m:r>
              <w:rPr>
                <w:rFonts w:ascii="Cambria Math" w:hAnsi="Cambria Math"/>
                <w:sz w:val="20"/>
                <w:szCs w:val="20"/>
              </w:rPr>
              <m:t>i</m:t>
            </m:r>
          </m:sub>
        </m:sSub>
        <m:r>
          <w:rPr>
            <w:rFonts w:ascii="Cambria Math" w:hAnsi="Cambria Math"/>
            <w:sz w:val="20"/>
            <w:szCs w:val="20"/>
          </w:rPr>
          <m:t>=</m:t>
        </m:r>
        <m:f>
          <m:fPr>
            <m:ctrlPr>
              <w:rPr>
                <w:rFonts w:ascii="Cambria Math" w:hAnsi="Cambria Math"/>
                <w:i/>
                <w:iCs/>
                <w:color w:val="000000" w:themeColor="text1"/>
                <w:sz w:val="20"/>
                <w:szCs w:val="20"/>
              </w:rPr>
            </m:ctrlPr>
          </m:fPr>
          <m:num>
            <m:r>
              <w:rPr>
                <w:rFonts w:ascii="Cambria Math" w:hAnsi="Cambria Math"/>
                <w:sz w:val="20"/>
                <w:szCs w:val="20"/>
              </w:rPr>
              <m:t>1</m:t>
            </m:r>
          </m:num>
          <m:den>
            <m:r>
              <w:rPr>
                <w:rFonts w:ascii="Cambria Math" w:hAnsi="Cambria Math"/>
                <w:sz w:val="20"/>
                <w:szCs w:val="20"/>
              </w:rPr>
              <m:t>2</m:t>
            </m:r>
          </m:den>
        </m:f>
        <m:nary>
          <m:naryPr>
            <m:chr m:val="∑"/>
            <m:limLoc m:val="undOvr"/>
            <m:supHide m:val="1"/>
            <m:ctrlPr>
              <w:rPr>
                <w:rFonts w:ascii="Cambria Math" w:hAnsi="Cambria Math"/>
                <w:i/>
                <w:iCs/>
                <w:color w:val="000000" w:themeColor="text1"/>
                <w:sz w:val="20"/>
                <w:szCs w:val="20"/>
              </w:rPr>
            </m:ctrlPr>
          </m:naryPr>
          <m:sub>
            <m:r>
              <w:rPr>
                <w:rFonts w:ascii="Cambria Math" w:hAnsi="Cambria Math"/>
                <w:sz w:val="20"/>
                <w:szCs w:val="20"/>
              </w:rPr>
              <m:t>j,h∈N</m:t>
            </m:r>
          </m:sub>
          <m:sup/>
          <m:e>
            <m:sSup>
              <m:sSupPr>
                <m:ctrlPr>
                  <w:rPr>
                    <w:rFonts w:ascii="Cambria Math" w:hAnsi="Cambria Math"/>
                    <w:i/>
                    <w:iCs/>
                    <w:color w:val="000000" w:themeColor="text1"/>
                    <w:sz w:val="20"/>
                    <w:szCs w:val="20"/>
                  </w:rPr>
                </m:ctrlPr>
              </m:sSupPr>
              <m:e>
                <m:r>
                  <w:rPr>
                    <w:rFonts w:ascii="Cambria Math" w:hAnsi="Cambria Math"/>
                    <w:sz w:val="20"/>
                    <w:szCs w:val="20"/>
                  </w:rPr>
                  <m:t>(</m:t>
                </m:r>
                <m:sSub>
                  <m:sSubPr>
                    <m:ctrlPr>
                      <w:rPr>
                        <w:rFonts w:ascii="Cambria Math" w:hAnsi="Cambria Math"/>
                        <w:i/>
                        <w:iCs/>
                        <w:color w:val="000000" w:themeColor="text1"/>
                        <w:sz w:val="20"/>
                        <w:szCs w:val="20"/>
                      </w:rPr>
                    </m:ctrlPr>
                  </m:sSubPr>
                  <m:e>
                    <m:r>
                      <w:rPr>
                        <w:rFonts w:ascii="Cambria Math" w:hAnsi="Cambria Math"/>
                        <w:sz w:val="20"/>
                        <w:szCs w:val="20"/>
                      </w:rPr>
                      <m:t>w</m:t>
                    </m:r>
                  </m:e>
                  <m:sub>
                    <m:r>
                      <w:rPr>
                        <w:rFonts w:ascii="Cambria Math" w:hAnsi="Cambria Math"/>
                        <w:sz w:val="20"/>
                        <w:szCs w:val="20"/>
                      </w:rPr>
                      <m:t>ij</m:t>
                    </m:r>
                  </m:sub>
                </m:sSub>
                <m:sSub>
                  <m:sSubPr>
                    <m:ctrlPr>
                      <w:rPr>
                        <w:rFonts w:ascii="Cambria Math" w:hAnsi="Cambria Math"/>
                        <w:i/>
                        <w:iCs/>
                        <w:color w:val="000000" w:themeColor="text1"/>
                        <w:sz w:val="20"/>
                        <w:szCs w:val="20"/>
                      </w:rPr>
                    </m:ctrlPr>
                  </m:sSubPr>
                  <m:e>
                    <m:r>
                      <w:rPr>
                        <w:rFonts w:ascii="Cambria Math" w:hAnsi="Cambria Math"/>
                        <w:sz w:val="20"/>
                        <w:szCs w:val="20"/>
                      </w:rPr>
                      <m:t>w</m:t>
                    </m:r>
                  </m:e>
                  <m:sub>
                    <m:r>
                      <w:rPr>
                        <w:rFonts w:ascii="Cambria Math" w:hAnsi="Cambria Math"/>
                        <w:sz w:val="20"/>
                        <w:szCs w:val="20"/>
                      </w:rPr>
                      <m:t>ih</m:t>
                    </m:r>
                  </m:sub>
                </m:sSub>
                <m:sSub>
                  <m:sSubPr>
                    <m:ctrlPr>
                      <w:rPr>
                        <w:rFonts w:ascii="Cambria Math" w:hAnsi="Cambria Math"/>
                        <w:i/>
                        <w:iCs/>
                        <w:color w:val="000000" w:themeColor="text1"/>
                        <w:sz w:val="20"/>
                        <w:szCs w:val="20"/>
                      </w:rPr>
                    </m:ctrlPr>
                  </m:sSubPr>
                  <m:e>
                    <m:r>
                      <w:rPr>
                        <w:rFonts w:ascii="Cambria Math" w:hAnsi="Cambria Math"/>
                        <w:sz w:val="20"/>
                        <w:szCs w:val="20"/>
                      </w:rPr>
                      <m:t>w</m:t>
                    </m:r>
                  </m:e>
                  <m:sub>
                    <m:r>
                      <w:rPr>
                        <w:rFonts w:ascii="Cambria Math" w:hAnsi="Cambria Math"/>
                        <w:sz w:val="20"/>
                        <w:szCs w:val="20"/>
                      </w:rPr>
                      <m:t>jh</m:t>
                    </m:r>
                  </m:sub>
                </m:sSub>
                <m:r>
                  <w:rPr>
                    <w:rFonts w:ascii="Cambria Math" w:hAnsi="Cambria Math"/>
                    <w:sz w:val="20"/>
                    <w:szCs w:val="20"/>
                  </w:rPr>
                  <m:t>)</m:t>
                </m:r>
              </m:e>
              <m:sup>
                <m:f>
                  <m:fPr>
                    <m:ctrlPr>
                      <w:rPr>
                        <w:rFonts w:ascii="Cambria Math" w:hAnsi="Cambria Math"/>
                        <w:i/>
                        <w:iCs/>
                        <w:color w:val="000000" w:themeColor="text1"/>
                        <w:sz w:val="20"/>
                        <w:szCs w:val="20"/>
                      </w:rPr>
                    </m:ctrlPr>
                  </m:fPr>
                  <m:num>
                    <m:r>
                      <w:rPr>
                        <w:rFonts w:ascii="Cambria Math" w:hAnsi="Cambria Math"/>
                        <w:sz w:val="20"/>
                        <w:szCs w:val="20"/>
                      </w:rPr>
                      <m:t>1</m:t>
                    </m:r>
                  </m:num>
                  <m:den>
                    <m:r>
                      <w:rPr>
                        <w:rFonts w:ascii="Cambria Math" w:hAnsi="Cambria Math"/>
                        <w:sz w:val="20"/>
                        <w:szCs w:val="20"/>
                      </w:rPr>
                      <m:t>3</m:t>
                    </m:r>
                  </m:den>
                </m:f>
              </m:sup>
            </m:sSup>
          </m:e>
        </m:nary>
      </m:oMath>
    </w:p>
    <w:p w14:paraId="2FB10ACC" w14:textId="151E1D3E" w:rsidR="0099689C" w:rsidRDefault="0099689C" w:rsidP="00777A99">
      <w:pPr>
        <w:pStyle w:val="Heading3"/>
      </w:pPr>
      <w:r>
        <w:t>Small-Worldness</w:t>
      </w:r>
    </w:p>
    <w:p w14:paraId="0A5B4921" w14:textId="5EC9333D" w:rsidR="0099689C" w:rsidRDefault="0099689C" w:rsidP="00C025DA">
      <w:pPr>
        <w:spacing w:line="360" w:lineRule="auto"/>
        <w:rPr>
          <w:rFonts w:cs="Times New Roman"/>
        </w:rPr>
      </w:pPr>
      <w:r w:rsidRPr="00C025DA">
        <w:rPr>
          <w:rFonts w:cs="Times New Roman"/>
        </w:rPr>
        <w:t xml:space="preserve">Networks that exhibit increased local clustering combined with short links that connect these local communities with distinct parts of the network are referred to as ‘small world’ networks. Small-world networks manage to maintain good overall connectedness (relatively high Global Efficiency) without most nodes having an increased number of connections. They represent a balance between the high global efficiency of </w:t>
      </w:r>
      <w:r w:rsidR="00FB3878" w:rsidRPr="00C025DA">
        <w:rPr>
          <w:rFonts w:cs="Times New Roman"/>
        </w:rPr>
        <w:t>r</w:t>
      </w:r>
      <w:r w:rsidRPr="00C025DA">
        <w:rPr>
          <w:rFonts w:cs="Times New Roman"/>
        </w:rPr>
        <w:t xml:space="preserve">andom networks and the high local efficiency found in </w:t>
      </w:r>
      <w:r w:rsidR="00FB3878" w:rsidRPr="00C025DA">
        <w:rPr>
          <w:rFonts w:cs="Times New Roman"/>
        </w:rPr>
        <w:t>l</w:t>
      </w:r>
      <w:r w:rsidRPr="00C025DA">
        <w:rPr>
          <w:rFonts w:cs="Times New Roman"/>
        </w:rPr>
        <w:t>attice networks</w:t>
      </w:r>
      <w:r w:rsidR="00942D98" w:rsidRPr="00C025DA">
        <w:rPr>
          <w:rFonts w:cs="Times New Roman"/>
        </w:rPr>
        <w:t xml:space="preserve"> (see Supplementary Figure </w:t>
      </w:r>
      <w:r w:rsidR="007B2F6E" w:rsidRPr="00C025DA">
        <w:rPr>
          <w:rFonts w:cs="Times New Roman"/>
        </w:rPr>
        <w:t>1</w:t>
      </w:r>
      <w:r w:rsidR="00942D98" w:rsidRPr="00C025DA">
        <w:rPr>
          <w:rFonts w:cs="Times New Roman"/>
        </w:rPr>
        <w:t>)</w:t>
      </w:r>
      <w:r w:rsidRPr="00C025DA">
        <w:rPr>
          <w:rFonts w:cs="Times New Roman"/>
        </w:rPr>
        <w:t xml:space="preserve">. </w:t>
      </w:r>
      <w:r w:rsidR="00942D98" w:rsidRPr="00C025DA">
        <w:rPr>
          <w:rFonts w:cs="Times New Roman"/>
        </w:rPr>
        <w:t>T</w:t>
      </w:r>
      <w:r w:rsidRPr="00C025DA">
        <w:rPr>
          <w:rFonts w:cs="Times New Roman"/>
        </w:rPr>
        <w:t xml:space="preserve">he straightforward approach to calculate small-worldness is to obtain the ratio of the standardized clustering coefficient to standardized characteristic path length. The weighted clustering coefficient strongly resembles the weighted local efficiency, while global efficiency is the inverse of the characteristic path length. Standardization can be achieved by dividing each metric by the mean values of those obtained from “random” networks. The random networks can be derived from random rewirings of the initial network. Small-worldness values obtained from the given formula are often much greater than one. </w:t>
      </w:r>
    </w:p>
    <w:p w14:paraId="208E1044" w14:textId="77777777" w:rsidR="004D334C" w:rsidRPr="00C025DA" w:rsidRDefault="004D334C" w:rsidP="00C025DA">
      <w:pPr>
        <w:spacing w:line="360" w:lineRule="auto"/>
        <w:rPr>
          <w:rFonts w:cs="Times New Roman"/>
        </w:rPr>
      </w:pPr>
    </w:p>
    <w:p w14:paraId="0C746A75" w14:textId="77777777" w:rsidR="0099689C" w:rsidRDefault="0099689C" w:rsidP="00777A99">
      <w:pPr>
        <w:jc w:val="center"/>
      </w:pPr>
      <m:oMathPara>
        <m:oMath>
          <m:r>
            <w:rPr>
              <w:rFonts w:ascii="Cambria Math" w:hAnsi="Cambria Math"/>
            </w:rPr>
            <w:lastRenderedPageBreak/>
            <m:t>SW=</m:t>
          </m:r>
          <m:f>
            <m:fPr>
              <m:ctrlPr>
                <w:rPr>
                  <w:rFonts w:ascii="Cambria Math" w:hAnsi="Cambria Math"/>
                  <w:i/>
                  <w:color w:val="000000" w:themeColor="text1"/>
                </w:rPr>
              </m:ctrlPr>
            </m:fPr>
            <m:num>
              <m:r>
                <w:rPr>
                  <w:rFonts w:ascii="Cambria Math" w:hAnsi="Cambria Math"/>
                </w:rPr>
                <m:t>C/</m:t>
              </m:r>
              <m:sSub>
                <m:sSubPr>
                  <m:ctrlPr>
                    <w:rPr>
                      <w:rFonts w:ascii="Cambria Math" w:hAnsi="Cambria Math"/>
                      <w:i/>
                      <w:color w:val="000000" w:themeColor="text1"/>
                    </w:rPr>
                  </m:ctrlPr>
                </m:sSubPr>
                <m:e>
                  <m:r>
                    <w:rPr>
                      <w:rFonts w:ascii="Cambria Math" w:hAnsi="Cambria Math"/>
                      <w:lang w:val="el-GR"/>
                    </w:rPr>
                    <m:t>C</m:t>
                  </m:r>
                </m:e>
                <m:sub>
                  <m:r>
                    <w:rPr>
                      <w:rFonts w:ascii="Cambria Math" w:hAnsi="Cambria Math"/>
                    </w:rPr>
                    <m:t>rand</m:t>
                  </m:r>
                </m:sub>
              </m:sSub>
            </m:num>
            <m:den>
              <m:r>
                <w:rPr>
                  <w:rFonts w:ascii="Cambria Math" w:hAnsi="Cambria Math"/>
                </w:rPr>
                <m:t xml:space="preserve">L/ </m:t>
              </m:r>
              <m:sSub>
                <m:sSubPr>
                  <m:ctrlPr>
                    <w:rPr>
                      <w:rFonts w:ascii="Cambria Math" w:hAnsi="Cambria Math"/>
                      <w:i/>
                      <w:color w:val="000000" w:themeColor="text1"/>
                    </w:rPr>
                  </m:ctrlPr>
                </m:sSubPr>
                <m:e>
                  <m:r>
                    <w:rPr>
                      <w:rFonts w:ascii="Cambria Math" w:hAnsi="Cambria Math"/>
                      <w:lang w:val="el-GR"/>
                    </w:rPr>
                    <m:t>L</m:t>
                  </m:r>
                </m:e>
                <m:sub>
                  <m:r>
                    <w:rPr>
                      <w:rFonts w:ascii="Cambria Math" w:hAnsi="Cambria Math"/>
                    </w:rPr>
                    <m:t>rand</m:t>
                  </m:r>
                </m:sub>
              </m:sSub>
            </m:den>
          </m:f>
        </m:oMath>
      </m:oMathPara>
    </w:p>
    <w:p w14:paraId="153993A0" w14:textId="77777777" w:rsidR="00FD7DA6" w:rsidRDefault="00FD7DA6" w:rsidP="00777A99">
      <w:pPr>
        <w:jc w:val="left"/>
        <w:rPr>
          <w:i/>
          <w:iCs/>
          <w:sz w:val="20"/>
          <w:szCs w:val="20"/>
        </w:rPr>
      </w:pPr>
      <w:r>
        <w:rPr>
          <w:i/>
          <w:iCs/>
          <w:sz w:val="20"/>
          <w:szCs w:val="20"/>
        </w:rPr>
        <w:t>Where:</w:t>
      </w:r>
    </w:p>
    <w:p w14:paraId="4337053C" w14:textId="379CCB8C" w:rsidR="0099689C" w:rsidRPr="00942D98" w:rsidRDefault="0099689C" w:rsidP="00777A99">
      <w:pPr>
        <w:jc w:val="left"/>
        <w:rPr>
          <w:i/>
          <w:iCs/>
          <w:sz w:val="20"/>
          <w:szCs w:val="20"/>
        </w:rPr>
      </w:pPr>
      <w:r w:rsidRPr="00942D98">
        <w:rPr>
          <w:i/>
          <w:iCs/>
          <w:sz w:val="20"/>
          <w:szCs w:val="20"/>
        </w:rPr>
        <w:t>C: Clustering coefficient, C</w:t>
      </w:r>
      <w:r w:rsidRPr="00942D98">
        <w:rPr>
          <w:i/>
          <w:iCs/>
          <w:sz w:val="20"/>
          <w:szCs w:val="20"/>
          <w:vertAlign w:val="subscript"/>
        </w:rPr>
        <w:t>rand</w:t>
      </w:r>
      <w:r w:rsidRPr="00942D98">
        <w:rPr>
          <w:i/>
          <w:iCs/>
          <w:sz w:val="20"/>
          <w:szCs w:val="20"/>
        </w:rPr>
        <w:t>: Clustering coefficient of random network</w:t>
      </w:r>
      <w:r w:rsidRPr="00942D98">
        <w:rPr>
          <w:i/>
          <w:iCs/>
          <w:sz w:val="20"/>
          <w:szCs w:val="20"/>
        </w:rPr>
        <w:br/>
        <w:t>L: Characteristic path length, L</w:t>
      </w:r>
      <w:r w:rsidRPr="00942D98">
        <w:rPr>
          <w:i/>
          <w:iCs/>
          <w:sz w:val="20"/>
          <w:szCs w:val="20"/>
          <w:vertAlign w:val="subscript"/>
        </w:rPr>
        <w:t>rand</w:t>
      </w:r>
      <w:r w:rsidRPr="00942D98">
        <w:rPr>
          <w:i/>
          <w:iCs/>
          <w:sz w:val="20"/>
          <w:szCs w:val="20"/>
        </w:rPr>
        <w:t>: Characteristic path length of random network</w:t>
      </w:r>
    </w:p>
    <w:p w14:paraId="4D1F26B3" w14:textId="1224BDA5" w:rsidR="0099689C" w:rsidRPr="00C025DA" w:rsidRDefault="0099689C" w:rsidP="00C025DA">
      <w:pPr>
        <w:spacing w:line="360" w:lineRule="auto"/>
        <w:rPr>
          <w:rFonts w:cs="Times New Roman"/>
        </w:rPr>
      </w:pPr>
      <w:r w:rsidRPr="00C025DA">
        <w:rPr>
          <w:rFonts w:cs="Times New Roman"/>
        </w:rPr>
        <w:t>Conceptually, small-world networks can be considered as a balance between local and global processing</w:t>
      </w:r>
      <w:r w:rsidR="000D5C4A" w:rsidRPr="00C025DA">
        <w:rPr>
          <w:rFonts w:cs="Times New Roman"/>
        </w:rPr>
        <w:t xml:space="preserve"> </w:t>
      </w:r>
      <w:r w:rsidRPr="00C025DA">
        <w:rPr>
          <w:rFonts w:cs="Times New Roman"/>
        </w:rPr>
        <w:fldChar w:fldCharType="begin" w:fldLock="1"/>
      </w:r>
      <w:r w:rsidR="00EA2DE3">
        <w:rPr>
          <w:rFonts w:cs="Times New Roman"/>
        </w:rPr>
        <w:instrText>ADDIN CSL_CITATION {"citationItems":[{"id":"ITEM-1","itemData":{"DOI":"10.1177/1073858416667720","ISBN":"1073858416667","ISSN":"10894098","PMID":"27655008","abstract":"It is nearly 20 years since the concept of a small-world network was first quantitatively defined, by a combination of high clustering and short path length; and about 10 years since this metric of complex network topology began to be widely applied to analysis of neuroimaging and other neuroscience data as part of the rapid growth of the new field of connectomics. Here, we review briefly the foundational concepts of graph theoretical estimation and generation of small-world networks. We take stock of some of the key developments in the field in the past decade and we consider in some detail the implications of recent studies using high-resolution tract-tracing methods to map the anatomical networks of the macaque and the mouse. In doing so, we draw attention to the important methodological distinction between topological analysis of binary or unweighted graphs, which have provided a popular but simple approach to brain network analysis in the past, and the topology of weighted graphs, which retain more biologically relevant information and are more appropriate to the increasingly sophisticated data on brain connectivity emerging from contemporary tract-tracing and other imaging studies. We conclude by highlighting some possible future trends in the further development of weighted small-worldness as part of a deeper and broader understanding of the topology and the functional value of the strong and weak links between areas of mammalian cortex.","author":[{"dropping-particle":"","family":"Bassett","given":"Danielle S.","non-dropping-particle":"","parse-names":false,"suffix":""},{"dropping-particle":"","family":"Bullmore","given":"Edward T.","non-dropping-particle":"","parse-names":false,"suffix":""}],"container-title":"Neuroscientist","id":"ITEM-1","issue":"5","issued":{"date-parts":[["2017"]]},"page":"499-516","title":"Small-World Brain Networks Revisited","type":"article-journal","volume":"23"},"uris":["http://www.mendeley.com/documents/?uuid=1667b94f-7d30-4e54-9b35-6af7c757fe10"]}],"mendeley":{"formattedCitation":"(Bassett and Bullmore 2017)","plainTextFormattedCitation":"(Bassett and Bullmore 2017)","previouslyFormattedCitation":"[3]"},"properties":{"noteIndex":0},"schema":"https://github.com/citation-style-language/schema/raw/master/csl-citation.json"}</w:instrText>
      </w:r>
      <w:r w:rsidRPr="00C025DA">
        <w:rPr>
          <w:rFonts w:cs="Times New Roman"/>
        </w:rPr>
        <w:fldChar w:fldCharType="separate"/>
      </w:r>
      <w:r w:rsidR="00EA2DE3" w:rsidRPr="00EA2DE3">
        <w:rPr>
          <w:rFonts w:cs="Times New Roman"/>
          <w:noProof/>
        </w:rPr>
        <w:t>(Bassett and Bullmore 2017)</w:t>
      </w:r>
      <w:r w:rsidRPr="00C025DA">
        <w:rPr>
          <w:rFonts w:cs="Times New Roman"/>
        </w:rPr>
        <w:fldChar w:fldCharType="end"/>
      </w:r>
      <w:r w:rsidRPr="00C025DA">
        <w:rPr>
          <w:rFonts w:cs="Times New Roman"/>
        </w:rPr>
        <w:t>. Additionally, more prominent small-world characteristics tend to indicate efficiency-optimality of information capacity</w:t>
      </w:r>
      <w:r w:rsidR="000D5C4A" w:rsidRPr="00C025DA">
        <w:rPr>
          <w:rFonts w:cs="Times New Roman"/>
        </w:rPr>
        <w:t xml:space="preserve"> </w:t>
      </w:r>
      <w:r w:rsidRPr="00C025DA">
        <w:rPr>
          <w:rFonts w:cs="Times New Roman"/>
        </w:rPr>
        <w:fldChar w:fldCharType="begin" w:fldLock="1"/>
      </w:r>
      <w:r w:rsidR="00EA2DE3">
        <w:rPr>
          <w:rFonts w:cs="Times New Roman"/>
        </w:rPr>
        <w:instrText>ADDIN CSL_CITATION {"citationItems":[{"id":"ITEM-1","itemData":{"DOI":"10.1073/pnas.1418031112","ISSN":"10916490","PMID":"25561541","abstract":"At rest, the brain is traversed by spontaneous functional connectivity patterns. Two hypotheses have been proposed for their origins: they may reflect a continuous stream of ongoing cognitive processes as well as random fluctuations shaped by a fixed anatomical connectivity matrix. Here we show that both sources contribute to the shaping of resting-state networks, yet with distinct contributions during consciousness and anesthesia. We measured dynamical functional connectivity with functional MRI during the resting state in awake and anesthetized monkeys. Under anesthesia, the more frequent functional connectivity patterns inherit the structure of anatomical connectivity, exhibit fewer small-world properties, and lack negative correlations. Conversely, wakefulness is characterized by the sequential exploration of a richer repertoire of functional configurations, often dissimilar to anatomical structure, and comprising positive and negative correlations among brain regions. These results reconcile theories of consciousness with observations of long-range correlation in the anesthetized brain and show that a rich functional dynamics might constitute a signature of consciousness, with potential clinical implications for the detection of awareness in anesthesia and brain-lesioned patients.","author":[{"dropping-particle":"","family":"Barttfelda","given":"Pablo","non-dropping-particle":"","parse-names":false,"suffix":""},{"dropping-particle":"","family":"Uhriga","given":"Lynn","non-dropping-particle":"","parse-names":false,"suffix":""},{"dropping-particle":"","family":"Sitta","given":"Jacobo D.","non-dropping-particle":"","parse-names":false,"suffix":""},{"dropping-particle":"","family":"Sigmane","given":"Mariano","non-dropping-particle":"","parse-names":false,"suffix":""},{"dropping-particle":"","family":"Jarrayaa","given":"Béchir","non-dropping-particle":"","parse-names":false,"suffix":""},{"dropping-particle":"","family":"Dehaene","given":"Stanislas","non-dropping-particle":"","parse-names":false,"suffix":""}],"container-title":"Proceedings of the National Academy of Sciences of the United States of America","id":"ITEM-1","issue":"3","issued":{"date-parts":[["2015"]]},"page":"887-892","title":"Signature of consciousness in the dynamics of resting-state brain activity","type":"article-journal","volume":"112"},"uris":["http://www.mendeley.com/documents/?uuid=7cfc929e-0f4a-40e8-b8ac-13e0b64a5f70"]}],"mendeley":{"formattedCitation":"(Barttfelda et al. 2015)","plainTextFormattedCitation":"(Barttfelda et al. 2015)","previouslyFormattedCitation":"[4]"},"properties":{"noteIndex":0},"schema":"https://github.com/citation-style-language/schema/raw/master/csl-citation.json"}</w:instrText>
      </w:r>
      <w:r w:rsidRPr="00C025DA">
        <w:rPr>
          <w:rFonts w:cs="Times New Roman"/>
        </w:rPr>
        <w:fldChar w:fldCharType="separate"/>
      </w:r>
      <w:r w:rsidR="00EA2DE3" w:rsidRPr="00EA2DE3">
        <w:rPr>
          <w:rFonts w:cs="Times New Roman"/>
          <w:noProof/>
        </w:rPr>
        <w:t>(Barttfelda et al. 2015)</w:t>
      </w:r>
      <w:r w:rsidRPr="00C025DA">
        <w:rPr>
          <w:rFonts w:cs="Times New Roman"/>
        </w:rPr>
        <w:fldChar w:fldCharType="end"/>
      </w:r>
      <w:r w:rsidR="000D5C4A" w:rsidRPr="00C025DA">
        <w:rPr>
          <w:rFonts w:cs="Times New Roman"/>
        </w:rPr>
        <w:t>.</w:t>
      </w:r>
    </w:p>
    <w:p w14:paraId="5B33B0B5" w14:textId="77777777" w:rsidR="005164DB" w:rsidRPr="005164DB" w:rsidRDefault="005164DB" w:rsidP="00777A99">
      <w:pPr>
        <w:jc w:val="center"/>
      </w:pPr>
      <w:r>
        <w:rPr>
          <w:noProof/>
        </w:rPr>
        <w:drawing>
          <wp:inline distT="0" distB="0" distL="0" distR="0" wp14:anchorId="7F06FCA6" wp14:editId="757449F0">
            <wp:extent cx="3820197" cy="1130060"/>
            <wp:effectExtent l="0" t="0" r="0" b="0"/>
            <wp:docPr id="6" name="Picture 6" descr="A picture containing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black&#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3263" cy="1139841"/>
                    </a:xfrm>
                    <a:prstGeom prst="rect">
                      <a:avLst/>
                    </a:prstGeom>
                    <a:noFill/>
                  </pic:spPr>
                </pic:pic>
              </a:graphicData>
            </a:graphic>
          </wp:inline>
        </w:drawing>
      </w:r>
    </w:p>
    <w:p w14:paraId="437887B9" w14:textId="7D046AD9" w:rsidR="00FB3878" w:rsidRDefault="005164DB" w:rsidP="00777A99">
      <w:pPr>
        <w:pStyle w:val="Caption"/>
        <w:spacing w:line="480" w:lineRule="auto"/>
        <w:jc w:val="center"/>
      </w:pPr>
      <w:r>
        <w:t xml:space="preserve">Supplementary figure </w:t>
      </w:r>
      <w:r w:rsidR="007B2F6E">
        <w:t>1</w:t>
      </w:r>
      <w:r w:rsidR="005F7275">
        <w:rPr>
          <w:noProof/>
        </w:rPr>
        <w:t xml:space="preserve"> </w:t>
      </w:r>
      <w:r>
        <w:t>– lattice network  -  random network   -   small world network</w:t>
      </w:r>
    </w:p>
    <w:p w14:paraId="4503CCE7" w14:textId="06BA9308" w:rsidR="0099689C" w:rsidRDefault="0099689C" w:rsidP="00777A99">
      <w:pPr>
        <w:pStyle w:val="Heading3"/>
      </w:pPr>
      <w:bookmarkStart w:id="2" w:name="_Ref83907847"/>
      <w:r>
        <w:t>Small-World Propensity</w:t>
      </w:r>
      <w:bookmarkEnd w:id="2"/>
    </w:p>
    <w:p w14:paraId="3DD89C00" w14:textId="72C791D1" w:rsidR="0099689C" w:rsidRPr="00C025DA" w:rsidRDefault="0099689C" w:rsidP="00C025DA">
      <w:pPr>
        <w:spacing w:line="360" w:lineRule="auto"/>
        <w:rPr>
          <w:rFonts w:cs="Times New Roman"/>
        </w:rPr>
      </w:pPr>
      <w:r w:rsidRPr="00C025DA">
        <w:rPr>
          <w:rFonts w:cs="Times New Roman"/>
        </w:rPr>
        <w:t xml:space="preserve">The small-worldness measure defined above has a few inherent drawbacks. Namely, it is dependent on a network’s density </w:t>
      </w:r>
      <w:r w:rsidR="00043AB6" w:rsidRPr="00C025DA">
        <w:rPr>
          <w:rFonts w:cs="Times New Roman"/>
        </w:rPr>
        <w:t>without</w:t>
      </w:r>
      <w:r w:rsidRPr="00C025DA">
        <w:rPr>
          <w:rFonts w:cs="Times New Roman"/>
        </w:rPr>
        <w:t xml:space="preserve"> taking into account the edge weights</w:t>
      </w:r>
      <w:r w:rsidR="00043AB6" w:rsidRPr="00C025DA">
        <w:rPr>
          <w:rFonts w:cs="Times New Roman"/>
        </w:rPr>
        <w:t xml:space="preserve"> which </w:t>
      </w:r>
      <w:r w:rsidRPr="00C025DA">
        <w:rPr>
          <w:rFonts w:cs="Times New Roman"/>
        </w:rPr>
        <w:t>significantly limit</w:t>
      </w:r>
      <w:r w:rsidR="00043AB6" w:rsidRPr="00C025DA">
        <w:rPr>
          <w:rFonts w:cs="Times New Roman"/>
        </w:rPr>
        <w:t>s</w:t>
      </w:r>
      <w:r w:rsidRPr="00C025DA">
        <w:rPr>
          <w:rFonts w:cs="Times New Roman"/>
        </w:rPr>
        <w:t xml:space="preserve"> the measure’s ability to be compared across different network topologies of varying densities and overall wiring weights. This </w:t>
      </w:r>
      <w:r w:rsidR="00043AB6" w:rsidRPr="00C025DA">
        <w:rPr>
          <w:rFonts w:cs="Times New Roman"/>
        </w:rPr>
        <w:t>issue</w:t>
      </w:r>
      <w:r w:rsidRPr="00C025DA">
        <w:rPr>
          <w:rFonts w:cs="Times New Roman"/>
        </w:rPr>
        <w:t xml:space="preserve"> is particularly </w:t>
      </w:r>
      <w:r w:rsidR="00043AB6" w:rsidRPr="00C025DA">
        <w:rPr>
          <w:rFonts w:cs="Times New Roman"/>
        </w:rPr>
        <w:t>problematic</w:t>
      </w:r>
      <w:r w:rsidRPr="00C025DA">
        <w:rPr>
          <w:rFonts w:cs="Times New Roman"/>
        </w:rPr>
        <w:t xml:space="preserve"> </w:t>
      </w:r>
      <w:r w:rsidR="00043AB6" w:rsidRPr="00C025DA">
        <w:rPr>
          <w:rFonts w:cs="Times New Roman"/>
        </w:rPr>
        <w:t>when</w:t>
      </w:r>
      <w:r w:rsidRPr="00C025DA">
        <w:rPr>
          <w:rFonts w:cs="Times New Roman"/>
        </w:rPr>
        <w:t xml:space="preserve"> compari</w:t>
      </w:r>
      <w:r w:rsidR="00043AB6" w:rsidRPr="00C025DA">
        <w:rPr>
          <w:rFonts w:cs="Times New Roman"/>
        </w:rPr>
        <w:t>ng</w:t>
      </w:r>
      <w:r w:rsidRPr="00C025DA">
        <w:rPr>
          <w:rFonts w:cs="Times New Roman"/>
        </w:rPr>
        <w:t xml:space="preserve"> brain networks from different individuals, conditions, repeated scans etc. For these reasons, an improved metric was formulated</w:t>
      </w:r>
      <w:r w:rsidR="00FB3878" w:rsidRPr="00C025DA">
        <w:rPr>
          <w:rFonts w:cs="Times New Roman"/>
        </w:rPr>
        <w:t>,</w:t>
      </w:r>
      <w:r w:rsidRPr="00C025DA">
        <w:rPr>
          <w:rFonts w:cs="Times New Roman"/>
        </w:rPr>
        <w:t xml:space="preserve"> namely, small-world propensity (SWP)</w:t>
      </w:r>
      <w:r w:rsidR="000D5C4A" w:rsidRPr="00C025DA">
        <w:rPr>
          <w:rFonts w:cs="Times New Roman"/>
        </w:rPr>
        <w:t xml:space="preserve"> </w:t>
      </w:r>
      <w:r w:rsidR="00FB3878" w:rsidRPr="00C025DA">
        <w:rPr>
          <w:rFonts w:cs="Times New Roman"/>
        </w:rPr>
        <w:fldChar w:fldCharType="begin" w:fldLock="1"/>
      </w:r>
      <w:r w:rsidR="00EA2DE3">
        <w:rPr>
          <w:rFonts w:cs="Times New Roman"/>
        </w:rPr>
        <w:instrText>ADDIN CSL_CITATION {"citationItems":[{"id":"ITEM-1","itemData":{"DOI":"10.1038/srep22057","ISSN":"20452322","PMID":"26912196","abstract":"Quantitative descriptions of network structure can provide fundamental insights into the function of interconnected complex systems. Small-world structure, diagnosed by high local clustering yet short average path length between any two nodes, promotes information flow in coupled systems, a key function that can differ across conditions or between groups. However, current techniques to quantify small-worldness are density dependent and neglect important features such as the strength of network connections, limiting their application in real-world systems. Here, we address both limitations with a novel metric called the Small-World Propensity (SWP). In its binary instantiation, the SWP provides an unbiased assessment of small-world structure in networks of varying densities. We extend this concept to the case of weighted brain networks by developing (i) a standardized procedure for generating weighted small-world networks, (ii) a weighted extension of the SWP, and (iii) a method for mapping observed brain network data onto the theoretical model. In applying these techniques to compare real-world brain networks, we uncover the surprising fact that the canonical biological small-world network, the C. elegans neuronal network, has strikingly low SWP. These metrics, models, and maps form a coherent toolbox for the assessment and comparison of architectural properties in brain networks.","author":[{"dropping-particle":"","family":"Muldoon","given":"Sarah Feldt","non-dropping-particle":"","parse-names":false,"suffix":""},{"dropping-particle":"","family":"Bridgeford","given":"Eric W.","non-dropping-particle":"","parse-names":false,"suffix":""},{"dropping-particle":"","family":"Bassett","given":"Danielle S.","non-dropping-particle":"","parse-names":false,"suffix":""}],"container-title":"Scientific Reports","id":"ITEM-1","issue":"February","issued":{"date-parts":[["2016"]]},"page":"1-13","publisher":"Nature Publishing Group","title":"Small-world propensity and weighted brain networks","type":"article-journal","volume":"6"},"uris":["http://www.mendeley.com/documents/?uuid=46841a0f-38c6-463e-af58-b28e1290a32a"]}],"mendeley":{"formattedCitation":"(Muldoon, Bridgeford, and Bassett 2016)","plainTextFormattedCitation":"(Muldoon, Bridgeford, and Bassett 2016)","previouslyFormattedCitation":"[5]"},"properties":{"noteIndex":0},"schema":"https://github.com/citation-style-language/schema/raw/master/csl-citation.json"}</w:instrText>
      </w:r>
      <w:r w:rsidR="00FB3878" w:rsidRPr="00C025DA">
        <w:rPr>
          <w:rFonts w:cs="Times New Roman"/>
        </w:rPr>
        <w:fldChar w:fldCharType="separate"/>
      </w:r>
      <w:r w:rsidR="00EA2DE3" w:rsidRPr="00EA2DE3">
        <w:rPr>
          <w:rFonts w:cs="Times New Roman"/>
          <w:noProof/>
        </w:rPr>
        <w:t>(Muldoon, Bridgeford, and Bassett 2016)</w:t>
      </w:r>
      <w:r w:rsidR="00FB3878" w:rsidRPr="00C025DA">
        <w:rPr>
          <w:rFonts w:cs="Times New Roman"/>
        </w:rPr>
        <w:fldChar w:fldCharType="end"/>
      </w:r>
      <w:r w:rsidRPr="00C025DA">
        <w:rPr>
          <w:rFonts w:cs="Times New Roman"/>
        </w:rPr>
        <w:t xml:space="preserve"> </w:t>
      </w:r>
      <w:r w:rsidR="00043AB6" w:rsidRPr="00C025DA">
        <w:rPr>
          <w:rFonts w:cs="Times New Roman"/>
        </w:rPr>
        <w:t xml:space="preserve">which </w:t>
      </w:r>
      <w:r w:rsidRPr="00C025DA">
        <w:rPr>
          <w:rFonts w:cs="Times New Roman"/>
        </w:rPr>
        <w:t>quantif</w:t>
      </w:r>
      <w:r w:rsidR="00043AB6" w:rsidRPr="00C025DA">
        <w:rPr>
          <w:rFonts w:cs="Times New Roman"/>
        </w:rPr>
        <w:t>ies</w:t>
      </w:r>
      <w:r w:rsidRPr="00C025DA">
        <w:rPr>
          <w:rFonts w:cs="Times New Roman"/>
        </w:rPr>
        <w:t xml:space="preserve"> the small-world characteristics of a given network while taking into account </w:t>
      </w:r>
      <w:r w:rsidR="00043AB6" w:rsidRPr="00C025DA">
        <w:rPr>
          <w:rFonts w:cs="Times New Roman"/>
        </w:rPr>
        <w:t>variations in</w:t>
      </w:r>
      <w:r w:rsidRPr="00C025DA">
        <w:rPr>
          <w:rFonts w:cs="Times New Roman"/>
        </w:rPr>
        <w:t xml:space="preserve"> density. The deviation of the given network’s clustering coefficient and characteristic path length is measured against those calculated on lattice and random networks. The random and lattice networks created for these comparisons retain the same degree distributions as the original. Finally, the SWP produces values ranging for 0 to 1</w:t>
      </w:r>
      <w:r w:rsidR="00FB3878" w:rsidRPr="00C025DA">
        <w:rPr>
          <w:rFonts w:cs="Times New Roman"/>
        </w:rPr>
        <w:t xml:space="preserve">, different from small worldness which can be higher than 1. </w:t>
      </w:r>
      <w:r w:rsidR="00043AB6" w:rsidRPr="00C025DA">
        <w:rPr>
          <w:rFonts w:cs="Times New Roman"/>
        </w:rPr>
        <w:t xml:space="preserve">The </w:t>
      </w:r>
      <w:r w:rsidR="00043AB6" w:rsidRPr="00C025DA">
        <w:rPr>
          <w:rFonts w:cs="Times New Roman"/>
        </w:rPr>
        <w:lastRenderedPageBreak/>
        <w:t>sensitivity of SWP has also been corroborated by</w:t>
      </w:r>
      <w:r w:rsidR="000D5C4A" w:rsidRPr="00C025DA">
        <w:rPr>
          <w:rFonts w:cs="Times New Roman"/>
        </w:rPr>
        <w:t xml:space="preserve"> </w:t>
      </w:r>
      <w:r w:rsidR="00043AB6" w:rsidRPr="00C025DA">
        <w:rPr>
          <w:rFonts w:cs="Times New Roman"/>
        </w:rPr>
        <w:fldChar w:fldCharType="begin" w:fldLock="1"/>
      </w:r>
      <w:r w:rsidR="00EA2DE3">
        <w:rPr>
          <w:rFonts w:cs="Times New Roman"/>
        </w:rPr>
        <w:instrText>ADDIN CSL_CITATION {"citationItems":[{"id":"ITEM-1","itemData":{"DOI":"10.1016/j.neuroimage.2020.117653","ISSN":"10959572","PMID":"33338615","abstract":"Investigating changes in brain function induced by mind-altering substances such as LSD is a powerful method for interrogating and understanding how mind interfaces with brain, by connecting novel psychological phenomena with their neurobiological correlates. LSD is known to increase measures of brain complexity, potentially reflecting a neurobiological correlate of the especially rich phenomenological content of psychedelic-induced experiences. Yet although the subjective stream of consciousness is a constant ebb and flow, no studies to date have investigated how LSD influences the dynamics of functional connectivity in the human brain. Focusing on the two fundamental network properties of integration and segregation, here we combined graph theory and dynamic functional connectivity from resting-state functional MRI to examine time-resolved effects of LSD on brain networks properties and subjective experiences. Our main finding is that the effects of LSD on brain function and subjective experience are non-uniform in time: LSD makes globally segregated sub-states of dynamic functional connectivity more complex, and weakens the relationship between functional and anatomical connectivity. On a regional level, LSD reduces functional connectivity of the anterior medial prefrontal cortex, specifically during states of high segregation. Time-specific effects were correlated with different aspects of subjective experiences; in particular, ego dissolution was predicted by increased small-world organisation during a state of high global integration. These results reveal a more nuanced, temporally-specific picture of altered brain connectivity and complexity under psychedelics than has previously been reported.","author":[{"dropping-particle":"","family":"Luppi","given":"Andrea I.","non-dropping-particle":"","parse-names":false,"suffix":""},{"dropping-particle":"","family":"Carhart-Harris","given":"Robin L.","non-dropping-particle":"","parse-names":false,"suffix":""},{"dropping-particle":"","family":"Roseman","given":"Leor","non-dropping-particle":"","parse-names":false,"suffix":""},{"dropping-particle":"","family":"Pappas","given":"Ioannis","non-dropping-particle":"","parse-names":false,"suffix":""},{"dropping-particle":"","family":"Menon","given":"David K.","non-dropping-particle":"","parse-names":false,"suffix":""},{"dropping-particle":"","family":"Stamatakis","given":"Emmanuel A.","non-dropping-particle":"","parse-names":false,"suffix":""}],"container-title":"NeuroImage","id":"ITEM-1","issue":"November 2020","issued":{"date-parts":[["2021"]]},"publisher":"Elsevier Inc.","title":"LSD alters dynamic integration and segregation in the human brain","type":"article-journal","volume":"227"},"uris":["http://www.mendeley.com/documents/?uuid=14e34cb6-2dd1-4458-8538-7a9f3744dea2"]}],"mendeley":{"formattedCitation":"(Luppi, Carhart-Harris, et al. 2021)","plainTextFormattedCitation":"(Luppi, Carhart-Harris, et al. 2021)","previouslyFormattedCitation":"[6]"},"properties":{"noteIndex":0},"schema":"https://github.com/citation-style-language/schema/raw/master/csl-citation.json"}</w:instrText>
      </w:r>
      <w:r w:rsidR="00043AB6" w:rsidRPr="00C025DA">
        <w:rPr>
          <w:rFonts w:cs="Times New Roman"/>
        </w:rPr>
        <w:fldChar w:fldCharType="separate"/>
      </w:r>
      <w:r w:rsidR="00EA2DE3" w:rsidRPr="00EA2DE3">
        <w:rPr>
          <w:rFonts w:cs="Times New Roman"/>
          <w:noProof/>
        </w:rPr>
        <w:t>(Luppi, Carhart-Harris, et al. 2021)</w:t>
      </w:r>
      <w:r w:rsidR="00043AB6" w:rsidRPr="00C025DA">
        <w:rPr>
          <w:rFonts w:cs="Times New Roman"/>
        </w:rPr>
        <w:fldChar w:fldCharType="end"/>
      </w:r>
      <w:r w:rsidR="00043AB6" w:rsidRPr="00C025DA">
        <w:rPr>
          <w:rFonts w:cs="Times New Roman"/>
        </w:rPr>
        <w:t xml:space="preserve">, in a similar approach as the one adopted in the present study. </w:t>
      </w:r>
    </w:p>
    <w:p w14:paraId="3E1E7EF1" w14:textId="77777777" w:rsidR="0033243C" w:rsidRDefault="0033243C" w:rsidP="00777A99"/>
    <w:p w14:paraId="33F64A2B" w14:textId="1CB4EBFC" w:rsidR="0099689C" w:rsidRPr="00FD7DA6" w:rsidRDefault="0099689C" w:rsidP="00777A99">
      <w:pPr>
        <w:jc w:val="center"/>
        <w:rPr>
          <w:rFonts w:eastAsiaTheme="minorEastAsia"/>
          <w:color w:val="000000" w:themeColor="text1"/>
        </w:rPr>
      </w:pPr>
      <m:oMathPara>
        <m:oMath>
          <m:r>
            <w:rPr>
              <w:rFonts w:ascii="Cambria Math" w:hAnsi="Cambria Math"/>
            </w:rPr>
            <m:t xml:space="preserve">SWP=1- </m:t>
          </m:r>
          <m:rad>
            <m:radPr>
              <m:degHide m:val="1"/>
              <m:ctrlPr>
                <w:rPr>
                  <w:rFonts w:ascii="Cambria Math" w:hAnsi="Cambria Math"/>
                  <w:i/>
                  <w:color w:val="000000" w:themeColor="text1"/>
                </w:rPr>
              </m:ctrlPr>
            </m:radPr>
            <m:deg/>
            <m:e>
              <m:f>
                <m:fPr>
                  <m:ctrlPr>
                    <w:rPr>
                      <w:rFonts w:ascii="Cambria Math" w:hAnsi="Cambria Math"/>
                      <w:i/>
                      <w:color w:val="000000" w:themeColor="text1"/>
                    </w:rPr>
                  </m:ctrlPr>
                </m:fPr>
                <m:num>
                  <m:sSubSup>
                    <m:sSubSupPr>
                      <m:ctrlPr>
                        <w:rPr>
                          <w:rFonts w:ascii="Cambria Math" w:hAnsi="Cambria Math"/>
                          <w:i/>
                          <w:color w:val="000000" w:themeColor="text1"/>
                        </w:rPr>
                      </m:ctrlPr>
                    </m:sSubSupPr>
                    <m:e>
                      <m:r>
                        <w:rPr>
                          <w:rFonts w:ascii="Cambria Math" w:hAnsi="Cambria Math"/>
                          <w:lang w:val="el-GR"/>
                        </w:rPr>
                        <m:t>Δ</m:t>
                      </m:r>
                    </m:e>
                    <m:sub>
                      <m:r>
                        <w:rPr>
                          <w:rFonts w:ascii="Cambria Math" w:hAnsi="Cambria Math"/>
                        </w:rPr>
                        <m:t>c</m:t>
                      </m:r>
                    </m:sub>
                    <m:sup>
                      <m:r>
                        <w:rPr>
                          <w:rFonts w:ascii="Cambria Math" w:hAnsi="Cambria Math"/>
                        </w:rPr>
                        <m:t>2</m:t>
                      </m:r>
                    </m:sup>
                  </m:sSubSup>
                  <m:r>
                    <w:rPr>
                      <w:rFonts w:ascii="Cambria Math" w:hAnsi="Cambria Math"/>
                    </w:rPr>
                    <m:t>+</m:t>
                  </m:r>
                  <m:sSubSup>
                    <m:sSubSupPr>
                      <m:ctrlPr>
                        <w:rPr>
                          <w:rFonts w:ascii="Cambria Math" w:hAnsi="Cambria Math"/>
                          <w:i/>
                          <w:color w:val="000000" w:themeColor="text1"/>
                        </w:rPr>
                      </m:ctrlPr>
                    </m:sSubSupPr>
                    <m:e>
                      <m:r>
                        <w:rPr>
                          <w:rFonts w:ascii="Cambria Math" w:hAnsi="Cambria Math"/>
                          <w:lang w:val="el-GR"/>
                        </w:rPr>
                        <m:t>Δ</m:t>
                      </m:r>
                    </m:e>
                    <m:sub>
                      <m:r>
                        <w:rPr>
                          <w:rFonts w:ascii="Cambria Math" w:hAnsi="Cambria Math"/>
                        </w:rPr>
                        <m:t>L</m:t>
                      </m:r>
                    </m:sub>
                    <m:sup>
                      <m:r>
                        <w:rPr>
                          <w:rFonts w:ascii="Cambria Math" w:hAnsi="Cambria Math"/>
                        </w:rPr>
                        <m:t>2</m:t>
                      </m:r>
                    </m:sup>
                  </m:sSubSup>
                </m:num>
                <m:den>
                  <m:r>
                    <w:rPr>
                      <w:rFonts w:ascii="Cambria Math" w:hAnsi="Cambria Math"/>
                    </w:rPr>
                    <m:t>2</m:t>
                  </m:r>
                </m:den>
              </m:f>
            </m:e>
          </m:rad>
        </m:oMath>
      </m:oMathPara>
    </w:p>
    <w:p w14:paraId="686D041B" w14:textId="77777777" w:rsidR="00FD7DA6" w:rsidRDefault="00FD7DA6" w:rsidP="00777A99">
      <w:pPr>
        <w:spacing w:after="0"/>
        <w:jc w:val="left"/>
        <w:rPr>
          <w:i/>
          <w:iCs/>
          <w:sz w:val="20"/>
          <w:szCs w:val="20"/>
        </w:rPr>
      </w:pPr>
      <w:r>
        <w:rPr>
          <w:i/>
          <w:iCs/>
          <w:sz w:val="20"/>
          <w:szCs w:val="20"/>
        </w:rPr>
        <w:t xml:space="preserve">Where: </w:t>
      </w:r>
    </w:p>
    <w:p w14:paraId="67B6C64D" w14:textId="26CED924" w:rsidR="006E4EC7" w:rsidRDefault="0099689C" w:rsidP="00777A99">
      <w:pPr>
        <w:spacing w:after="0"/>
        <w:jc w:val="left"/>
        <w:rPr>
          <w:i/>
          <w:iCs/>
          <w:sz w:val="20"/>
          <w:szCs w:val="20"/>
        </w:rPr>
      </w:pPr>
      <w:r w:rsidRPr="00043AB6">
        <w:rPr>
          <w:i/>
          <w:iCs/>
          <w:sz w:val="20"/>
          <w:szCs w:val="20"/>
        </w:rPr>
        <w:t>C</w:t>
      </w:r>
      <w:r w:rsidRPr="00043AB6">
        <w:rPr>
          <w:i/>
          <w:iCs/>
          <w:sz w:val="20"/>
          <w:szCs w:val="20"/>
          <w:vertAlign w:val="subscript"/>
        </w:rPr>
        <w:t>obs</w:t>
      </w:r>
      <w:r w:rsidRPr="00043AB6">
        <w:rPr>
          <w:i/>
          <w:iCs/>
          <w:sz w:val="20"/>
          <w:szCs w:val="20"/>
        </w:rPr>
        <w:t xml:space="preserve">: Observed clustering coefficient, </w:t>
      </w:r>
    </w:p>
    <w:p w14:paraId="6935A2DE" w14:textId="49B60A52" w:rsidR="006E4EC7" w:rsidRDefault="0099689C" w:rsidP="00777A99">
      <w:pPr>
        <w:spacing w:after="0"/>
        <w:jc w:val="left"/>
        <w:rPr>
          <w:i/>
          <w:iCs/>
          <w:sz w:val="20"/>
          <w:szCs w:val="20"/>
        </w:rPr>
      </w:pPr>
      <w:r w:rsidRPr="00043AB6">
        <w:rPr>
          <w:i/>
          <w:iCs/>
          <w:sz w:val="20"/>
          <w:szCs w:val="20"/>
        </w:rPr>
        <w:t>L</w:t>
      </w:r>
      <w:r w:rsidRPr="00043AB6">
        <w:rPr>
          <w:i/>
          <w:iCs/>
          <w:sz w:val="20"/>
          <w:szCs w:val="20"/>
          <w:vertAlign w:val="subscript"/>
        </w:rPr>
        <w:t>obs</w:t>
      </w:r>
      <w:r w:rsidRPr="00043AB6">
        <w:rPr>
          <w:i/>
          <w:iCs/>
          <w:sz w:val="20"/>
          <w:szCs w:val="20"/>
        </w:rPr>
        <w:t xml:space="preserve">: Observed characteristic path length </w:t>
      </w:r>
      <w:r w:rsidRPr="00043AB6">
        <w:rPr>
          <w:i/>
          <w:iCs/>
          <w:sz w:val="20"/>
          <w:szCs w:val="20"/>
        </w:rPr>
        <w:br/>
        <w:t>C</w:t>
      </w:r>
      <w:r w:rsidRPr="00043AB6">
        <w:rPr>
          <w:i/>
          <w:iCs/>
          <w:sz w:val="20"/>
          <w:szCs w:val="20"/>
          <w:vertAlign w:val="subscript"/>
        </w:rPr>
        <w:t>rand</w:t>
      </w:r>
      <w:r w:rsidRPr="00043AB6">
        <w:rPr>
          <w:i/>
          <w:iCs/>
          <w:sz w:val="20"/>
          <w:szCs w:val="20"/>
        </w:rPr>
        <w:t xml:space="preserve">: Random network clustering coefficient, </w:t>
      </w:r>
    </w:p>
    <w:p w14:paraId="2E99F4CF" w14:textId="209402A1" w:rsidR="006E4EC7" w:rsidRDefault="0099689C" w:rsidP="00777A99">
      <w:pPr>
        <w:spacing w:after="0"/>
        <w:jc w:val="left"/>
        <w:rPr>
          <w:i/>
          <w:iCs/>
          <w:sz w:val="20"/>
          <w:szCs w:val="20"/>
        </w:rPr>
      </w:pPr>
      <w:r w:rsidRPr="00043AB6">
        <w:rPr>
          <w:i/>
          <w:iCs/>
          <w:sz w:val="20"/>
          <w:szCs w:val="20"/>
        </w:rPr>
        <w:t>L</w:t>
      </w:r>
      <w:r w:rsidRPr="00043AB6">
        <w:rPr>
          <w:i/>
          <w:iCs/>
          <w:sz w:val="20"/>
          <w:szCs w:val="20"/>
          <w:vertAlign w:val="subscript"/>
        </w:rPr>
        <w:t>rand</w:t>
      </w:r>
      <w:r w:rsidRPr="00043AB6">
        <w:rPr>
          <w:i/>
          <w:iCs/>
          <w:sz w:val="20"/>
          <w:szCs w:val="20"/>
        </w:rPr>
        <w:t xml:space="preserve">: Random network characteristic path length </w:t>
      </w:r>
    </w:p>
    <w:p w14:paraId="47C9B791" w14:textId="77777777" w:rsidR="006E4EC7" w:rsidRDefault="0099689C" w:rsidP="00777A99">
      <w:pPr>
        <w:spacing w:after="0"/>
        <w:jc w:val="left"/>
        <w:rPr>
          <w:i/>
          <w:iCs/>
          <w:sz w:val="20"/>
          <w:szCs w:val="20"/>
        </w:rPr>
      </w:pPr>
      <w:r w:rsidRPr="00043AB6">
        <w:rPr>
          <w:i/>
          <w:iCs/>
          <w:sz w:val="20"/>
          <w:szCs w:val="20"/>
        </w:rPr>
        <w:t>C</w:t>
      </w:r>
      <w:r w:rsidRPr="00043AB6">
        <w:rPr>
          <w:i/>
          <w:iCs/>
          <w:sz w:val="20"/>
          <w:szCs w:val="20"/>
          <w:vertAlign w:val="subscript"/>
        </w:rPr>
        <w:t>latt</w:t>
      </w:r>
      <w:r w:rsidRPr="00043AB6">
        <w:rPr>
          <w:i/>
          <w:iCs/>
          <w:sz w:val="20"/>
          <w:szCs w:val="20"/>
        </w:rPr>
        <w:t xml:space="preserve">: Lattice network clustering coefficient, </w:t>
      </w:r>
    </w:p>
    <w:p w14:paraId="45788AD7" w14:textId="7E8F2282" w:rsidR="00FD7DA6" w:rsidRDefault="0099689C" w:rsidP="00777A99">
      <w:pPr>
        <w:spacing w:after="0"/>
        <w:jc w:val="left"/>
        <w:rPr>
          <w:i/>
          <w:iCs/>
          <w:sz w:val="20"/>
          <w:szCs w:val="20"/>
        </w:rPr>
      </w:pPr>
      <w:r w:rsidRPr="00043AB6">
        <w:rPr>
          <w:i/>
          <w:iCs/>
          <w:sz w:val="20"/>
          <w:szCs w:val="20"/>
        </w:rPr>
        <w:t>L</w:t>
      </w:r>
      <w:r w:rsidRPr="00043AB6">
        <w:rPr>
          <w:i/>
          <w:iCs/>
          <w:sz w:val="20"/>
          <w:szCs w:val="20"/>
          <w:vertAlign w:val="subscript"/>
        </w:rPr>
        <w:t>latt</w:t>
      </w:r>
      <w:r w:rsidRPr="00043AB6">
        <w:rPr>
          <w:i/>
          <w:iCs/>
          <w:sz w:val="20"/>
          <w:szCs w:val="20"/>
        </w:rPr>
        <w:t xml:space="preserve">: Lattice network characteristic path length </w:t>
      </w:r>
      <w:r w:rsidRPr="00043AB6">
        <w:rPr>
          <w:i/>
          <w:iCs/>
          <w:sz w:val="20"/>
          <w:szCs w:val="20"/>
        </w:rPr>
        <w:br/>
      </w:r>
      <w:r w:rsidRPr="00043AB6">
        <w:rPr>
          <w:i/>
          <w:iCs/>
          <w:sz w:val="20"/>
          <w:szCs w:val="20"/>
          <w:lang w:val="el-GR"/>
        </w:rPr>
        <w:t>Δ</w:t>
      </w:r>
      <w:r w:rsidRPr="00043AB6">
        <w:rPr>
          <w:i/>
          <w:iCs/>
          <w:sz w:val="20"/>
          <w:szCs w:val="20"/>
          <w:vertAlign w:val="subscript"/>
        </w:rPr>
        <w:t>C</w:t>
      </w:r>
      <w:r w:rsidRPr="00043AB6">
        <w:rPr>
          <w:i/>
          <w:iCs/>
          <w:sz w:val="20"/>
          <w:szCs w:val="20"/>
        </w:rPr>
        <w:t xml:space="preserve">, </w:t>
      </w:r>
      <w:r w:rsidRPr="00043AB6">
        <w:rPr>
          <w:i/>
          <w:iCs/>
          <w:sz w:val="20"/>
          <w:szCs w:val="20"/>
          <w:lang w:val="el-GR"/>
        </w:rPr>
        <w:t>Δ</w:t>
      </w:r>
      <w:r w:rsidRPr="00043AB6">
        <w:rPr>
          <w:i/>
          <w:iCs/>
          <w:sz w:val="20"/>
          <w:szCs w:val="20"/>
          <w:vertAlign w:val="subscript"/>
        </w:rPr>
        <w:t>L</w:t>
      </w:r>
      <w:r w:rsidRPr="00043AB6">
        <w:rPr>
          <w:i/>
          <w:iCs/>
          <w:sz w:val="20"/>
          <w:szCs w:val="20"/>
        </w:rPr>
        <w:t xml:space="preserve"> are calculated as the fractional deviation of the network’s actual clustering coefficient, characteristic path length against those of a lattice and random network</w:t>
      </w:r>
      <w:r w:rsidR="00FD7DA6">
        <w:rPr>
          <w:i/>
          <w:iCs/>
          <w:sz w:val="20"/>
          <w:szCs w:val="20"/>
        </w:rPr>
        <w:t xml:space="preserve"> according to the following formulas:</w:t>
      </w:r>
    </w:p>
    <w:p w14:paraId="542BD341" w14:textId="77777777" w:rsidR="00AC5426" w:rsidRDefault="00AC5426" w:rsidP="00777A99">
      <w:pPr>
        <w:spacing w:after="0"/>
        <w:jc w:val="left"/>
        <w:rPr>
          <w:i/>
          <w:iCs/>
          <w:sz w:val="20"/>
          <w:szCs w:val="20"/>
        </w:rPr>
      </w:pPr>
    </w:p>
    <w:p w14:paraId="6CBBA72E" w14:textId="396B0507" w:rsidR="0099689C" w:rsidRPr="00043AB6" w:rsidRDefault="00FD7DA6" w:rsidP="00777A99">
      <w:pPr>
        <w:spacing w:after="0"/>
        <w:jc w:val="left"/>
        <w:rPr>
          <w:i/>
          <w:iCs/>
          <w:sz w:val="20"/>
          <w:szCs w:val="20"/>
        </w:rPr>
      </w:pPr>
      <w:r>
        <w:rPr>
          <w:i/>
          <w:iCs/>
          <w:sz w:val="20"/>
          <w:szCs w:val="20"/>
        </w:rPr>
        <w:t xml:space="preserve"> </w:t>
      </w:r>
      <m:oMath>
        <m:sSub>
          <m:sSubPr>
            <m:ctrlPr>
              <w:rPr>
                <w:rFonts w:ascii="Cambria Math" w:hAnsi="Cambria Math"/>
                <w:i/>
                <w:color w:val="000000" w:themeColor="text1"/>
              </w:rPr>
            </m:ctrlPr>
          </m:sSubPr>
          <m:e>
            <m:r>
              <w:rPr>
                <w:rFonts w:ascii="Cambria Math" w:hAnsi="Cambria Math"/>
                <w:lang w:val="el-GR"/>
              </w:rPr>
              <m:t>Δ</m:t>
            </m:r>
          </m:e>
          <m:sub>
            <m:r>
              <w:rPr>
                <w:rFonts w:ascii="Cambria Math" w:hAnsi="Cambria Math"/>
              </w:rPr>
              <m:t>c</m:t>
            </m:r>
          </m:sub>
        </m:sSub>
        <m:r>
          <w:rPr>
            <w:rFonts w:ascii="Cambria Math" w:hAnsi="Cambria Math"/>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lang w:val="el-GR"/>
                  </w:rPr>
                  <m:t>C</m:t>
                </m:r>
              </m:e>
              <m:sub>
                <m:r>
                  <w:rPr>
                    <w:rFonts w:ascii="Cambria Math" w:hAnsi="Cambria Math"/>
                  </w:rPr>
                  <m:t>latt</m:t>
                </m:r>
              </m:sub>
            </m:sSub>
            <m:r>
              <w:rPr>
                <w:rFonts w:ascii="Cambria Math" w:hAnsi="Cambria Math"/>
              </w:rPr>
              <m:t>-</m:t>
            </m:r>
            <m:sSub>
              <m:sSubPr>
                <m:ctrlPr>
                  <w:rPr>
                    <w:rFonts w:ascii="Cambria Math" w:hAnsi="Cambria Math"/>
                    <w:i/>
                    <w:color w:val="000000" w:themeColor="text1"/>
                  </w:rPr>
                </m:ctrlPr>
              </m:sSubPr>
              <m:e>
                <m:r>
                  <w:rPr>
                    <w:rFonts w:ascii="Cambria Math" w:hAnsi="Cambria Math"/>
                    <w:lang w:val="el-GR"/>
                  </w:rPr>
                  <m:t>C</m:t>
                </m:r>
              </m:e>
              <m:sub>
                <m:r>
                  <w:rPr>
                    <w:rFonts w:ascii="Cambria Math" w:hAnsi="Cambria Math"/>
                  </w:rPr>
                  <m:t>obs</m:t>
                </m:r>
              </m:sub>
            </m:sSub>
          </m:num>
          <m:den>
            <m:sSub>
              <m:sSubPr>
                <m:ctrlPr>
                  <w:rPr>
                    <w:rFonts w:ascii="Cambria Math" w:hAnsi="Cambria Math"/>
                    <w:i/>
                    <w:color w:val="000000" w:themeColor="text1"/>
                  </w:rPr>
                </m:ctrlPr>
              </m:sSubPr>
              <m:e>
                <m:r>
                  <w:rPr>
                    <w:rFonts w:ascii="Cambria Math" w:hAnsi="Cambria Math"/>
                    <w:lang w:val="el-GR"/>
                  </w:rPr>
                  <m:t>C</m:t>
                </m:r>
              </m:e>
              <m:sub>
                <m:r>
                  <w:rPr>
                    <w:rFonts w:ascii="Cambria Math" w:hAnsi="Cambria Math"/>
                  </w:rPr>
                  <m:t>latt</m:t>
                </m:r>
              </m:sub>
            </m:sSub>
            <m:r>
              <w:rPr>
                <w:rFonts w:ascii="Cambria Math" w:hAnsi="Cambria Math"/>
              </w:rPr>
              <m:t>-</m:t>
            </m:r>
            <m:sSub>
              <m:sSubPr>
                <m:ctrlPr>
                  <w:rPr>
                    <w:rFonts w:ascii="Cambria Math" w:hAnsi="Cambria Math"/>
                    <w:i/>
                    <w:color w:val="000000" w:themeColor="text1"/>
                  </w:rPr>
                </m:ctrlPr>
              </m:sSubPr>
              <m:e>
                <m:r>
                  <w:rPr>
                    <w:rFonts w:ascii="Cambria Math" w:hAnsi="Cambria Math"/>
                    <w:lang w:val="el-GR"/>
                  </w:rPr>
                  <m:t>C</m:t>
                </m:r>
              </m:e>
              <m:sub>
                <m:r>
                  <w:rPr>
                    <w:rFonts w:ascii="Cambria Math" w:hAnsi="Cambria Math"/>
                  </w:rPr>
                  <m:t>rand</m:t>
                </m:r>
              </m:sub>
            </m:sSub>
          </m:den>
        </m:f>
      </m:oMath>
      <w:r>
        <w:rPr>
          <w:rFonts w:eastAsiaTheme="minorEastAsia"/>
          <w:i/>
          <w:color w:val="000000" w:themeColor="text1"/>
        </w:rPr>
        <w:t xml:space="preserve">,    </w:t>
      </w:r>
      <m:oMath>
        <m:r>
          <w:rPr>
            <w:rFonts w:ascii="Cambria Math" w:hAnsi="Cambria Math"/>
          </w:rPr>
          <m:t xml:space="preserve">,    </m:t>
        </m:r>
        <m:sSub>
          <m:sSubPr>
            <m:ctrlPr>
              <w:rPr>
                <w:rFonts w:ascii="Cambria Math" w:hAnsi="Cambria Math"/>
                <w:i/>
                <w:color w:val="000000" w:themeColor="text1"/>
              </w:rPr>
            </m:ctrlPr>
          </m:sSubPr>
          <m:e>
            <m:r>
              <w:rPr>
                <w:rFonts w:ascii="Cambria Math" w:hAnsi="Cambria Math"/>
                <w:lang w:val="el-GR"/>
              </w:rPr>
              <m:t>Δ</m:t>
            </m:r>
          </m:e>
          <m:sub>
            <m:r>
              <w:rPr>
                <w:rFonts w:ascii="Cambria Math" w:hAnsi="Cambria Math"/>
              </w:rPr>
              <m:t>L</m:t>
            </m:r>
          </m:sub>
        </m:sSub>
        <m:r>
          <w:rPr>
            <w:rFonts w:ascii="Cambria Math" w:hAnsi="Cambria Math"/>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lang w:val="el-GR"/>
                  </w:rPr>
                  <m:t>L</m:t>
                </m:r>
              </m:e>
              <m:sub>
                <m:r>
                  <w:rPr>
                    <w:rFonts w:ascii="Cambria Math" w:hAnsi="Cambria Math"/>
                  </w:rPr>
                  <m:t>obs</m:t>
                </m:r>
              </m:sub>
            </m:sSub>
            <m:r>
              <w:rPr>
                <w:rFonts w:ascii="Cambria Math" w:hAnsi="Cambria Math"/>
              </w:rPr>
              <m:t>-</m:t>
            </m:r>
            <m:sSub>
              <m:sSubPr>
                <m:ctrlPr>
                  <w:rPr>
                    <w:rFonts w:ascii="Cambria Math" w:hAnsi="Cambria Math"/>
                    <w:i/>
                    <w:color w:val="000000" w:themeColor="text1"/>
                  </w:rPr>
                </m:ctrlPr>
              </m:sSubPr>
              <m:e>
                <m:r>
                  <w:rPr>
                    <w:rFonts w:ascii="Cambria Math" w:hAnsi="Cambria Math"/>
                    <w:lang w:val="el-GR"/>
                  </w:rPr>
                  <m:t>L</m:t>
                </m:r>
              </m:e>
              <m:sub>
                <m:r>
                  <w:rPr>
                    <w:rFonts w:ascii="Cambria Math" w:hAnsi="Cambria Math"/>
                  </w:rPr>
                  <m:t>rand</m:t>
                </m:r>
              </m:sub>
            </m:sSub>
          </m:num>
          <m:den>
            <m:sSub>
              <m:sSubPr>
                <m:ctrlPr>
                  <w:rPr>
                    <w:rFonts w:ascii="Cambria Math" w:hAnsi="Cambria Math"/>
                    <w:i/>
                    <w:color w:val="000000" w:themeColor="text1"/>
                  </w:rPr>
                </m:ctrlPr>
              </m:sSubPr>
              <m:e>
                <m:r>
                  <w:rPr>
                    <w:rFonts w:ascii="Cambria Math" w:hAnsi="Cambria Math"/>
                    <w:lang w:val="el-GR"/>
                  </w:rPr>
                  <m:t>L</m:t>
                </m:r>
              </m:e>
              <m:sub>
                <m:r>
                  <w:rPr>
                    <w:rFonts w:ascii="Cambria Math" w:hAnsi="Cambria Math"/>
                  </w:rPr>
                  <m:t>latt</m:t>
                </m:r>
              </m:sub>
            </m:sSub>
            <m:r>
              <w:rPr>
                <w:rFonts w:ascii="Cambria Math" w:hAnsi="Cambria Math"/>
              </w:rPr>
              <m:t>-</m:t>
            </m:r>
            <m:sSub>
              <m:sSubPr>
                <m:ctrlPr>
                  <w:rPr>
                    <w:rFonts w:ascii="Cambria Math" w:hAnsi="Cambria Math"/>
                    <w:i/>
                    <w:color w:val="000000" w:themeColor="text1"/>
                  </w:rPr>
                </m:ctrlPr>
              </m:sSubPr>
              <m:e>
                <m:r>
                  <w:rPr>
                    <w:rFonts w:ascii="Cambria Math" w:hAnsi="Cambria Math"/>
                    <w:lang w:val="el-GR"/>
                  </w:rPr>
                  <m:t>L</m:t>
                </m:r>
              </m:e>
              <m:sub>
                <m:r>
                  <w:rPr>
                    <w:rFonts w:ascii="Cambria Math" w:hAnsi="Cambria Math"/>
                  </w:rPr>
                  <m:t>rand</m:t>
                </m:r>
              </m:sub>
            </m:sSub>
          </m:den>
        </m:f>
      </m:oMath>
    </w:p>
    <w:p w14:paraId="018EE40D" w14:textId="7AFB7D74" w:rsidR="0099689C" w:rsidRDefault="0099689C" w:rsidP="00777A99"/>
    <w:p w14:paraId="6F0B8E26" w14:textId="3EA73F72" w:rsidR="0099689C" w:rsidRDefault="0099689C" w:rsidP="00777A99">
      <w:pPr>
        <w:pStyle w:val="Heading3"/>
      </w:pPr>
      <w:r>
        <w:t>Degree</w:t>
      </w:r>
    </w:p>
    <w:p w14:paraId="29592A69" w14:textId="519B2838" w:rsidR="0099689C" w:rsidRPr="00C025DA" w:rsidRDefault="0099689C" w:rsidP="00C025DA">
      <w:pPr>
        <w:spacing w:line="360" w:lineRule="auto"/>
        <w:rPr>
          <w:rFonts w:cs="Times New Roman"/>
        </w:rPr>
      </w:pPr>
      <w:r w:rsidRPr="00C025DA">
        <w:rPr>
          <w:rFonts w:cs="Times New Roman"/>
        </w:rPr>
        <w:t>Functional centrality metrics attempt to encapsulate node importance in a single nodal graph measure. A node predominately acting as a network hub, interacting with many other nodes and facilitating integrative network behavior should correspond to increased values of centrality. Node degree (DEG) is the simplest measure of centrality, revealing the number of nodes that a given node interacts with (or overall strength of interactions). Binary node degree (</w:t>
      </w:r>
      <w:r w:rsidRPr="00C025DA">
        <w:rPr>
          <w:rFonts w:cs="Times New Roman"/>
          <w:i/>
          <w:iCs/>
        </w:rPr>
        <w:t>k</w:t>
      </w:r>
      <w:r w:rsidRPr="00C025DA">
        <w:rPr>
          <w:rFonts w:cs="Times New Roman"/>
          <w:i/>
          <w:iCs/>
          <w:vertAlign w:val="superscript"/>
        </w:rPr>
        <w:t>b</w:t>
      </w:r>
      <w:r w:rsidRPr="00C025DA">
        <w:rPr>
          <w:rFonts w:cs="Times New Roman"/>
        </w:rPr>
        <w:t>) simply counts a particular node’s connections, while weighted degree (</w:t>
      </w:r>
      <w:r w:rsidRPr="00C025DA">
        <w:rPr>
          <w:rFonts w:cs="Times New Roman"/>
          <w:i/>
          <w:iCs/>
        </w:rPr>
        <w:t>k</w:t>
      </w:r>
      <w:r w:rsidRPr="00C025DA">
        <w:rPr>
          <w:rFonts w:cs="Times New Roman"/>
          <w:i/>
          <w:iCs/>
          <w:vertAlign w:val="superscript"/>
        </w:rPr>
        <w:t>w</w:t>
      </w:r>
      <w:r w:rsidRPr="00C025DA">
        <w:rPr>
          <w:rFonts w:cs="Times New Roman"/>
        </w:rPr>
        <w:t xml:space="preserve">) sums over that node’s connection weights </w:t>
      </w:r>
      <w:r w:rsidR="00185B2A" w:rsidRPr="00C025DA">
        <w:rPr>
          <w:rFonts w:cs="Times New Roman"/>
        </w:rPr>
        <w:t>with</w:t>
      </w:r>
      <w:r w:rsidRPr="00C025DA">
        <w:rPr>
          <w:rFonts w:cs="Times New Roman"/>
        </w:rPr>
        <w:t xml:space="preserve"> all other nodes. </w:t>
      </w:r>
    </w:p>
    <w:p w14:paraId="53F02DA2" w14:textId="77777777" w:rsidR="0099689C" w:rsidRPr="004D334C" w:rsidRDefault="00EA2DE3" w:rsidP="00777A99">
      <w:pPr>
        <w:rPr>
          <w:rFonts w:eastAsiaTheme="minorEastAsia"/>
          <w:color w:val="000000" w:themeColor="text1"/>
        </w:rPr>
      </w:pPr>
      <m:oMathPara>
        <m:oMath>
          <m:sSubSup>
            <m:sSubSupPr>
              <m:ctrlPr>
                <w:rPr>
                  <w:rFonts w:ascii="Cambria Math" w:hAnsi="Cambria Math"/>
                  <w:i/>
                  <w:color w:val="000000" w:themeColor="text1"/>
                </w:rPr>
              </m:ctrlPr>
            </m:sSubSupPr>
            <m:e>
              <m:r>
                <w:rPr>
                  <w:rFonts w:ascii="Cambria Math" w:hAnsi="Cambria Math"/>
                </w:rPr>
                <m:t>k</m:t>
              </m:r>
            </m:e>
            <m:sub>
              <m:r>
                <w:rPr>
                  <w:rFonts w:ascii="Cambria Math" w:hAnsi="Cambria Math"/>
                </w:rPr>
                <m:t>i</m:t>
              </m:r>
            </m:sub>
            <m:sup>
              <m:r>
                <w:rPr>
                  <w:rFonts w:ascii="Cambria Math" w:hAnsi="Cambria Math"/>
                </w:rPr>
                <m:t>b</m:t>
              </m:r>
            </m:sup>
          </m:sSubSup>
          <m:r>
            <w:rPr>
              <w:rFonts w:ascii="Cambria Math" w:hAnsi="Cambria Math"/>
            </w:rPr>
            <m:t xml:space="preserve">= </m:t>
          </m:r>
          <m:nary>
            <m:naryPr>
              <m:chr m:val="∑"/>
              <m:limLoc m:val="undOvr"/>
              <m:supHide m:val="1"/>
              <m:ctrlPr>
                <w:rPr>
                  <w:rFonts w:ascii="Cambria Math" w:hAnsi="Cambria Math"/>
                  <w:i/>
                  <w:color w:val="000000" w:themeColor="text1"/>
                </w:rPr>
              </m:ctrlPr>
            </m:naryPr>
            <m:sub>
              <m:r>
                <w:rPr>
                  <w:rFonts w:ascii="Cambria Math" w:hAnsi="Cambria Math"/>
                </w:rPr>
                <m:t>j ∈N</m:t>
              </m:r>
            </m:sub>
            <m:sup/>
            <m:e>
              <m:sSub>
                <m:sSubPr>
                  <m:ctrlPr>
                    <w:rPr>
                      <w:rFonts w:ascii="Cambria Math" w:hAnsi="Cambria Math"/>
                      <w:i/>
                      <w:color w:val="000000" w:themeColor="text1"/>
                    </w:rPr>
                  </m:ctrlPr>
                </m:sSubPr>
                <m:e>
                  <m:r>
                    <w:rPr>
                      <w:rFonts w:ascii="Cambria Math" w:hAnsi="Cambria Math"/>
                    </w:rPr>
                    <m:t>a</m:t>
                  </m:r>
                </m:e>
                <m:sub>
                  <m:r>
                    <w:rPr>
                      <w:rFonts w:ascii="Cambria Math" w:hAnsi="Cambria Math"/>
                    </w:rPr>
                    <m:t>ij</m:t>
                  </m:r>
                </m:sub>
              </m:sSub>
              <m:r>
                <w:rPr>
                  <w:rFonts w:ascii="Cambria Math" w:hAnsi="Cambria Math"/>
                </w:rPr>
                <m:t xml:space="preserve">  ,   </m:t>
              </m:r>
            </m:e>
          </m:nary>
          <m:sSubSup>
            <m:sSubSupPr>
              <m:ctrlPr>
                <w:rPr>
                  <w:rFonts w:ascii="Cambria Math" w:hAnsi="Cambria Math"/>
                  <w:i/>
                  <w:color w:val="000000" w:themeColor="text1"/>
                </w:rPr>
              </m:ctrlPr>
            </m:sSubSupPr>
            <m:e>
              <m:r>
                <w:rPr>
                  <w:rFonts w:ascii="Cambria Math" w:hAnsi="Cambria Math"/>
                </w:rPr>
                <m:t>k</m:t>
              </m:r>
            </m:e>
            <m:sub>
              <m:r>
                <w:rPr>
                  <w:rFonts w:ascii="Cambria Math" w:hAnsi="Cambria Math"/>
                </w:rPr>
                <m:t>i</m:t>
              </m:r>
            </m:sub>
            <m:sup>
              <m:r>
                <w:rPr>
                  <w:rFonts w:ascii="Cambria Math" w:hAnsi="Cambria Math"/>
                </w:rPr>
                <m:t>w</m:t>
              </m:r>
            </m:sup>
          </m:sSubSup>
          <m:r>
            <w:rPr>
              <w:rFonts w:ascii="Cambria Math" w:hAnsi="Cambria Math"/>
            </w:rPr>
            <m:t xml:space="preserve">= </m:t>
          </m:r>
          <m:nary>
            <m:naryPr>
              <m:chr m:val="∑"/>
              <m:limLoc m:val="undOvr"/>
              <m:supHide m:val="1"/>
              <m:ctrlPr>
                <w:rPr>
                  <w:rFonts w:ascii="Cambria Math" w:hAnsi="Cambria Math"/>
                  <w:i/>
                  <w:color w:val="000000" w:themeColor="text1"/>
                </w:rPr>
              </m:ctrlPr>
            </m:naryPr>
            <m:sub>
              <m:r>
                <w:rPr>
                  <w:rFonts w:ascii="Cambria Math" w:hAnsi="Cambria Math"/>
                </w:rPr>
                <m:t>j ∈N</m:t>
              </m:r>
            </m:sub>
            <m:sup/>
            <m:e>
              <m:sSub>
                <m:sSubPr>
                  <m:ctrlPr>
                    <w:rPr>
                      <w:rFonts w:ascii="Cambria Math" w:hAnsi="Cambria Math"/>
                      <w:i/>
                      <w:color w:val="000000" w:themeColor="text1"/>
                    </w:rPr>
                  </m:ctrlPr>
                </m:sSubPr>
                <m:e>
                  <m:r>
                    <w:rPr>
                      <w:rFonts w:ascii="Cambria Math" w:hAnsi="Cambria Math"/>
                    </w:rPr>
                    <m:t>w</m:t>
                  </m:r>
                </m:e>
                <m:sub>
                  <m:r>
                    <w:rPr>
                      <w:rFonts w:ascii="Cambria Math" w:hAnsi="Cambria Math"/>
                    </w:rPr>
                    <m:t>ij</m:t>
                  </m:r>
                </m:sub>
              </m:sSub>
            </m:e>
          </m:nary>
        </m:oMath>
      </m:oMathPara>
    </w:p>
    <w:p w14:paraId="3AD06C49" w14:textId="77777777" w:rsidR="004D334C" w:rsidRDefault="004D334C" w:rsidP="00777A99"/>
    <w:p w14:paraId="7377DACF" w14:textId="3139D254" w:rsidR="0099689C" w:rsidRDefault="0099689C" w:rsidP="00777A99">
      <w:pPr>
        <w:pStyle w:val="Heading3"/>
      </w:pPr>
      <w:r>
        <w:t>Betweenness Centrality</w:t>
      </w:r>
    </w:p>
    <w:p w14:paraId="5812336E" w14:textId="5D2CD187" w:rsidR="0099689C" w:rsidRPr="00C025DA" w:rsidRDefault="0099689C" w:rsidP="00C025DA">
      <w:pPr>
        <w:spacing w:line="360" w:lineRule="auto"/>
        <w:rPr>
          <w:rFonts w:cs="Times New Roman"/>
        </w:rPr>
      </w:pPr>
      <w:r w:rsidRPr="00C025DA">
        <w:rPr>
          <w:rFonts w:cs="Times New Roman"/>
        </w:rPr>
        <w:t xml:space="preserve">Betweenness Centrality (BC) attempts to measure node importance </w:t>
      </w:r>
      <w:r w:rsidR="00185B2A" w:rsidRPr="00C025DA">
        <w:rPr>
          <w:rFonts w:cs="Times New Roman"/>
        </w:rPr>
        <w:t>from</w:t>
      </w:r>
      <w:r w:rsidRPr="00C025DA">
        <w:rPr>
          <w:rFonts w:cs="Times New Roman"/>
        </w:rPr>
        <w:t xml:space="preserve"> the number of strong connections a given node is located between and thus helps </w:t>
      </w:r>
      <w:r w:rsidR="00185B2A" w:rsidRPr="00C025DA">
        <w:rPr>
          <w:rFonts w:cs="Times New Roman"/>
        </w:rPr>
        <w:t xml:space="preserve">to </w:t>
      </w:r>
      <w:r w:rsidRPr="00C025DA">
        <w:rPr>
          <w:rFonts w:cs="Times New Roman"/>
        </w:rPr>
        <w:t xml:space="preserve">mediate. It is formally calculated as the number of shortest paths passing through a particular node divided by the total number of shortest paths of the network. </w:t>
      </w:r>
    </w:p>
    <w:p w14:paraId="7353EB47" w14:textId="20AE99F9" w:rsidR="0099689C" w:rsidRPr="008260DF" w:rsidRDefault="00EA2DE3" w:rsidP="00777A99">
      <w:pPr>
        <w:rPr>
          <w:rFonts w:eastAsiaTheme="minorEastAsia"/>
          <w:color w:val="000000" w:themeColor="text1"/>
        </w:rPr>
      </w:pPr>
      <m:oMathPara>
        <m:oMath>
          <m:sSub>
            <m:sSubPr>
              <m:ctrlPr>
                <w:rPr>
                  <w:rFonts w:ascii="Cambria Math" w:hAnsi="Cambria Math"/>
                  <w:i/>
                  <w:color w:val="000000" w:themeColor="text1"/>
                </w:rPr>
              </m:ctrlPr>
            </m:sSubPr>
            <m:e>
              <m:r>
                <w:rPr>
                  <w:rFonts w:ascii="Cambria Math" w:hAnsi="Cambria Math"/>
                </w:rPr>
                <m:t>BC</m:t>
              </m:r>
            </m:e>
            <m:sub>
              <m:r>
                <w:rPr>
                  <w:rFonts w:ascii="Cambria Math" w:hAnsi="Cambria Math"/>
                </w:rPr>
                <m:t>i</m:t>
              </m:r>
            </m:sub>
          </m:sSub>
          <m:r>
            <w:rPr>
              <w:rFonts w:ascii="Cambria Math" w:hAnsi="Cambria Math"/>
            </w:rPr>
            <m:t xml:space="preserve">= </m:t>
          </m:r>
          <m:f>
            <m:fPr>
              <m:ctrlPr>
                <w:rPr>
                  <w:rFonts w:ascii="Cambria Math" w:hAnsi="Cambria Math"/>
                  <w:i/>
                  <w:color w:val="000000" w:themeColor="text1"/>
                </w:rPr>
              </m:ctrlPr>
            </m:fPr>
            <m:num>
              <m:r>
                <w:rPr>
                  <w:rFonts w:ascii="Cambria Math" w:hAnsi="Cambria Math"/>
                </w:rPr>
                <m:t>1</m:t>
              </m:r>
            </m:num>
            <m:den>
              <m:r>
                <w:rPr>
                  <w:rFonts w:ascii="Cambria Math" w:hAnsi="Cambria Math"/>
                </w:rPr>
                <m:t>(n-1)(n-2)</m:t>
              </m:r>
            </m:den>
          </m:f>
          <m:nary>
            <m:naryPr>
              <m:chr m:val="∑"/>
              <m:limLoc m:val="undOvr"/>
              <m:supHide m:val="1"/>
              <m:ctrlPr>
                <w:rPr>
                  <w:rFonts w:ascii="Cambria Math" w:hAnsi="Cambria Math"/>
                  <w:i/>
                  <w:color w:val="000000" w:themeColor="text1"/>
                </w:rPr>
              </m:ctrlPr>
            </m:naryPr>
            <m:sub>
              <m:eqArr>
                <m:eqArrPr>
                  <m:ctrlPr>
                    <w:rPr>
                      <w:rFonts w:ascii="Cambria Math" w:hAnsi="Cambria Math"/>
                      <w:i/>
                      <w:color w:val="000000" w:themeColor="text1"/>
                    </w:rPr>
                  </m:ctrlPr>
                </m:eqArrPr>
                <m:e>
                  <m:r>
                    <w:rPr>
                      <w:rFonts w:ascii="Cambria Math" w:hAnsi="Cambria Math"/>
                    </w:rPr>
                    <m:t>h,j ∈N</m:t>
                  </m:r>
                </m:e>
                <m:e>
                  <m:r>
                    <w:rPr>
                      <w:rFonts w:ascii="Cambria Math" w:hAnsi="Cambria Math"/>
                    </w:rPr>
                    <m:t>h≠j,h≠i,j≠i</m:t>
                  </m:r>
                </m:e>
              </m:eqArr>
            </m:sub>
            <m:sup/>
            <m:e>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rPr>
                        <m:t>sp</m:t>
                      </m:r>
                    </m:e>
                    <m:sub>
                      <m:r>
                        <w:rPr>
                          <w:rFonts w:ascii="Cambria Math" w:hAnsi="Cambria Math"/>
                        </w:rPr>
                        <m:t>hj</m:t>
                      </m:r>
                    </m:sub>
                  </m:sSub>
                  <m:r>
                    <w:rPr>
                      <w:rFonts w:ascii="Cambria Math" w:hAnsi="Cambria Math"/>
                    </w:rPr>
                    <m:t>(i)</m:t>
                  </m:r>
                </m:num>
                <m:den>
                  <m:sSub>
                    <m:sSubPr>
                      <m:ctrlPr>
                        <w:rPr>
                          <w:rFonts w:ascii="Cambria Math" w:hAnsi="Cambria Math"/>
                          <w:i/>
                          <w:color w:val="000000" w:themeColor="text1"/>
                        </w:rPr>
                      </m:ctrlPr>
                    </m:sSubPr>
                    <m:e>
                      <m:r>
                        <w:rPr>
                          <w:rFonts w:ascii="Cambria Math" w:hAnsi="Cambria Math"/>
                        </w:rPr>
                        <m:t>sp</m:t>
                      </m:r>
                    </m:e>
                    <m:sub>
                      <m:r>
                        <w:rPr>
                          <w:rFonts w:ascii="Cambria Math" w:hAnsi="Cambria Math"/>
                        </w:rPr>
                        <m:t>hj</m:t>
                      </m:r>
                    </m:sub>
                  </m:sSub>
                </m:den>
              </m:f>
            </m:e>
          </m:nary>
        </m:oMath>
      </m:oMathPara>
    </w:p>
    <w:p w14:paraId="4F448F51" w14:textId="77777777" w:rsidR="00FD7DA6" w:rsidRDefault="00FD7DA6" w:rsidP="00777A99">
      <w:pPr>
        <w:spacing w:after="0"/>
        <w:jc w:val="left"/>
        <w:rPr>
          <w:i/>
          <w:iCs/>
          <w:sz w:val="20"/>
          <w:szCs w:val="20"/>
        </w:rPr>
      </w:pPr>
      <w:r>
        <w:rPr>
          <w:i/>
          <w:iCs/>
          <w:sz w:val="20"/>
          <w:szCs w:val="20"/>
        </w:rPr>
        <w:t xml:space="preserve">Where: </w:t>
      </w:r>
    </w:p>
    <w:p w14:paraId="4B2A04B6" w14:textId="5566FDD5" w:rsidR="0099689C" w:rsidRPr="00C4072F" w:rsidRDefault="0099689C" w:rsidP="00777A99">
      <w:pPr>
        <w:spacing w:after="0"/>
        <w:jc w:val="left"/>
        <w:rPr>
          <w:i/>
          <w:iCs/>
          <w:sz w:val="20"/>
          <w:szCs w:val="20"/>
        </w:rPr>
      </w:pPr>
      <w:r w:rsidRPr="002F2498">
        <w:rPr>
          <w:i/>
          <w:iCs/>
          <w:sz w:val="20"/>
          <w:szCs w:val="20"/>
        </w:rPr>
        <w:t>sp: The number of shortest paths</w:t>
      </w:r>
      <w:r w:rsidRPr="002F2498">
        <w:rPr>
          <w:i/>
          <w:iCs/>
          <w:sz w:val="20"/>
          <w:szCs w:val="20"/>
        </w:rPr>
        <w:br/>
        <w:t>sp</w:t>
      </w:r>
      <w:r w:rsidRPr="002F2498">
        <w:rPr>
          <w:i/>
          <w:iCs/>
          <w:sz w:val="20"/>
          <w:szCs w:val="20"/>
          <w:vertAlign w:val="subscript"/>
        </w:rPr>
        <w:t>hj</w:t>
      </w:r>
      <w:r w:rsidRPr="002F2498">
        <w:rPr>
          <w:i/>
          <w:iCs/>
          <w:sz w:val="20"/>
          <w:szCs w:val="20"/>
        </w:rPr>
        <w:t>: The number of shortest paths between nodes h and j</w:t>
      </w:r>
      <w:r w:rsidRPr="002F2498">
        <w:rPr>
          <w:i/>
          <w:iCs/>
          <w:sz w:val="20"/>
          <w:szCs w:val="20"/>
        </w:rPr>
        <w:br/>
        <w:t>sp</w:t>
      </w:r>
      <w:r w:rsidRPr="002F2498">
        <w:rPr>
          <w:i/>
          <w:iCs/>
          <w:sz w:val="20"/>
          <w:szCs w:val="20"/>
          <w:vertAlign w:val="subscript"/>
        </w:rPr>
        <w:t>hj</w:t>
      </w:r>
      <w:r w:rsidRPr="002F2498">
        <w:rPr>
          <w:i/>
          <w:iCs/>
          <w:sz w:val="20"/>
          <w:szCs w:val="20"/>
        </w:rPr>
        <w:t xml:space="preserve">(i): Shortest paths between nodes h and j that cross over i. </w:t>
      </w:r>
    </w:p>
    <w:p w14:paraId="72EB28B0" w14:textId="1246B929" w:rsidR="0099689C" w:rsidRDefault="0099689C" w:rsidP="00777A99">
      <w:pPr>
        <w:pStyle w:val="Heading3"/>
      </w:pPr>
      <w:r>
        <w:t>Eigenvector Centrality</w:t>
      </w:r>
    </w:p>
    <w:p w14:paraId="4284EF55" w14:textId="77777777" w:rsidR="0099689C" w:rsidRPr="00C025DA" w:rsidRDefault="0099689C" w:rsidP="00C025DA">
      <w:pPr>
        <w:spacing w:line="360" w:lineRule="auto"/>
        <w:rPr>
          <w:rFonts w:cs="Times New Roman"/>
        </w:rPr>
      </w:pPr>
      <w:r w:rsidRPr="00C025DA">
        <w:rPr>
          <w:rFonts w:cs="Times New Roman"/>
        </w:rPr>
        <w:t xml:space="preserve">Eigenvector Centrality (EC) is a self-referential measure of centrality i.e., a node with high values of EC must be connected to other nodes with increased EC. This nodal centrality measure’s values are computed as eigenvector elements, corresponding to the highest eigenvalue of the adjacency matrix. Quite differently from node degree, EC (and BC), do not rely on the mere number of connections a node possesses but the ‘importance’ of its connections which in turn lead to higher values of centrality and importance. BC accomplishes this by incorporating the number of important connections in the calculated measure, while EC attempts to quantify node importance, i.e., relationships with more ‘important’ nodes increases that particular node’s importance/centrality. </w:t>
      </w:r>
    </w:p>
    <w:p w14:paraId="28B261AA" w14:textId="3E3A08CD" w:rsidR="0099689C" w:rsidRDefault="0099689C" w:rsidP="00777A99">
      <w:pPr>
        <w:pStyle w:val="Heading3"/>
      </w:pPr>
      <w:r>
        <w:t>Functional Modules – Modularity</w:t>
      </w:r>
    </w:p>
    <w:p w14:paraId="5E596F54" w14:textId="3EB03AC4" w:rsidR="0099689C" w:rsidRPr="00C025DA" w:rsidRDefault="0099689C" w:rsidP="00C025DA">
      <w:pPr>
        <w:tabs>
          <w:tab w:val="left" w:pos="1507"/>
        </w:tabs>
        <w:spacing w:line="360" w:lineRule="auto"/>
        <w:rPr>
          <w:rFonts w:cs="Times New Roman"/>
        </w:rPr>
      </w:pPr>
      <w:r w:rsidRPr="00C025DA">
        <w:rPr>
          <w:rFonts w:cs="Times New Roman"/>
        </w:rPr>
        <w:t xml:space="preserve">Often in networks, groups of strongly connected regions </w:t>
      </w:r>
      <w:r w:rsidR="008260DF" w:rsidRPr="00C025DA">
        <w:rPr>
          <w:rFonts w:cs="Times New Roman"/>
        </w:rPr>
        <w:t>may</w:t>
      </w:r>
      <w:r w:rsidRPr="00C025DA">
        <w:rPr>
          <w:rFonts w:cs="Times New Roman"/>
        </w:rPr>
        <w:t xml:space="preserve"> emerge, exhibiting only weak associations with other nodes or groups. These strongly interconnected subcomponents of the original network are usually referred to as ‘modules’ or ‘communities’</w:t>
      </w:r>
      <w:r w:rsidR="00582C11" w:rsidRPr="00C025DA">
        <w:rPr>
          <w:rFonts w:cs="Times New Roman"/>
        </w:rPr>
        <w:t xml:space="preserve"> </w:t>
      </w:r>
      <w:r w:rsidRPr="00C025DA">
        <w:rPr>
          <w:rFonts w:cs="Times New Roman"/>
        </w:rPr>
        <w:fldChar w:fldCharType="begin" w:fldLock="1"/>
      </w:r>
      <w:r w:rsidR="00EA2DE3">
        <w:rPr>
          <w:rFonts w:cs="Times New Roman"/>
        </w:rPr>
        <w:instrText>ADDIN CSL_CITATION {"citationItems":[{"id":"ITEM-1","itemData":{"DOI":"10.1103/PhysRevE.69.066133","ISSN":"1063651X","abstract":"Many networks display community structure—groups of vertices within which connections are dense but between which they are sparser—and sensitive computer algorithms have in recent years been developed for detecting this structure. These algorithms, however, are computationally demanding, which limits their application to small networks. Here we describe an algorithm which gives excellent results when tested on both computer-generated and real-world networks and is much faster, typically thousands of times faster, than previous algorithms. We give several example applications, including one to a collaboration network of more than 50?000 physicists. © 2004 The American Physical Society.","author":[{"dropping-particle":"","family":"Newman","given":"M. E.J.","non-dropping-particle":"","parse-names":false,"suffix":""}],"container-title":"Physical Review E - Statistical Physics, Plasmas, Fluids, and Related Interdisciplinary Topics","id":"ITEM-1","issue":"6","issued":{"date-parts":[["2004"]]},"page":"5","title":"Fast algorithm for detecting community structure in networks","type":"article-journal","volume":"69"},"uris":["http://www.mendeley.com/documents/?uuid=9036507e-4f25-43ef-b13c-0129c3d769c9"]}],"mendeley":{"formattedCitation":"(Newman 2004)","plainTextFormattedCitation":"(Newman 2004)","previouslyFormattedCitation":"[7]"},"properties":{"noteIndex":0},"schema":"https://github.com/citation-style-language/schema/raw/master/csl-citation.json"}</w:instrText>
      </w:r>
      <w:r w:rsidRPr="00C025DA">
        <w:rPr>
          <w:rFonts w:cs="Times New Roman"/>
        </w:rPr>
        <w:fldChar w:fldCharType="separate"/>
      </w:r>
      <w:r w:rsidR="00EA2DE3" w:rsidRPr="00EA2DE3">
        <w:rPr>
          <w:rFonts w:cs="Times New Roman"/>
          <w:noProof/>
        </w:rPr>
        <w:t>(Newman 2004)</w:t>
      </w:r>
      <w:r w:rsidRPr="00C025DA">
        <w:rPr>
          <w:rFonts w:cs="Times New Roman"/>
        </w:rPr>
        <w:fldChar w:fldCharType="end"/>
      </w:r>
      <w:r w:rsidR="00582C11" w:rsidRPr="00C025DA">
        <w:rPr>
          <w:rFonts w:cs="Times New Roman"/>
        </w:rPr>
        <w:t>.</w:t>
      </w:r>
      <w:r w:rsidRPr="00C025DA">
        <w:rPr>
          <w:rFonts w:cs="Times New Roman"/>
        </w:rPr>
        <w:t xml:space="preserve"> </w:t>
      </w:r>
      <w:r w:rsidR="00BC2801" w:rsidRPr="00C025DA">
        <w:rPr>
          <w:rFonts w:cs="Times New Roman"/>
        </w:rPr>
        <w:t>T</w:t>
      </w:r>
      <w:r w:rsidRPr="00C025DA">
        <w:rPr>
          <w:rFonts w:cs="Times New Roman"/>
        </w:rPr>
        <w:t>he “weak connections” of modules towards other modules can also be negative correlations</w:t>
      </w:r>
      <w:r w:rsidR="008260DF" w:rsidRPr="00C025DA">
        <w:rPr>
          <w:rFonts w:cs="Times New Roman"/>
        </w:rPr>
        <w:t>, as</w:t>
      </w:r>
      <w:r w:rsidRPr="00C025DA">
        <w:rPr>
          <w:rFonts w:cs="Times New Roman"/>
        </w:rPr>
        <w:t xml:space="preserve"> in </w:t>
      </w:r>
      <w:r w:rsidRPr="00C025DA">
        <w:rPr>
          <w:rFonts w:cs="Times New Roman"/>
        </w:rPr>
        <w:lastRenderedPageBreak/>
        <w:t xml:space="preserve">the case of the </w:t>
      </w:r>
      <w:r w:rsidR="005F7275" w:rsidRPr="00C025DA">
        <w:rPr>
          <w:rFonts w:cs="Times New Roman"/>
          <w:lang w:val="en-US"/>
        </w:rPr>
        <w:t>Prsn</w:t>
      </w:r>
      <w:r w:rsidRPr="00C025DA">
        <w:rPr>
          <w:rFonts w:cs="Times New Roman"/>
        </w:rPr>
        <w:t xml:space="preserve"> that provides signed values. The detection of such clusters in complex brain networks provides important insight of the in</w:t>
      </w:r>
      <w:r w:rsidR="00BC2801" w:rsidRPr="00C025DA">
        <w:rPr>
          <w:rFonts w:cs="Times New Roman"/>
        </w:rPr>
        <w:t>ternal structure</w:t>
      </w:r>
      <w:r w:rsidRPr="00C025DA">
        <w:rPr>
          <w:rFonts w:cs="Times New Roman"/>
        </w:rPr>
        <w:t xml:space="preserve"> of the network. Additionally, the quantification of decomposability or ‘modularity’ can also be a significant condition or disease-related biomarker indicating a generalized dysfunction in connectedness. Modularity can be included in the category of functional segregation measures, as exhibiting a prevalence of isolated communities is </w:t>
      </w:r>
      <w:r w:rsidR="008260DF" w:rsidRPr="00C025DA">
        <w:rPr>
          <w:rFonts w:cs="Times New Roman"/>
        </w:rPr>
        <w:t xml:space="preserve">considered </w:t>
      </w:r>
      <w:r w:rsidRPr="00C025DA">
        <w:rPr>
          <w:rFonts w:cs="Times New Roman"/>
        </w:rPr>
        <w:t xml:space="preserve">predominately segregated behavior. </w:t>
      </w:r>
    </w:p>
    <w:p w14:paraId="2810C8AD" w14:textId="77777777" w:rsidR="0099689C" w:rsidRDefault="0099689C" w:rsidP="00777A99">
      <w:pPr>
        <w:rPr>
          <w:iCs/>
          <w:szCs w:val="24"/>
        </w:rPr>
      </w:pPr>
      <m:oMathPara>
        <m:oMath>
          <m:r>
            <w:rPr>
              <w:rFonts w:ascii="Cambria Math" w:hAnsi="Cambria Math" w:cs="Times New Roman"/>
              <w:szCs w:val="24"/>
            </w:rPr>
            <m:t xml:space="preserve">Q= </m:t>
          </m:r>
          <m:f>
            <m:fPr>
              <m:ctrlPr>
                <w:rPr>
                  <w:rFonts w:ascii="Cambria Math" w:hAnsi="Cambria Math" w:cs="Times New Roman"/>
                  <w:i/>
                  <w:iCs/>
                  <w:color w:val="000000" w:themeColor="text1"/>
                  <w:szCs w:val="24"/>
                </w:rPr>
              </m:ctrlPr>
            </m:fPr>
            <m:num>
              <m:r>
                <w:rPr>
                  <w:rFonts w:ascii="Cambria Math" w:hAnsi="Cambria Math" w:cs="Times New Roman"/>
                  <w:szCs w:val="24"/>
                </w:rPr>
                <m:t>1</m:t>
              </m:r>
            </m:num>
            <m:den>
              <m:r>
                <w:rPr>
                  <w:rFonts w:ascii="Cambria Math" w:hAnsi="Cambria Math" w:cs="Times New Roman"/>
                  <w:szCs w:val="24"/>
                </w:rPr>
                <m:t>v</m:t>
              </m:r>
            </m:den>
          </m:f>
          <m:r>
            <w:rPr>
              <w:rFonts w:ascii="Cambria Math" w:hAnsi="Cambria Math" w:cs="Times New Roman"/>
              <w:szCs w:val="24"/>
            </w:rPr>
            <m:t xml:space="preserve"> </m:t>
          </m:r>
          <m:nary>
            <m:naryPr>
              <m:chr m:val="∑"/>
              <m:limLoc m:val="undOvr"/>
              <m:supHide m:val="1"/>
              <m:ctrlPr>
                <w:rPr>
                  <w:rFonts w:ascii="Cambria Math" w:hAnsi="Cambria Math" w:cs="Times New Roman"/>
                  <w:i/>
                  <w:iCs/>
                  <w:color w:val="000000" w:themeColor="text1"/>
                  <w:szCs w:val="24"/>
                </w:rPr>
              </m:ctrlPr>
            </m:naryPr>
            <m:sub>
              <m:r>
                <w:rPr>
                  <w:rFonts w:ascii="Cambria Math" w:hAnsi="Cambria Math" w:cs="Times New Roman"/>
                  <w:szCs w:val="24"/>
                </w:rPr>
                <m:t>ij∈N</m:t>
              </m:r>
            </m:sub>
            <m:sup/>
            <m:e>
              <m:r>
                <w:rPr>
                  <w:rFonts w:ascii="Cambria Math" w:hAnsi="Cambria Math" w:cs="Times New Roman"/>
                  <w:szCs w:val="24"/>
                </w:rPr>
                <m:t>(</m:t>
              </m:r>
              <m:sSub>
                <m:sSubPr>
                  <m:ctrlPr>
                    <w:rPr>
                      <w:rFonts w:ascii="Cambria Math" w:hAnsi="Cambria Math" w:cs="Times New Roman"/>
                      <w:i/>
                      <w:iCs/>
                      <w:color w:val="000000" w:themeColor="text1"/>
                      <w:szCs w:val="24"/>
                    </w:rPr>
                  </m:ctrlPr>
                </m:sSubPr>
                <m:e>
                  <m:r>
                    <w:rPr>
                      <w:rFonts w:ascii="Cambria Math" w:hAnsi="Cambria Math" w:cs="Times New Roman"/>
                      <w:szCs w:val="24"/>
                    </w:rPr>
                    <m:t>w</m:t>
                  </m:r>
                </m:e>
                <m:sub>
                  <m:r>
                    <w:rPr>
                      <w:rFonts w:ascii="Cambria Math" w:hAnsi="Cambria Math" w:cs="Times New Roman"/>
                      <w:szCs w:val="24"/>
                    </w:rPr>
                    <m:t>ij</m:t>
                  </m:r>
                </m:sub>
              </m:sSub>
              <m:r>
                <w:rPr>
                  <w:rFonts w:ascii="Cambria Math" w:hAnsi="Cambria Math" w:cs="Times New Roman"/>
                  <w:szCs w:val="24"/>
                </w:rPr>
                <m:t>-</m:t>
              </m:r>
              <m:f>
                <m:fPr>
                  <m:ctrlPr>
                    <w:rPr>
                      <w:rFonts w:ascii="Cambria Math" w:hAnsi="Cambria Math"/>
                      <w:i/>
                      <w:iCs/>
                      <w:color w:val="000000" w:themeColor="text1"/>
                      <w:szCs w:val="24"/>
                    </w:rPr>
                  </m:ctrlPr>
                </m:fPr>
                <m:num>
                  <m:sSub>
                    <m:sSubPr>
                      <m:ctrlPr>
                        <w:rPr>
                          <w:rFonts w:ascii="Cambria Math" w:hAnsi="Cambria Math"/>
                          <w:i/>
                          <w:iCs/>
                          <w:color w:val="000000" w:themeColor="text1"/>
                          <w:szCs w:val="24"/>
                        </w:rPr>
                      </m:ctrlPr>
                    </m:sSubPr>
                    <m:e>
                      <m:r>
                        <w:rPr>
                          <w:rFonts w:ascii="Cambria Math" w:hAnsi="Cambria Math"/>
                          <w:szCs w:val="24"/>
                        </w:rPr>
                        <m:t>k</m:t>
                      </m:r>
                    </m:e>
                    <m:sub>
                      <m:r>
                        <w:rPr>
                          <w:rFonts w:ascii="Cambria Math" w:hAnsi="Cambria Math"/>
                          <w:szCs w:val="24"/>
                        </w:rPr>
                        <m:t>i</m:t>
                      </m:r>
                    </m:sub>
                  </m:sSub>
                  <m:sSub>
                    <m:sSubPr>
                      <m:ctrlPr>
                        <w:rPr>
                          <w:rFonts w:ascii="Cambria Math" w:hAnsi="Cambria Math"/>
                          <w:i/>
                          <w:iCs/>
                          <w:color w:val="000000" w:themeColor="text1"/>
                          <w:szCs w:val="24"/>
                        </w:rPr>
                      </m:ctrlPr>
                    </m:sSubPr>
                    <m:e>
                      <m:r>
                        <w:rPr>
                          <w:rFonts w:ascii="Cambria Math" w:hAnsi="Cambria Math"/>
                          <w:szCs w:val="24"/>
                        </w:rPr>
                        <m:t>k</m:t>
                      </m:r>
                    </m:e>
                    <m:sub>
                      <m:r>
                        <w:rPr>
                          <w:rFonts w:ascii="Cambria Math" w:hAnsi="Cambria Math"/>
                          <w:szCs w:val="24"/>
                        </w:rPr>
                        <m:t>j</m:t>
                      </m:r>
                    </m:sub>
                  </m:sSub>
                </m:num>
                <m:den>
                  <m:r>
                    <w:rPr>
                      <w:rFonts w:ascii="Cambria Math" w:hAnsi="Cambria Math" w:cs="Times New Roman"/>
                      <w:szCs w:val="24"/>
                    </w:rPr>
                    <m:t>v</m:t>
                  </m:r>
                </m:den>
              </m:f>
              <m:r>
                <w:rPr>
                  <w:rFonts w:ascii="Cambria Math" w:hAnsi="Cambria Math" w:cs="Times New Roman"/>
                  <w:szCs w:val="24"/>
                </w:rPr>
                <m:t>)</m:t>
              </m:r>
              <m:sSub>
                <m:sSubPr>
                  <m:ctrlPr>
                    <w:rPr>
                      <w:rFonts w:ascii="Cambria Math" w:hAnsi="Cambria Math" w:cs="Times New Roman"/>
                      <w:i/>
                      <w:iCs/>
                      <w:color w:val="000000" w:themeColor="text1"/>
                      <w:szCs w:val="24"/>
                    </w:rPr>
                  </m:ctrlPr>
                </m:sSubPr>
                <m:e>
                  <m:r>
                    <w:rPr>
                      <w:rFonts w:ascii="Cambria Math" w:hAnsi="Cambria Math" w:cs="Times New Roman"/>
                      <w:szCs w:val="24"/>
                    </w:rPr>
                    <m:t xml:space="preserve"> δ</m:t>
                  </m:r>
                </m:e>
                <m:sub>
                  <m:sSub>
                    <m:sSubPr>
                      <m:ctrlPr>
                        <w:rPr>
                          <w:rFonts w:ascii="Cambria Math" w:hAnsi="Cambria Math" w:cs="Times New Roman"/>
                          <w:i/>
                          <w:iCs/>
                          <w:color w:val="000000" w:themeColor="text1"/>
                          <w:szCs w:val="24"/>
                        </w:rPr>
                      </m:ctrlPr>
                    </m:sSubPr>
                    <m:e>
                      <m:r>
                        <w:rPr>
                          <w:rFonts w:ascii="Cambria Math" w:hAnsi="Cambria Math" w:cs="Times New Roman"/>
                          <w:szCs w:val="24"/>
                        </w:rPr>
                        <m:t>M</m:t>
                      </m:r>
                    </m:e>
                    <m:sub>
                      <m:r>
                        <w:rPr>
                          <w:rFonts w:ascii="Cambria Math" w:hAnsi="Cambria Math" w:cs="Times New Roman"/>
                          <w:szCs w:val="24"/>
                        </w:rPr>
                        <m:t>i</m:t>
                      </m:r>
                    </m:sub>
                  </m:sSub>
                  <m:sSub>
                    <m:sSubPr>
                      <m:ctrlPr>
                        <w:rPr>
                          <w:rFonts w:ascii="Cambria Math" w:hAnsi="Cambria Math" w:cs="Times New Roman"/>
                          <w:i/>
                          <w:iCs/>
                          <w:color w:val="000000" w:themeColor="text1"/>
                          <w:szCs w:val="24"/>
                        </w:rPr>
                      </m:ctrlPr>
                    </m:sSubPr>
                    <m:e>
                      <m:r>
                        <w:rPr>
                          <w:rFonts w:ascii="Cambria Math" w:hAnsi="Cambria Math" w:cs="Times New Roman"/>
                          <w:szCs w:val="24"/>
                        </w:rPr>
                        <m:t>M</m:t>
                      </m:r>
                    </m:e>
                    <m:sub>
                      <m:r>
                        <w:rPr>
                          <w:rFonts w:ascii="Cambria Math" w:hAnsi="Cambria Math" w:cs="Times New Roman"/>
                          <w:szCs w:val="24"/>
                        </w:rPr>
                        <m:t>j</m:t>
                      </m:r>
                    </m:sub>
                  </m:sSub>
                  <m:r>
                    <w:rPr>
                      <w:rFonts w:ascii="Cambria Math" w:hAnsi="Cambria Math" w:cs="Times New Roman"/>
                      <w:szCs w:val="24"/>
                    </w:rPr>
                    <m:t xml:space="preserve"> </m:t>
                  </m:r>
                </m:sub>
              </m:sSub>
            </m:e>
          </m:nary>
        </m:oMath>
      </m:oMathPara>
    </w:p>
    <w:p w14:paraId="48A47C8F" w14:textId="77777777" w:rsidR="0099689C" w:rsidRPr="00C025DA" w:rsidRDefault="0099689C" w:rsidP="00C025DA">
      <w:pPr>
        <w:tabs>
          <w:tab w:val="left" w:pos="1507"/>
        </w:tabs>
        <w:spacing w:line="360" w:lineRule="auto"/>
        <w:rPr>
          <w:rFonts w:cs="Times New Roman"/>
        </w:rPr>
      </w:pPr>
      <w:r w:rsidRPr="00C025DA">
        <w:rPr>
          <w:rFonts w:cs="Times New Roman"/>
        </w:rPr>
        <w:t xml:space="preserve">This modularity calculation can be interpreted as the average difference of actual within module connections, represented by </w:t>
      </w:r>
      <w:r w:rsidRPr="00C025DA">
        <w:rPr>
          <w:rFonts w:cs="Times New Roman"/>
          <w:i/>
          <w:iCs/>
        </w:rPr>
        <w:t>w</w:t>
      </w:r>
      <w:r w:rsidRPr="00C025DA">
        <w:rPr>
          <w:rFonts w:cs="Times New Roman"/>
          <w:i/>
          <w:iCs/>
          <w:vertAlign w:val="subscript"/>
        </w:rPr>
        <w:t>ij</w:t>
      </w:r>
      <w:r w:rsidRPr="00C025DA">
        <w:rPr>
          <w:rFonts w:cs="Times New Roman"/>
          <w:vertAlign w:val="subscript"/>
        </w:rPr>
        <w:t xml:space="preserve"> </w:t>
      </w:r>
      <w:r w:rsidRPr="00C025DA">
        <w:rPr>
          <w:rFonts w:cs="Times New Roman"/>
        </w:rPr>
        <w:t xml:space="preserve">and within module connections expected to be present by chance. </w:t>
      </w:r>
    </w:p>
    <w:p w14:paraId="3B8E329C" w14:textId="53706F12" w:rsidR="0099689C" w:rsidRDefault="0099689C" w:rsidP="00777A99">
      <w:pPr>
        <w:pStyle w:val="Heading3"/>
      </w:pPr>
      <w:bookmarkStart w:id="3" w:name="_Ref82010620"/>
      <w:bookmarkStart w:id="4" w:name="_Toc84495824"/>
      <w:r w:rsidRPr="0099689C">
        <w:t>Assignment of Nodes to Modules: Louvain</w:t>
      </w:r>
      <w:bookmarkEnd w:id="3"/>
      <w:bookmarkEnd w:id="4"/>
    </w:p>
    <w:p w14:paraId="59385719" w14:textId="2FB86174" w:rsidR="0099689C" w:rsidRPr="00C025DA" w:rsidRDefault="0099689C" w:rsidP="00C025DA">
      <w:pPr>
        <w:spacing w:line="360" w:lineRule="auto"/>
        <w:rPr>
          <w:rFonts w:cs="Times New Roman"/>
        </w:rPr>
      </w:pPr>
      <w:r w:rsidRPr="00C025DA">
        <w:rPr>
          <w:rFonts w:cs="Times New Roman"/>
        </w:rPr>
        <w:t>Building upon the notion of functional modules</w:t>
      </w:r>
      <w:r w:rsidR="008260DF" w:rsidRPr="00C025DA">
        <w:rPr>
          <w:rFonts w:cs="Times New Roman"/>
        </w:rPr>
        <w:t xml:space="preserve"> and network decomposability</w:t>
      </w:r>
      <w:r w:rsidRPr="00C025DA">
        <w:rPr>
          <w:rFonts w:cs="Times New Roman"/>
        </w:rPr>
        <w:t xml:space="preserve">, methods have been developed for the detection of such </w:t>
      </w:r>
      <w:r w:rsidR="008260DF" w:rsidRPr="00C025DA">
        <w:rPr>
          <w:rFonts w:cs="Times New Roman"/>
        </w:rPr>
        <w:t xml:space="preserve">community-type </w:t>
      </w:r>
      <w:r w:rsidRPr="00C025DA">
        <w:rPr>
          <w:rFonts w:cs="Times New Roman"/>
        </w:rPr>
        <w:t xml:space="preserve">structure. </w:t>
      </w:r>
      <w:r w:rsidR="00BC2801" w:rsidRPr="00C025DA">
        <w:rPr>
          <w:rFonts w:cs="Times New Roman"/>
        </w:rPr>
        <w:t>In contrast with</w:t>
      </w:r>
      <w:r w:rsidRPr="00C025DA">
        <w:rPr>
          <w:rFonts w:cs="Times New Roman"/>
        </w:rPr>
        <w:t xml:space="preserve"> all other network measures discussed here, the assignment of nodes to modules utilizes optimization and is therefore not computed directly. </w:t>
      </w:r>
      <w:r w:rsidR="00BC2801" w:rsidRPr="00C025DA">
        <w:rPr>
          <w:rFonts w:cs="Times New Roman"/>
        </w:rPr>
        <w:t>The latter is implemented via t</w:t>
      </w:r>
      <w:r w:rsidRPr="00C025DA">
        <w:rPr>
          <w:rFonts w:cs="Times New Roman"/>
        </w:rPr>
        <w:t xml:space="preserve">he Louvain greedy algorithm, </w:t>
      </w:r>
      <w:r w:rsidR="00BC2801" w:rsidRPr="00C025DA">
        <w:rPr>
          <w:rFonts w:cs="Times New Roman"/>
        </w:rPr>
        <w:t xml:space="preserve">where </w:t>
      </w:r>
      <w:r w:rsidRPr="00C025DA">
        <w:rPr>
          <w:rFonts w:cs="Times New Roman"/>
        </w:rPr>
        <w:t xml:space="preserve">different possible partitions are evaluated and the “optimal” is chosen by maximizing the modularity function </w:t>
      </w:r>
      <w:r w:rsidRPr="00C025DA">
        <w:rPr>
          <w:rFonts w:cs="Times New Roman"/>
          <w:i/>
          <w:iCs/>
        </w:rPr>
        <w:t>Q</w:t>
      </w:r>
      <w:r w:rsidRPr="00C025DA">
        <w:rPr>
          <w:rFonts w:cs="Times New Roman"/>
        </w:rPr>
        <w:t>. When working with strictly positive-weighted networks as in the case of MI FCGs, the modularity calculation described above is used.</w:t>
      </w:r>
      <w:r>
        <w:t xml:space="preserve"> </w:t>
      </w:r>
      <w:r w:rsidRPr="00C025DA">
        <w:rPr>
          <w:rFonts w:cs="Times New Roman"/>
        </w:rPr>
        <w:t xml:space="preserve">Furthermore, as previously mentioned, connection sign can be utilized in the module assignment process, based on the notion that modules can exhibit anticorrelations among each other. Most algorithms treat negative and positive weights symmetrically, something problematic </w:t>
      </w:r>
      <w:r w:rsidR="000C6383" w:rsidRPr="00C025DA">
        <w:rPr>
          <w:rFonts w:cs="Times New Roman"/>
        </w:rPr>
        <w:t>to justify and understand</w:t>
      </w:r>
      <w:r w:rsidRPr="00C025DA">
        <w:rPr>
          <w:rFonts w:cs="Times New Roman"/>
        </w:rPr>
        <w:t xml:space="preserve">. </w:t>
      </w:r>
      <w:r w:rsidR="000C6383" w:rsidRPr="00C025DA">
        <w:rPr>
          <w:rFonts w:cs="Times New Roman"/>
        </w:rPr>
        <w:t>R</w:t>
      </w:r>
      <w:r w:rsidRPr="00C025DA">
        <w:rPr>
          <w:rFonts w:cs="Times New Roman"/>
        </w:rPr>
        <w:t xml:space="preserve">egarding the underlying neuronal network, negative connections are not </w:t>
      </w:r>
      <w:r w:rsidR="000C6383" w:rsidRPr="00C025DA">
        <w:rPr>
          <w:rFonts w:cs="Times New Roman"/>
        </w:rPr>
        <w:t xml:space="preserve">typically considered </w:t>
      </w:r>
      <w:r w:rsidRPr="00C025DA">
        <w:rPr>
          <w:rFonts w:cs="Times New Roman"/>
        </w:rPr>
        <w:t>as</w:t>
      </w:r>
      <w:r w:rsidR="000C6383" w:rsidRPr="00C025DA">
        <w:rPr>
          <w:rFonts w:cs="Times New Roman"/>
        </w:rPr>
        <w:t xml:space="preserve"> of</w:t>
      </w:r>
      <w:r w:rsidRPr="00C025DA">
        <w:rPr>
          <w:rFonts w:cs="Times New Roman"/>
        </w:rPr>
        <w:t xml:space="preserve"> high importance as positive. The main structures under study, the modules themselves, should be mainly defined by the strength of the positive connections existing between their nodes. Negative correlations should affect the network’s modular characterization more than simply weak connections but definitely not as importantly as (strong) positive connections. This is also emphasized in</w:t>
      </w:r>
      <w:r w:rsidR="00582C11" w:rsidRPr="00C025DA">
        <w:rPr>
          <w:rFonts w:cs="Times New Roman"/>
        </w:rPr>
        <w:t xml:space="preserve"> </w:t>
      </w:r>
      <w:r w:rsidRPr="00C025DA">
        <w:rPr>
          <w:rFonts w:cs="Times New Roman"/>
          <w:lang w:val="el-GR"/>
        </w:rPr>
        <w:fldChar w:fldCharType="begin" w:fldLock="1"/>
      </w:r>
      <w:r w:rsidR="00EA2DE3">
        <w:rPr>
          <w:rFonts w:cs="Times New Roman"/>
        </w:rPr>
        <w:instrText>ADDIN CSL_CITATION {"citationItems":[{"id":"ITEM-1","itemData":{"DOI":"10.1016/j.neuroimage.2011.03.069","ISSN":"10538119","PMID":"21459148","abstract":"Complex functional brain networks are large networks of brain regions and functional brain connections. Statistical characterizations of these networks aim to quantify global and local properties of brain activity with a small number of network measures. Important functional network measures include measures of modularity (measures of the goodness with which a network is optimally partitioned into functional subgroups) and measures of centrality (measures of the functional influence of individual brain regions). Characterizations of functional networks are increasing in popularity, but are associated with several important methodological problems. These problems include the inability to characterize densely connected and weighted functional networks, the neglect of degenerate topologically distinct high-modularity partitions of these networks, and the absence of a network null model for testing hypotheses of association between observed nontrivial network properties and simple weighted connectivity properties. In this study we describe a set of methods to overcome these problems. Specifically, we generalize measures of modularity and centrality to fully connected and weighted complex networks, describe the detection of degenerate high-modularity partitions of these networks, and introduce a weighted-connectivity null model of these networks. We illustrate our methods by demonstrating degenerate high-modularity partitions and strong correlations between two complementary measures of centrality in resting-state functional magnetic resonance imaging (MRI) networks from the 1000 Functional Connectomes Project, an open-access repository of resting-state functional MRI datasets. Our methods may allow more sound and reliable characterizations and comparisons of functional brain networks across conditions and subjects. © 2011 Elsevier Inc.","author":[{"dropping-particle":"","family":"Rubinov","given":"Mikail","non-dropping-particle":"","parse-names":false,"suffix":""},{"dropping-particle":"","family":"Sporns","given":"Olaf","non-dropping-particle":"","parse-names":false,"suffix":""}],"container-title":"NeuroImage","id":"ITEM-1","issue":"4","issued":{"date-parts":[["2011"]]},"page":"2068-2079","title":"Weight-conserving characterization of complex functional brain networks","type":"article-journal","volume":"56"},"uris":["http://www.mendeley.com/documents/?uuid=ff921870-319c-4bb9-b6ed-520ae4aea8a0"]}],"mendeley":{"formattedCitation":"(Rubinov and Sporns 2011)","plainTextFormattedCitation":"(Rubinov and Sporns 2011)","previouslyFormattedCitation":"[8]"},"properties":{"noteIndex":0},"schema":"https://github.com/citation-style-language/schema/raw/master/csl-citation.json"}</w:instrText>
      </w:r>
      <w:r w:rsidRPr="00C025DA">
        <w:rPr>
          <w:rFonts w:cs="Times New Roman"/>
          <w:lang w:val="el-GR"/>
        </w:rPr>
        <w:fldChar w:fldCharType="separate"/>
      </w:r>
      <w:r w:rsidR="00EA2DE3" w:rsidRPr="00EA2DE3">
        <w:rPr>
          <w:rFonts w:cs="Times New Roman"/>
          <w:noProof/>
        </w:rPr>
        <w:t>(Rubinov and Sporns 2011)</w:t>
      </w:r>
      <w:r w:rsidRPr="00C025DA">
        <w:rPr>
          <w:rFonts w:cs="Times New Roman"/>
          <w:lang w:val="el-GR"/>
        </w:rPr>
        <w:fldChar w:fldCharType="end"/>
      </w:r>
      <w:r w:rsidR="00582C11" w:rsidRPr="00C025DA">
        <w:rPr>
          <w:rFonts w:cs="Times New Roman"/>
          <w:lang w:val="en-US"/>
        </w:rPr>
        <w:t>,</w:t>
      </w:r>
      <w:r w:rsidRPr="00C025DA">
        <w:rPr>
          <w:rFonts w:cs="Times New Roman"/>
        </w:rPr>
        <w:t xml:space="preserve"> were partitions obtained with high </w:t>
      </w:r>
      <w:r w:rsidRPr="00C025DA">
        <w:rPr>
          <w:rFonts w:cs="Times New Roman"/>
          <w:i/>
          <w:iCs/>
        </w:rPr>
        <w:t>Q</w:t>
      </w:r>
      <w:r w:rsidRPr="00C025DA">
        <w:rPr>
          <w:rFonts w:cs="Times New Roman"/>
          <w:i/>
          <w:iCs/>
          <w:vertAlign w:val="superscript"/>
        </w:rPr>
        <w:t>-</w:t>
      </w:r>
      <w:r w:rsidRPr="00C025DA">
        <w:rPr>
          <w:rFonts w:cs="Times New Roman"/>
          <w:vertAlign w:val="superscript"/>
        </w:rPr>
        <w:t xml:space="preserve"> </w:t>
      </w:r>
      <w:r w:rsidRPr="00C025DA">
        <w:rPr>
          <w:rFonts w:cs="Times New Roman"/>
        </w:rPr>
        <w:t xml:space="preserve">are found less optimal than high </w:t>
      </w:r>
      <w:r w:rsidRPr="00C025DA">
        <w:rPr>
          <w:rFonts w:cs="Times New Roman"/>
          <w:i/>
          <w:iCs/>
        </w:rPr>
        <w:t>Q</w:t>
      </w:r>
      <w:r w:rsidRPr="00C025DA">
        <w:rPr>
          <w:rFonts w:cs="Times New Roman"/>
          <w:i/>
          <w:iCs/>
          <w:vertAlign w:val="superscript"/>
        </w:rPr>
        <w:t>+</w:t>
      </w:r>
      <w:r w:rsidRPr="00C025DA">
        <w:rPr>
          <w:rFonts w:cs="Times New Roman"/>
        </w:rPr>
        <w:t xml:space="preserve"> partitions, </w:t>
      </w:r>
      <w:r w:rsidRPr="00C025DA">
        <w:rPr>
          <w:rFonts w:cs="Times New Roman"/>
          <w:i/>
          <w:iCs/>
        </w:rPr>
        <w:t>Q</w:t>
      </w:r>
      <w:r w:rsidRPr="00C025DA">
        <w:rPr>
          <w:rFonts w:cs="Times New Roman"/>
          <w:i/>
          <w:iCs/>
          <w:vertAlign w:val="superscript"/>
        </w:rPr>
        <w:t>+/-</w:t>
      </w:r>
      <w:r w:rsidRPr="00C025DA">
        <w:rPr>
          <w:rFonts w:cs="Times New Roman"/>
        </w:rPr>
        <w:t xml:space="preserve"> referring to the modularity function for positive and negative weights accordingly. </w:t>
      </w:r>
    </w:p>
    <w:p w14:paraId="61723E69" w14:textId="1E4BA7FA" w:rsidR="0099689C" w:rsidRPr="00C025DA" w:rsidRDefault="0099689C" w:rsidP="00C025DA">
      <w:pPr>
        <w:spacing w:line="360" w:lineRule="auto"/>
        <w:rPr>
          <w:rFonts w:cs="Times New Roman"/>
        </w:rPr>
      </w:pPr>
      <w:r w:rsidRPr="00C025DA">
        <w:rPr>
          <w:rFonts w:cs="Times New Roman"/>
        </w:rPr>
        <w:lastRenderedPageBreak/>
        <w:t xml:space="preserve">The asymmetric treatment of positive and negative weights in the </w:t>
      </w:r>
      <w:r w:rsidRPr="00C025DA">
        <w:rPr>
          <w:rFonts w:cs="Times New Roman"/>
          <w:i/>
          <w:iCs/>
        </w:rPr>
        <w:t>Q</w:t>
      </w:r>
      <w:r w:rsidRPr="00C025DA">
        <w:rPr>
          <w:rFonts w:cs="Times New Roman"/>
          <w:i/>
          <w:iCs/>
          <w:vertAlign w:val="superscript"/>
        </w:rPr>
        <w:t>*</w:t>
      </w:r>
      <w:r w:rsidRPr="00C025DA">
        <w:rPr>
          <w:rFonts w:cs="Times New Roman"/>
        </w:rPr>
        <w:t xml:space="preserve"> function proposed </w:t>
      </w:r>
      <w:r w:rsidR="000C6383" w:rsidRPr="00C025DA">
        <w:rPr>
          <w:rFonts w:cs="Times New Roman"/>
        </w:rPr>
        <w:t>Rubinov and Sporns</w:t>
      </w:r>
      <w:r w:rsidR="00A138E7" w:rsidRPr="00C025DA">
        <w:rPr>
          <w:rFonts w:cs="Times New Roman"/>
        </w:rPr>
        <w:t xml:space="preserve"> </w:t>
      </w:r>
      <w:r w:rsidRPr="00C025DA">
        <w:rPr>
          <w:rFonts w:cs="Times New Roman"/>
        </w:rPr>
        <w:fldChar w:fldCharType="begin" w:fldLock="1"/>
      </w:r>
      <w:r w:rsidR="00EA2DE3">
        <w:rPr>
          <w:rFonts w:cs="Times New Roman"/>
        </w:rPr>
        <w:instrText>ADDIN CSL_CITATION {"citationItems":[{"id":"ITEM-1","itemData":{"DOI":"10.1016/j.neuroimage.2011.03.069","ISSN":"10538119","PMID":"21459148","abstract":"Complex functional brain networks are large networks of brain regions and functional brain connections. Statistical characterizations of these networks aim to quantify global and local properties of brain activity with a small number of network measures. Important functional network measures include measures of modularity (measures of the goodness with which a network is optimally partitioned into functional subgroups) and measures of centrality (measures of the functional influence of individual brain regions). Characterizations of functional networks are increasing in popularity, but are associated with several important methodological problems. These problems include the inability to characterize densely connected and weighted functional networks, the neglect of degenerate topologically distinct high-modularity partitions of these networks, and the absence of a network null model for testing hypotheses of association between observed nontrivial network properties and simple weighted connectivity properties. In this study we describe a set of methods to overcome these problems. Specifically, we generalize measures of modularity and centrality to fully connected and weighted complex networks, describe the detection of degenerate high-modularity partitions of these networks, and introduce a weighted-connectivity null model of these networks. We illustrate our methods by demonstrating degenerate high-modularity partitions and strong correlations between two complementary measures of centrality in resting-state functional magnetic resonance imaging (MRI) networks from the 1000 Functional Connectomes Project, an open-access repository of resting-state functional MRI datasets. Our methods may allow more sound and reliable characterizations and comparisons of functional brain networks across conditions and subjects. © 2011 Elsevier Inc.","author":[{"dropping-particle":"","family":"Rubinov","given":"Mikail","non-dropping-particle":"","parse-names":false,"suffix":""},{"dropping-particle":"","family":"Sporns","given":"Olaf","non-dropping-particle":"","parse-names":false,"suffix":""}],"container-title":"NeuroImage","id":"ITEM-1","issue":"4","issued":{"date-parts":[["2011"]]},"page":"2068-2079","title":"Weight-conserving characterization of complex functional brain networks","type":"article-journal","volume":"56"},"uris":["http://www.mendeley.com/documents/?uuid=ff921870-319c-4bb9-b6ed-520ae4aea8a0"]}],"mendeley":{"formattedCitation":"(Rubinov and Sporns 2011)","plainTextFormattedCitation":"(Rubinov and Sporns 2011)","previouslyFormattedCitation":"[8]"},"properties":{"noteIndex":0},"schema":"https://github.com/citation-style-language/schema/raw/master/csl-citation.json"}</w:instrText>
      </w:r>
      <w:r w:rsidRPr="00C025DA">
        <w:rPr>
          <w:rFonts w:cs="Times New Roman"/>
        </w:rPr>
        <w:fldChar w:fldCharType="separate"/>
      </w:r>
      <w:r w:rsidR="00EA2DE3" w:rsidRPr="00EA2DE3">
        <w:rPr>
          <w:rFonts w:cs="Times New Roman"/>
          <w:noProof/>
        </w:rPr>
        <w:t>(Rubinov and Sporns 2011)</w:t>
      </w:r>
      <w:r w:rsidRPr="00C025DA">
        <w:rPr>
          <w:rFonts w:cs="Times New Roman"/>
        </w:rPr>
        <w:fldChar w:fldCharType="end"/>
      </w:r>
      <w:r w:rsidR="00A138E7" w:rsidRPr="00C025DA">
        <w:rPr>
          <w:rFonts w:cs="Times New Roman"/>
        </w:rPr>
        <w:t>,</w:t>
      </w:r>
      <w:r w:rsidRPr="00C025DA">
        <w:rPr>
          <w:rFonts w:cs="Times New Roman"/>
        </w:rPr>
        <w:t xml:space="preserve"> leads to desirable behavior in terms of </w:t>
      </w:r>
      <w:r w:rsidRPr="00C025DA">
        <w:rPr>
          <w:rFonts w:cs="Times New Roman"/>
          <w:i/>
          <w:iCs/>
        </w:rPr>
        <w:t>Q</w:t>
      </w:r>
      <w:r w:rsidRPr="00C025DA">
        <w:rPr>
          <w:rFonts w:cs="Times New Roman"/>
          <w:i/>
          <w:iCs/>
          <w:vertAlign w:val="superscript"/>
        </w:rPr>
        <w:t>*</w:t>
      </w:r>
      <w:r w:rsidRPr="00C025DA">
        <w:rPr>
          <w:rFonts w:cs="Times New Roman"/>
        </w:rPr>
        <w:t xml:space="preserve">’s output. Firstly, an increase in positive connections reduces the effect of negative connections, while an increase in negative connections does not lessen the effect of positive connections on the partition’s computed modularity value. Finally, in a network with an equiprobable distribution of positive and negative weights, negative connections will affect the modularity value only half as much as the positive. </w:t>
      </w:r>
    </w:p>
    <w:p w14:paraId="506A75DD" w14:textId="1B61F423" w:rsidR="0099689C" w:rsidRPr="0099689C" w:rsidRDefault="00EA2DE3" w:rsidP="00777A99">
      <w:pPr>
        <w:rPr>
          <w:rFonts w:eastAsiaTheme="minorEastAsia"/>
          <w:iCs/>
          <w:color w:val="000000" w:themeColor="text1"/>
          <w:szCs w:val="24"/>
        </w:rPr>
      </w:pPr>
      <m:oMathPara>
        <m:oMath>
          <m:sSup>
            <m:sSupPr>
              <m:ctrlPr>
                <w:rPr>
                  <w:rFonts w:ascii="Cambria Math" w:hAnsi="Cambria Math" w:cs="Times New Roman"/>
                  <w:i/>
                  <w:color w:val="000000" w:themeColor="text1"/>
                  <w:szCs w:val="24"/>
                </w:rPr>
              </m:ctrlPr>
            </m:sSupPr>
            <m:e>
              <m:r>
                <w:rPr>
                  <w:rFonts w:ascii="Cambria Math" w:hAnsi="Cambria Math" w:cs="Times New Roman"/>
                  <w:szCs w:val="24"/>
                </w:rPr>
                <m:t>Q</m:t>
              </m:r>
            </m:e>
            <m:sup>
              <m:r>
                <w:rPr>
                  <w:rFonts w:ascii="Cambria Math" w:hAnsi="Cambria Math" w:cs="Times New Roman"/>
                  <w:szCs w:val="24"/>
                </w:rPr>
                <m:t>*</m:t>
              </m:r>
            </m:sup>
          </m:sSup>
          <m:r>
            <w:rPr>
              <w:rFonts w:ascii="Cambria Math" w:hAnsi="Cambria Math" w:cs="Times New Roman"/>
              <w:szCs w:val="24"/>
            </w:rPr>
            <m:t xml:space="preserve"> = </m:t>
          </m:r>
          <m:sSup>
            <m:sSupPr>
              <m:ctrlPr>
                <w:rPr>
                  <w:rFonts w:ascii="Cambria Math" w:hAnsi="Cambria Math" w:cs="Times New Roman"/>
                  <w:i/>
                  <w:color w:val="000000" w:themeColor="text1"/>
                  <w:szCs w:val="24"/>
                </w:rPr>
              </m:ctrlPr>
            </m:sSupPr>
            <m:e>
              <m:r>
                <w:rPr>
                  <w:rFonts w:ascii="Cambria Math" w:hAnsi="Cambria Math" w:cs="Times New Roman"/>
                  <w:szCs w:val="24"/>
                </w:rPr>
                <m:t>Q</m:t>
              </m:r>
            </m:e>
            <m:sup>
              <m:r>
                <w:rPr>
                  <w:rFonts w:ascii="Cambria Math" w:hAnsi="Cambria Math" w:cs="Times New Roman"/>
                  <w:szCs w:val="24"/>
                </w:rPr>
                <m:t>+</m:t>
              </m:r>
            </m:sup>
          </m:sSup>
          <m:r>
            <w:rPr>
              <w:rFonts w:ascii="Cambria Math" w:hAnsi="Cambria Math" w:cs="Times New Roman"/>
              <w:szCs w:val="24"/>
            </w:rPr>
            <m:t>+</m:t>
          </m:r>
          <m:f>
            <m:fPr>
              <m:ctrlPr>
                <w:rPr>
                  <w:rFonts w:ascii="Cambria Math" w:hAnsi="Cambria Math" w:cs="Times New Roman"/>
                  <w:i/>
                  <w:iCs/>
                  <w:color w:val="000000" w:themeColor="text1"/>
                  <w:szCs w:val="24"/>
                </w:rPr>
              </m:ctrlPr>
            </m:fPr>
            <m:num>
              <m:sSup>
                <m:sSupPr>
                  <m:ctrlPr>
                    <w:rPr>
                      <w:rFonts w:ascii="Cambria Math" w:hAnsi="Cambria Math" w:cs="Times New Roman"/>
                      <w:i/>
                      <w:iCs/>
                      <w:color w:val="000000" w:themeColor="text1"/>
                      <w:szCs w:val="24"/>
                    </w:rPr>
                  </m:ctrlPr>
                </m:sSupPr>
                <m:e>
                  <m:r>
                    <w:rPr>
                      <w:rFonts w:ascii="Cambria Math" w:hAnsi="Cambria Math" w:cs="Times New Roman"/>
                      <w:szCs w:val="24"/>
                    </w:rPr>
                    <m:t>v</m:t>
                  </m:r>
                </m:e>
                <m:sup>
                  <m:r>
                    <w:rPr>
                      <w:rFonts w:ascii="Cambria Math" w:hAnsi="Cambria Math" w:cs="Times New Roman"/>
                      <w:szCs w:val="24"/>
                    </w:rPr>
                    <m:t>-</m:t>
                  </m:r>
                </m:sup>
              </m:sSup>
            </m:num>
            <m:den>
              <m:sSup>
                <m:sSupPr>
                  <m:ctrlPr>
                    <w:rPr>
                      <w:rFonts w:ascii="Cambria Math" w:hAnsi="Cambria Math" w:cs="Times New Roman"/>
                      <w:i/>
                      <w:iCs/>
                      <w:color w:val="000000" w:themeColor="text1"/>
                      <w:szCs w:val="24"/>
                    </w:rPr>
                  </m:ctrlPr>
                </m:sSupPr>
                <m:e>
                  <m:r>
                    <w:rPr>
                      <w:rFonts w:ascii="Cambria Math" w:hAnsi="Cambria Math" w:cs="Times New Roman"/>
                      <w:szCs w:val="24"/>
                    </w:rPr>
                    <m:t>v</m:t>
                  </m:r>
                </m:e>
                <m:sup>
                  <m:r>
                    <w:rPr>
                      <w:rFonts w:ascii="Cambria Math" w:hAnsi="Cambria Math" w:cs="Times New Roman"/>
                      <w:szCs w:val="24"/>
                    </w:rPr>
                    <m:t>+</m:t>
                  </m:r>
                </m:sup>
              </m:sSup>
              <m:r>
                <w:rPr>
                  <w:rFonts w:ascii="Cambria Math" w:hAnsi="Cambria Math" w:cs="Times New Roman"/>
                  <w:szCs w:val="24"/>
                </w:rPr>
                <m:t xml:space="preserve">+ </m:t>
              </m:r>
              <m:sSup>
                <m:sSupPr>
                  <m:ctrlPr>
                    <w:rPr>
                      <w:rFonts w:ascii="Cambria Math" w:hAnsi="Cambria Math" w:cs="Times New Roman"/>
                      <w:i/>
                      <w:iCs/>
                      <w:color w:val="000000" w:themeColor="text1"/>
                      <w:szCs w:val="24"/>
                    </w:rPr>
                  </m:ctrlPr>
                </m:sSupPr>
                <m:e>
                  <m:r>
                    <w:rPr>
                      <w:rFonts w:ascii="Cambria Math" w:hAnsi="Cambria Math" w:cs="Times New Roman"/>
                      <w:szCs w:val="24"/>
                    </w:rPr>
                    <m:t>v</m:t>
                  </m:r>
                </m:e>
                <m:sup>
                  <m:r>
                    <w:rPr>
                      <w:rFonts w:ascii="Cambria Math" w:hAnsi="Cambria Math" w:cs="Times New Roman"/>
                      <w:szCs w:val="24"/>
                    </w:rPr>
                    <m:t>-</m:t>
                  </m:r>
                </m:sup>
              </m:sSup>
            </m:den>
          </m:f>
          <m:sSup>
            <m:sSupPr>
              <m:ctrlPr>
                <w:rPr>
                  <w:rFonts w:ascii="Cambria Math" w:hAnsi="Cambria Math" w:cs="Times New Roman"/>
                  <w:i/>
                  <w:color w:val="000000" w:themeColor="text1"/>
                  <w:szCs w:val="24"/>
                </w:rPr>
              </m:ctrlPr>
            </m:sSupPr>
            <m:e>
              <m:r>
                <w:rPr>
                  <w:rFonts w:ascii="Cambria Math" w:hAnsi="Cambria Math" w:cs="Times New Roman"/>
                  <w:szCs w:val="24"/>
                </w:rPr>
                <m:t>Q</m:t>
              </m:r>
            </m:e>
            <m:sup>
              <m:r>
                <w:rPr>
                  <w:rFonts w:ascii="Cambria Math" w:hAnsi="Cambria Math" w:cs="Times New Roman"/>
                  <w:szCs w:val="24"/>
                </w:rPr>
                <m:t>-</m:t>
              </m:r>
            </m:sup>
          </m:sSup>
          <m:r>
            <w:rPr>
              <w:rFonts w:ascii="Cambria Math" w:hAnsi="Cambria Math" w:cs="Times New Roman"/>
              <w:szCs w:val="24"/>
            </w:rPr>
            <m:t xml:space="preserve"> = </m:t>
          </m:r>
          <m:f>
            <m:fPr>
              <m:ctrlPr>
                <w:rPr>
                  <w:rFonts w:ascii="Cambria Math" w:hAnsi="Cambria Math" w:cs="Times New Roman"/>
                  <w:i/>
                  <w:iCs/>
                  <w:color w:val="000000" w:themeColor="text1"/>
                  <w:szCs w:val="24"/>
                </w:rPr>
              </m:ctrlPr>
            </m:fPr>
            <m:num>
              <m:r>
                <w:rPr>
                  <w:rFonts w:ascii="Cambria Math" w:hAnsi="Cambria Math" w:cs="Times New Roman"/>
                  <w:szCs w:val="24"/>
                </w:rPr>
                <m:t>1</m:t>
              </m:r>
            </m:num>
            <m:den>
              <m:sSup>
                <m:sSupPr>
                  <m:ctrlPr>
                    <w:rPr>
                      <w:rFonts w:ascii="Cambria Math" w:hAnsi="Cambria Math" w:cs="Times New Roman"/>
                      <w:i/>
                      <w:iCs/>
                      <w:color w:val="000000" w:themeColor="text1"/>
                      <w:szCs w:val="24"/>
                    </w:rPr>
                  </m:ctrlPr>
                </m:sSupPr>
                <m:e>
                  <m:r>
                    <w:rPr>
                      <w:rFonts w:ascii="Cambria Math" w:hAnsi="Cambria Math" w:cs="Times New Roman"/>
                      <w:szCs w:val="24"/>
                    </w:rPr>
                    <m:t>v</m:t>
                  </m:r>
                </m:e>
                <m:sup>
                  <m:r>
                    <w:rPr>
                      <w:rFonts w:ascii="Cambria Math" w:hAnsi="Cambria Math" w:cs="Times New Roman"/>
                      <w:szCs w:val="24"/>
                    </w:rPr>
                    <m:t>+</m:t>
                  </m:r>
                </m:sup>
              </m:sSup>
            </m:den>
          </m:f>
          <m:nary>
            <m:naryPr>
              <m:chr m:val="∑"/>
              <m:limLoc m:val="undOvr"/>
              <m:supHide m:val="1"/>
              <m:ctrlPr>
                <w:rPr>
                  <w:rFonts w:ascii="Cambria Math" w:hAnsi="Cambria Math" w:cs="Times New Roman"/>
                  <w:i/>
                  <w:iCs/>
                  <w:color w:val="000000" w:themeColor="text1"/>
                  <w:szCs w:val="24"/>
                </w:rPr>
              </m:ctrlPr>
            </m:naryPr>
            <m:sub>
              <m:r>
                <w:rPr>
                  <w:rFonts w:ascii="Cambria Math" w:hAnsi="Cambria Math" w:cs="Times New Roman"/>
                  <w:szCs w:val="24"/>
                </w:rPr>
                <m:t>ij</m:t>
              </m:r>
            </m:sub>
            <m:sup/>
            <m:e>
              <m:r>
                <w:rPr>
                  <w:rFonts w:ascii="Cambria Math" w:hAnsi="Cambria Math" w:cs="Times New Roman"/>
                  <w:szCs w:val="24"/>
                </w:rPr>
                <m:t>(</m:t>
              </m:r>
              <m:sSup>
                <m:sSupPr>
                  <m:ctrlPr>
                    <w:rPr>
                      <w:rFonts w:ascii="Cambria Math" w:hAnsi="Cambria Math" w:cs="Times New Roman"/>
                      <w:i/>
                      <w:iCs/>
                      <w:color w:val="000000" w:themeColor="text1"/>
                      <w:szCs w:val="24"/>
                    </w:rPr>
                  </m:ctrlPr>
                </m:sSupPr>
                <m:e>
                  <m:sSub>
                    <m:sSubPr>
                      <m:ctrlPr>
                        <w:rPr>
                          <w:rFonts w:ascii="Cambria Math" w:hAnsi="Cambria Math" w:cs="Times New Roman"/>
                          <w:i/>
                          <w:iCs/>
                          <w:color w:val="000000" w:themeColor="text1"/>
                          <w:szCs w:val="24"/>
                        </w:rPr>
                      </m:ctrlPr>
                    </m:sSubPr>
                    <m:e>
                      <m:r>
                        <w:rPr>
                          <w:rFonts w:ascii="Cambria Math" w:hAnsi="Cambria Math" w:cs="Times New Roman"/>
                          <w:szCs w:val="24"/>
                        </w:rPr>
                        <m:t>w</m:t>
                      </m:r>
                    </m:e>
                    <m:sub>
                      <m:r>
                        <w:rPr>
                          <w:rFonts w:ascii="Cambria Math" w:hAnsi="Cambria Math" w:cs="Times New Roman"/>
                          <w:szCs w:val="24"/>
                        </w:rPr>
                        <m:t>ij</m:t>
                      </m:r>
                    </m:sub>
                  </m:sSub>
                </m:e>
                <m:sup>
                  <m:r>
                    <w:rPr>
                      <w:rFonts w:ascii="Cambria Math" w:hAnsi="Cambria Math" w:cs="Times New Roman"/>
                      <w:szCs w:val="24"/>
                    </w:rPr>
                    <m:t>+</m:t>
                  </m:r>
                </m:sup>
              </m:sSup>
              <m:r>
                <w:rPr>
                  <w:rFonts w:ascii="Cambria Math" w:hAnsi="Cambria Math" w:cs="Times New Roman"/>
                  <w:szCs w:val="24"/>
                </w:rPr>
                <m:t>-</m:t>
              </m:r>
              <m:sSup>
                <m:sSupPr>
                  <m:ctrlPr>
                    <w:rPr>
                      <w:rFonts w:ascii="Cambria Math" w:hAnsi="Cambria Math" w:cs="Times New Roman"/>
                      <w:i/>
                      <w:iCs/>
                      <w:color w:val="000000" w:themeColor="text1"/>
                      <w:szCs w:val="24"/>
                    </w:rPr>
                  </m:ctrlPr>
                </m:sSupPr>
                <m:e>
                  <m:sSub>
                    <m:sSubPr>
                      <m:ctrlPr>
                        <w:rPr>
                          <w:rFonts w:ascii="Cambria Math" w:hAnsi="Cambria Math" w:cs="Times New Roman"/>
                          <w:i/>
                          <w:iCs/>
                          <w:color w:val="000000" w:themeColor="text1"/>
                          <w:szCs w:val="24"/>
                        </w:rPr>
                      </m:ctrlPr>
                    </m:sSubPr>
                    <m:e>
                      <m:r>
                        <w:rPr>
                          <w:rFonts w:ascii="Cambria Math" w:hAnsi="Cambria Math" w:cs="Times New Roman"/>
                          <w:szCs w:val="24"/>
                        </w:rPr>
                        <m:t>e</m:t>
                      </m:r>
                    </m:e>
                    <m:sub>
                      <m:r>
                        <w:rPr>
                          <w:rFonts w:ascii="Cambria Math" w:hAnsi="Cambria Math" w:cs="Times New Roman"/>
                          <w:szCs w:val="24"/>
                        </w:rPr>
                        <m:t>ij</m:t>
                      </m:r>
                    </m:sub>
                  </m:sSub>
                </m:e>
                <m:sup>
                  <m:r>
                    <w:rPr>
                      <w:rFonts w:ascii="Cambria Math" w:hAnsi="Cambria Math" w:cs="Times New Roman"/>
                      <w:szCs w:val="24"/>
                    </w:rPr>
                    <m:t>+</m:t>
                  </m:r>
                </m:sup>
              </m:sSup>
              <m:r>
                <w:rPr>
                  <w:rFonts w:ascii="Cambria Math" w:hAnsi="Cambria Math" w:cs="Times New Roman"/>
                  <w:szCs w:val="24"/>
                </w:rPr>
                <m:t>)</m:t>
              </m:r>
              <m:sSub>
                <m:sSubPr>
                  <m:ctrlPr>
                    <w:rPr>
                      <w:rFonts w:ascii="Cambria Math" w:hAnsi="Cambria Math" w:cs="Times New Roman"/>
                      <w:i/>
                      <w:iCs/>
                      <w:color w:val="000000" w:themeColor="text1"/>
                      <w:szCs w:val="24"/>
                    </w:rPr>
                  </m:ctrlPr>
                </m:sSubPr>
                <m:e>
                  <m:r>
                    <w:rPr>
                      <w:rFonts w:ascii="Cambria Math" w:hAnsi="Cambria Math" w:cs="Times New Roman"/>
                      <w:szCs w:val="24"/>
                    </w:rPr>
                    <m:t>δ</m:t>
                  </m:r>
                </m:e>
                <m:sub>
                  <m:sSub>
                    <m:sSubPr>
                      <m:ctrlPr>
                        <w:rPr>
                          <w:rFonts w:ascii="Cambria Math" w:hAnsi="Cambria Math" w:cs="Times New Roman"/>
                          <w:i/>
                          <w:iCs/>
                          <w:color w:val="000000" w:themeColor="text1"/>
                          <w:szCs w:val="24"/>
                        </w:rPr>
                      </m:ctrlPr>
                    </m:sSubPr>
                    <m:e>
                      <m:r>
                        <w:rPr>
                          <w:rFonts w:ascii="Cambria Math" w:hAnsi="Cambria Math" w:cs="Times New Roman"/>
                          <w:szCs w:val="24"/>
                        </w:rPr>
                        <m:t>M</m:t>
                      </m:r>
                    </m:e>
                    <m:sub>
                      <m:r>
                        <w:rPr>
                          <w:rFonts w:ascii="Cambria Math" w:hAnsi="Cambria Math" w:cs="Times New Roman"/>
                          <w:szCs w:val="24"/>
                        </w:rPr>
                        <m:t>i</m:t>
                      </m:r>
                    </m:sub>
                  </m:sSub>
                  <m:sSub>
                    <m:sSubPr>
                      <m:ctrlPr>
                        <w:rPr>
                          <w:rFonts w:ascii="Cambria Math" w:hAnsi="Cambria Math" w:cs="Times New Roman"/>
                          <w:i/>
                          <w:iCs/>
                          <w:color w:val="000000" w:themeColor="text1"/>
                          <w:szCs w:val="24"/>
                        </w:rPr>
                      </m:ctrlPr>
                    </m:sSubPr>
                    <m:e>
                      <m:r>
                        <w:rPr>
                          <w:rFonts w:ascii="Cambria Math" w:hAnsi="Cambria Math" w:cs="Times New Roman"/>
                          <w:szCs w:val="24"/>
                        </w:rPr>
                        <m:t>M</m:t>
                      </m:r>
                    </m:e>
                    <m:sub>
                      <m:r>
                        <w:rPr>
                          <w:rFonts w:ascii="Cambria Math" w:hAnsi="Cambria Math" w:cs="Times New Roman"/>
                          <w:szCs w:val="24"/>
                        </w:rPr>
                        <m:t>j</m:t>
                      </m:r>
                    </m:sub>
                  </m:sSub>
                  <m:r>
                    <w:rPr>
                      <w:rFonts w:ascii="Cambria Math" w:hAnsi="Cambria Math" w:cs="Times New Roman"/>
                      <w:szCs w:val="24"/>
                    </w:rPr>
                    <m:t xml:space="preserve"> </m:t>
                  </m:r>
                </m:sub>
              </m:sSub>
              <m:r>
                <w:rPr>
                  <w:rFonts w:ascii="Cambria Math" w:hAnsi="Cambria Math" w:cs="Times New Roman"/>
                  <w:szCs w:val="24"/>
                </w:rPr>
                <m:t xml:space="preserve">- </m:t>
              </m:r>
              <m:f>
                <m:fPr>
                  <m:ctrlPr>
                    <w:rPr>
                      <w:rFonts w:ascii="Cambria Math" w:hAnsi="Cambria Math" w:cs="Times New Roman"/>
                      <w:i/>
                      <w:iCs/>
                      <w:color w:val="000000" w:themeColor="text1"/>
                      <w:szCs w:val="24"/>
                    </w:rPr>
                  </m:ctrlPr>
                </m:fPr>
                <m:num>
                  <m:r>
                    <w:rPr>
                      <w:rFonts w:ascii="Cambria Math" w:hAnsi="Cambria Math" w:cs="Times New Roman"/>
                      <w:szCs w:val="24"/>
                    </w:rPr>
                    <m:t>1</m:t>
                  </m:r>
                </m:num>
                <m:den>
                  <m:sSup>
                    <m:sSupPr>
                      <m:ctrlPr>
                        <w:rPr>
                          <w:rFonts w:ascii="Cambria Math" w:hAnsi="Cambria Math" w:cs="Times New Roman"/>
                          <w:i/>
                          <w:iCs/>
                          <w:color w:val="000000" w:themeColor="text1"/>
                          <w:szCs w:val="24"/>
                        </w:rPr>
                      </m:ctrlPr>
                    </m:sSupPr>
                    <m:e>
                      <m:r>
                        <w:rPr>
                          <w:rFonts w:ascii="Cambria Math" w:hAnsi="Cambria Math" w:cs="Times New Roman"/>
                          <w:szCs w:val="24"/>
                        </w:rPr>
                        <m:t>v</m:t>
                      </m:r>
                    </m:e>
                    <m:sup>
                      <m:r>
                        <w:rPr>
                          <w:rFonts w:ascii="Cambria Math" w:hAnsi="Cambria Math" w:cs="Times New Roman"/>
                          <w:szCs w:val="24"/>
                        </w:rPr>
                        <m:t>+</m:t>
                      </m:r>
                    </m:sup>
                  </m:sSup>
                  <m:r>
                    <w:rPr>
                      <w:rFonts w:ascii="Cambria Math" w:hAnsi="Cambria Math" w:cs="Times New Roman"/>
                      <w:szCs w:val="24"/>
                    </w:rPr>
                    <m:t xml:space="preserve">+ </m:t>
                  </m:r>
                  <m:sSup>
                    <m:sSupPr>
                      <m:ctrlPr>
                        <w:rPr>
                          <w:rFonts w:ascii="Cambria Math" w:hAnsi="Cambria Math" w:cs="Times New Roman"/>
                          <w:i/>
                          <w:iCs/>
                          <w:color w:val="000000" w:themeColor="text1"/>
                          <w:szCs w:val="24"/>
                        </w:rPr>
                      </m:ctrlPr>
                    </m:sSupPr>
                    <m:e>
                      <m:r>
                        <w:rPr>
                          <w:rFonts w:ascii="Cambria Math" w:hAnsi="Cambria Math" w:cs="Times New Roman"/>
                          <w:szCs w:val="24"/>
                        </w:rPr>
                        <m:t>v</m:t>
                      </m:r>
                    </m:e>
                    <m:sup>
                      <m:r>
                        <w:rPr>
                          <w:rFonts w:ascii="Cambria Math" w:hAnsi="Cambria Math" w:cs="Times New Roman"/>
                          <w:szCs w:val="24"/>
                        </w:rPr>
                        <m:t>-</m:t>
                      </m:r>
                    </m:sup>
                  </m:sSup>
                </m:den>
              </m:f>
              <m:r>
                <w:rPr>
                  <w:rFonts w:ascii="Cambria Math" w:hAnsi="Cambria Math" w:cs="Times New Roman"/>
                  <w:szCs w:val="24"/>
                </w:rPr>
                <m:t>(</m:t>
              </m:r>
              <m:sSup>
                <m:sSupPr>
                  <m:ctrlPr>
                    <w:rPr>
                      <w:rFonts w:ascii="Cambria Math" w:hAnsi="Cambria Math" w:cs="Times New Roman"/>
                      <w:i/>
                      <w:iCs/>
                      <w:color w:val="000000" w:themeColor="text1"/>
                      <w:szCs w:val="24"/>
                    </w:rPr>
                  </m:ctrlPr>
                </m:sSupPr>
                <m:e>
                  <m:sSub>
                    <m:sSubPr>
                      <m:ctrlPr>
                        <w:rPr>
                          <w:rFonts w:ascii="Cambria Math" w:hAnsi="Cambria Math" w:cs="Times New Roman"/>
                          <w:i/>
                          <w:iCs/>
                          <w:color w:val="000000" w:themeColor="text1"/>
                          <w:szCs w:val="24"/>
                        </w:rPr>
                      </m:ctrlPr>
                    </m:sSubPr>
                    <m:e>
                      <m:r>
                        <w:rPr>
                          <w:rFonts w:ascii="Cambria Math" w:hAnsi="Cambria Math" w:cs="Times New Roman"/>
                          <w:szCs w:val="24"/>
                        </w:rPr>
                        <m:t>w</m:t>
                      </m:r>
                    </m:e>
                    <m:sub>
                      <m:r>
                        <w:rPr>
                          <w:rFonts w:ascii="Cambria Math" w:hAnsi="Cambria Math" w:cs="Times New Roman"/>
                          <w:szCs w:val="24"/>
                        </w:rPr>
                        <m:t>ij</m:t>
                      </m:r>
                    </m:sub>
                  </m:sSub>
                </m:e>
                <m:sup>
                  <m:r>
                    <w:rPr>
                      <w:rFonts w:ascii="Cambria Math" w:hAnsi="Cambria Math" w:cs="Times New Roman"/>
                      <w:szCs w:val="24"/>
                    </w:rPr>
                    <m:t>-</m:t>
                  </m:r>
                </m:sup>
              </m:sSup>
              <m:r>
                <w:rPr>
                  <w:rFonts w:ascii="Cambria Math" w:hAnsi="Cambria Math" w:cs="Times New Roman"/>
                  <w:szCs w:val="24"/>
                </w:rPr>
                <m:t>-</m:t>
              </m:r>
              <m:sSup>
                <m:sSupPr>
                  <m:ctrlPr>
                    <w:rPr>
                      <w:rFonts w:ascii="Cambria Math" w:hAnsi="Cambria Math" w:cs="Times New Roman"/>
                      <w:i/>
                      <w:iCs/>
                      <w:color w:val="000000" w:themeColor="text1"/>
                      <w:szCs w:val="24"/>
                    </w:rPr>
                  </m:ctrlPr>
                </m:sSupPr>
                <m:e>
                  <m:sSub>
                    <m:sSubPr>
                      <m:ctrlPr>
                        <w:rPr>
                          <w:rFonts w:ascii="Cambria Math" w:hAnsi="Cambria Math" w:cs="Times New Roman"/>
                          <w:i/>
                          <w:iCs/>
                          <w:color w:val="000000" w:themeColor="text1"/>
                          <w:szCs w:val="24"/>
                        </w:rPr>
                      </m:ctrlPr>
                    </m:sSubPr>
                    <m:e>
                      <m:r>
                        <w:rPr>
                          <w:rFonts w:ascii="Cambria Math" w:hAnsi="Cambria Math" w:cs="Times New Roman"/>
                          <w:szCs w:val="24"/>
                        </w:rPr>
                        <m:t>e</m:t>
                      </m:r>
                    </m:e>
                    <m:sub>
                      <m:r>
                        <w:rPr>
                          <w:rFonts w:ascii="Cambria Math" w:hAnsi="Cambria Math" w:cs="Times New Roman"/>
                          <w:szCs w:val="24"/>
                        </w:rPr>
                        <m:t>ij</m:t>
                      </m:r>
                    </m:sub>
                  </m:sSub>
                </m:e>
                <m:sup>
                  <m:r>
                    <w:rPr>
                      <w:rFonts w:ascii="Cambria Math" w:hAnsi="Cambria Math" w:cs="Times New Roman"/>
                      <w:szCs w:val="24"/>
                    </w:rPr>
                    <m:t>-</m:t>
                  </m:r>
                </m:sup>
              </m:sSup>
              <m:r>
                <w:rPr>
                  <w:rFonts w:ascii="Cambria Math" w:hAnsi="Cambria Math" w:cs="Times New Roman"/>
                  <w:szCs w:val="24"/>
                </w:rPr>
                <m:t>)</m:t>
              </m:r>
              <m:sSub>
                <m:sSubPr>
                  <m:ctrlPr>
                    <w:rPr>
                      <w:rFonts w:ascii="Cambria Math" w:hAnsi="Cambria Math" w:cs="Times New Roman"/>
                      <w:i/>
                      <w:iCs/>
                      <w:color w:val="000000" w:themeColor="text1"/>
                      <w:szCs w:val="24"/>
                    </w:rPr>
                  </m:ctrlPr>
                </m:sSubPr>
                <m:e>
                  <m:r>
                    <w:rPr>
                      <w:rFonts w:ascii="Cambria Math" w:hAnsi="Cambria Math" w:cs="Times New Roman"/>
                      <w:szCs w:val="24"/>
                    </w:rPr>
                    <m:t>δ</m:t>
                  </m:r>
                </m:e>
                <m:sub>
                  <m:sSub>
                    <m:sSubPr>
                      <m:ctrlPr>
                        <w:rPr>
                          <w:rFonts w:ascii="Cambria Math" w:hAnsi="Cambria Math" w:cs="Times New Roman"/>
                          <w:i/>
                          <w:iCs/>
                          <w:color w:val="000000" w:themeColor="text1"/>
                          <w:szCs w:val="24"/>
                        </w:rPr>
                      </m:ctrlPr>
                    </m:sSubPr>
                    <m:e>
                      <m:r>
                        <w:rPr>
                          <w:rFonts w:ascii="Cambria Math" w:hAnsi="Cambria Math" w:cs="Times New Roman"/>
                          <w:szCs w:val="24"/>
                        </w:rPr>
                        <m:t>M</m:t>
                      </m:r>
                    </m:e>
                    <m:sub>
                      <m:r>
                        <w:rPr>
                          <w:rFonts w:ascii="Cambria Math" w:hAnsi="Cambria Math" w:cs="Times New Roman"/>
                          <w:szCs w:val="24"/>
                        </w:rPr>
                        <m:t>i</m:t>
                      </m:r>
                    </m:sub>
                  </m:sSub>
                  <m:sSub>
                    <m:sSubPr>
                      <m:ctrlPr>
                        <w:rPr>
                          <w:rFonts w:ascii="Cambria Math" w:hAnsi="Cambria Math" w:cs="Times New Roman"/>
                          <w:i/>
                          <w:iCs/>
                          <w:color w:val="000000" w:themeColor="text1"/>
                          <w:szCs w:val="24"/>
                        </w:rPr>
                      </m:ctrlPr>
                    </m:sSubPr>
                    <m:e>
                      <m:r>
                        <w:rPr>
                          <w:rFonts w:ascii="Cambria Math" w:hAnsi="Cambria Math" w:cs="Times New Roman"/>
                          <w:szCs w:val="24"/>
                        </w:rPr>
                        <m:t>M</m:t>
                      </m:r>
                    </m:e>
                    <m:sub>
                      <m:r>
                        <w:rPr>
                          <w:rFonts w:ascii="Cambria Math" w:hAnsi="Cambria Math" w:cs="Times New Roman"/>
                          <w:szCs w:val="24"/>
                        </w:rPr>
                        <m:t>j</m:t>
                      </m:r>
                    </m:sub>
                  </m:sSub>
                  <m:r>
                    <w:rPr>
                      <w:rFonts w:ascii="Cambria Math" w:hAnsi="Cambria Math" w:cs="Times New Roman"/>
                      <w:szCs w:val="24"/>
                    </w:rPr>
                    <m:t xml:space="preserve"> </m:t>
                  </m:r>
                </m:sub>
              </m:sSub>
            </m:e>
          </m:nary>
        </m:oMath>
      </m:oMathPara>
    </w:p>
    <w:p w14:paraId="4003DAC3" w14:textId="77777777" w:rsidR="00FD7DA6" w:rsidRDefault="00FD7DA6" w:rsidP="00777A99">
      <w:pPr>
        <w:spacing w:after="0"/>
        <w:jc w:val="left"/>
        <w:rPr>
          <w:i/>
          <w:iCs/>
          <w:sz w:val="20"/>
          <w:szCs w:val="20"/>
        </w:rPr>
      </w:pPr>
      <w:r>
        <w:rPr>
          <w:i/>
          <w:iCs/>
          <w:sz w:val="20"/>
          <w:szCs w:val="20"/>
        </w:rPr>
        <w:t xml:space="preserve">Where: </w:t>
      </w:r>
    </w:p>
    <w:p w14:paraId="2ED25748" w14:textId="07A780C6" w:rsidR="0099689C" w:rsidRPr="00BC2801" w:rsidRDefault="0099689C" w:rsidP="00777A99">
      <w:pPr>
        <w:spacing w:after="0"/>
        <w:jc w:val="left"/>
        <w:rPr>
          <w:rFonts w:cstheme="minorHAnsi"/>
          <w:i/>
          <w:iCs/>
          <w:sz w:val="20"/>
          <w:szCs w:val="20"/>
        </w:rPr>
      </w:pPr>
      <w:r w:rsidRPr="00BC2801">
        <w:rPr>
          <w:i/>
          <w:iCs/>
          <w:sz w:val="20"/>
          <w:szCs w:val="20"/>
        </w:rPr>
        <w:t>Q</w:t>
      </w:r>
      <w:r w:rsidRPr="00BC2801">
        <w:rPr>
          <w:i/>
          <w:iCs/>
          <w:sz w:val="20"/>
          <w:szCs w:val="20"/>
          <w:vertAlign w:val="superscript"/>
        </w:rPr>
        <w:t>*</w:t>
      </w:r>
      <w:r w:rsidRPr="00BC2801">
        <w:rPr>
          <w:i/>
          <w:iCs/>
          <w:sz w:val="20"/>
          <w:szCs w:val="20"/>
        </w:rPr>
        <w:t>, Q</w:t>
      </w:r>
      <w:r w:rsidRPr="00BC2801">
        <w:rPr>
          <w:i/>
          <w:iCs/>
          <w:sz w:val="20"/>
          <w:szCs w:val="20"/>
          <w:vertAlign w:val="superscript"/>
        </w:rPr>
        <w:t>+</w:t>
      </w:r>
      <w:r w:rsidRPr="00BC2801">
        <w:rPr>
          <w:i/>
          <w:iCs/>
          <w:sz w:val="20"/>
          <w:szCs w:val="20"/>
        </w:rPr>
        <w:t>, Q</w:t>
      </w:r>
      <w:r w:rsidRPr="00BC2801">
        <w:rPr>
          <w:i/>
          <w:iCs/>
          <w:sz w:val="20"/>
          <w:szCs w:val="20"/>
          <w:vertAlign w:val="superscript"/>
        </w:rPr>
        <w:t>-</w:t>
      </w:r>
      <w:r w:rsidRPr="00BC2801">
        <w:rPr>
          <w:i/>
          <w:iCs/>
          <w:sz w:val="20"/>
          <w:szCs w:val="20"/>
        </w:rPr>
        <w:t xml:space="preserve">: Modularity values for asymmetric treatment of positive &amp; negative, positive, negative weighted networks accordingly. </w:t>
      </w:r>
      <w:r w:rsidRPr="00BC2801">
        <w:rPr>
          <w:i/>
          <w:iCs/>
          <w:sz w:val="20"/>
          <w:szCs w:val="20"/>
        </w:rPr>
        <w:br/>
      </w:r>
      <m:oMath>
        <m:sSub>
          <m:sSubPr>
            <m:ctrlPr>
              <w:rPr>
                <w:rFonts w:ascii="Cambria Math" w:hAnsi="Cambria Math" w:cs="Times New Roman"/>
                <w:i/>
                <w:iCs/>
                <w:color w:val="000000" w:themeColor="text1"/>
                <w:sz w:val="20"/>
                <w:szCs w:val="20"/>
              </w:rPr>
            </m:ctrlPr>
          </m:sSubPr>
          <m:e>
            <m:r>
              <w:rPr>
                <w:rFonts w:ascii="Cambria Math" w:hAnsi="Cambria Math" w:cs="Times New Roman"/>
                <w:sz w:val="20"/>
                <w:szCs w:val="20"/>
              </w:rPr>
              <m:t>δ</m:t>
            </m:r>
          </m:e>
          <m:sub>
            <m:sSub>
              <m:sSubPr>
                <m:ctrlPr>
                  <w:rPr>
                    <w:rFonts w:ascii="Cambria Math" w:hAnsi="Cambria Math" w:cs="Times New Roman"/>
                    <w:i/>
                    <w:iCs/>
                    <w:color w:val="000000" w:themeColor="text1"/>
                    <w:sz w:val="20"/>
                    <w:szCs w:val="20"/>
                  </w:rPr>
                </m:ctrlPr>
              </m:sSubPr>
              <m:e>
                <m:r>
                  <w:rPr>
                    <w:rFonts w:ascii="Cambria Math" w:hAnsi="Cambria Math" w:cs="Times New Roman"/>
                    <w:sz w:val="20"/>
                    <w:szCs w:val="20"/>
                  </w:rPr>
                  <m:t>M</m:t>
                </m:r>
              </m:e>
              <m:sub>
                <m:r>
                  <w:rPr>
                    <w:rFonts w:ascii="Cambria Math" w:hAnsi="Cambria Math" w:cs="Times New Roman"/>
                    <w:sz w:val="20"/>
                    <w:szCs w:val="20"/>
                  </w:rPr>
                  <m:t>i</m:t>
                </m:r>
              </m:sub>
            </m:sSub>
            <m:sSub>
              <m:sSubPr>
                <m:ctrlPr>
                  <w:rPr>
                    <w:rFonts w:ascii="Cambria Math" w:hAnsi="Cambria Math" w:cs="Times New Roman"/>
                    <w:i/>
                    <w:iCs/>
                    <w:color w:val="000000" w:themeColor="text1"/>
                    <w:sz w:val="20"/>
                    <w:szCs w:val="20"/>
                  </w:rPr>
                </m:ctrlPr>
              </m:sSubPr>
              <m:e>
                <m:r>
                  <w:rPr>
                    <w:rFonts w:ascii="Cambria Math" w:hAnsi="Cambria Math" w:cs="Times New Roman"/>
                    <w:sz w:val="20"/>
                    <w:szCs w:val="20"/>
                  </w:rPr>
                  <m:t>M</m:t>
                </m:r>
              </m:e>
              <m:sub>
                <m:r>
                  <w:rPr>
                    <w:rFonts w:ascii="Cambria Math" w:hAnsi="Cambria Math" w:cs="Times New Roman"/>
                    <w:sz w:val="20"/>
                    <w:szCs w:val="20"/>
                  </w:rPr>
                  <m:t>j</m:t>
                </m:r>
              </m:sub>
            </m:sSub>
            <m:r>
              <w:rPr>
                <w:rFonts w:ascii="Cambria Math" w:hAnsi="Cambria Math" w:cs="Times New Roman"/>
                <w:sz w:val="20"/>
                <w:szCs w:val="20"/>
              </w:rPr>
              <m:t xml:space="preserve"> </m:t>
            </m:r>
          </m:sub>
        </m:sSub>
      </m:oMath>
      <w:r w:rsidRPr="00BC2801">
        <w:rPr>
          <w:i/>
          <w:iCs/>
          <w:sz w:val="20"/>
          <w:szCs w:val="20"/>
        </w:rPr>
        <w:t xml:space="preserve">: 1 when I and j are in the same module or 0 otherwise. </w:t>
      </w:r>
      <w:r w:rsidRPr="00BC2801">
        <w:rPr>
          <w:i/>
          <w:iCs/>
          <w:sz w:val="20"/>
          <w:szCs w:val="20"/>
        </w:rPr>
        <w:br/>
        <w:t>e</w:t>
      </w:r>
      <w:r w:rsidRPr="00BC2801">
        <w:rPr>
          <w:i/>
          <w:iCs/>
          <w:sz w:val="20"/>
          <w:szCs w:val="20"/>
          <w:vertAlign w:val="subscript"/>
        </w:rPr>
        <w:t>ij</w:t>
      </w:r>
      <w:r w:rsidRPr="00BC2801">
        <w:rPr>
          <w:rFonts w:cstheme="minorHAnsi"/>
          <w:i/>
          <w:iCs/>
          <w:sz w:val="20"/>
          <w:szCs w:val="20"/>
          <w:vertAlign w:val="superscript"/>
        </w:rPr>
        <w:t>±</w:t>
      </w:r>
      <w:r w:rsidRPr="00BC2801">
        <w:rPr>
          <w:i/>
          <w:iCs/>
          <w:sz w:val="20"/>
          <w:szCs w:val="20"/>
        </w:rPr>
        <w:t>: The weight of an edge divided by the graphs total weight v</w:t>
      </w:r>
      <w:r w:rsidRPr="00BC2801">
        <w:rPr>
          <w:rFonts w:cstheme="minorHAnsi"/>
          <w:i/>
          <w:iCs/>
          <w:sz w:val="20"/>
          <w:szCs w:val="20"/>
          <w:vertAlign w:val="superscript"/>
        </w:rPr>
        <w:t>±</w:t>
      </w:r>
      <w:r w:rsidR="00BC2801" w:rsidRPr="00BC2801">
        <w:rPr>
          <w:rFonts w:cstheme="minorHAnsi"/>
          <w:i/>
          <w:iCs/>
          <w:sz w:val="20"/>
          <w:szCs w:val="20"/>
          <w:vertAlign w:val="superscript"/>
        </w:rPr>
        <w:t xml:space="preserve"> </w:t>
      </w:r>
      <w:r w:rsidR="00BC2801" w:rsidRPr="00BC2801">
        <w:rPr>
          <w:rFonts w:cstheme="minorHAnsi"/>
          <w:i/>
          <w:iCs/>
          <w:sz w:val="20"/>
          <w:szCs w:val="20"/>
        </w:rPr>
        <w:t xml:space="preserve">given by the following formula: </w:t>
      </w:r>
      <m:oMath>
        <m:sSubSup>
          <m:sSubSupPr>
            <m:ctrlPr>
              <w:rPr>
                <w:rFonts w:ascii="Cambria Math" w:hAnsi="Cambria Math"/>
                <w:i/>
                <w:iCs/>
                <w:color w:val="000000" w:themeColor="text1"/>
                <w:sz w:val="20"/>
                <w:szCs w:val="20"/>
              </w:rPr>
            </m:ctrlPr>
          </m:sSubSupPr>
          <m:e>
            <m:r>
              <w:rPr>
                <w:rFonts w:ascii="Cambria Math" w:hAnsi="Cambria Math"/>
                <w:sz w:val="20"/>
                <w:szCs w:val="20"/>
              </w:rPr>
              <m:t>e</m:t>
            </m:r>
          </m:e>
          <m:sub>
            <m:r>
              <w:rPr>
                <w:rFonts w:ascii="Cambria Math" w:hAnsi="Cambria Math"/>
                <w:sz w:val="20"/>
                <w:szCs w:val="20"/>
              </w:rPr>
              <m:t>ij</m:t>
            </m:r>
          </m:sub>
          <m:sup>
            <m:r>
              <w:rPr>
                <w:rFonts w:ascii="Cambria Math" w:hAnsi="Cambria Math"/>
                <w:sz w:val="20"/>
                <w:szCs w:val="20"/>
              </w:rPr>
              <m:t>±</m:t>
            </m:r>
          </m:sup>
        </m:sSubSup>
        <m:r>
          <w:rPr>
            <w:rFonts w:ascii="Cambria Math" w:hAnsi="Cambria Math"/>
            <w:sz w:val="20"/>
            <w:szCs w:val="20"/>
          </w:rPr>
          <m:t xml:space="preserve">= </m:t>
        </m:r>
        <m:f>
          <m:fPr>
            <m:ctrlPr>
              <w:rPr>
                <w:rFonts w:ascii="Cambria Math" w:hAnsi="Cambria Math"/>
                <w:i/>
                <w:iCs/>
                <w:color w:val="000000" w:themeColor="text1"/>
                <w:sz w:val="20"/>
                <w:szCs w:val="20"/>
              </w:rPr>
            </m:ctrlPr>
          </m:fPr>
          <m:num>
            <m:sSubSup>
              <m:sSubSupPr>
                <m:ctrlPr>
                  <w:rPr>
                    <w:rFonts w:ascii="Cambria Math" w:hAnsi="Cambria Math"/>
                    <w:i/>
                    <w:iCs/>
                    <w:color w:val="000000" w:themeColor="text1"/>
                    <w:sz w:val="20"/>
                    <w:szCs w:val="20"/>
                  </w:rPr>
                </m:ctrlPr>
              </m:sSubSupPr>
              <m:e>
                <m:r>
                  <w:rPr>
                    <w:rFonts w:ascii="Cambria Math" w:hAnsi="Cambria Math"/>
                    <w:sz w:val="20"/>
                    <w:szCs w:val="20"/>
                  </w:rPr>
                  <m:t>k</m:t>
                </m:r>
              </m:e>
              <m:sub>
                <m:r>
                  <w:rPr>
                    <w:rFonts w:ascii="Cambria Math" w:hAnsi="Cambria Math"/>
                    <w:sz w:val="20"/>
                    <w:szCs w:val="20"/>
                  </w:rPr>
                  <m:t>i</m:t>
                </m:r>
              </m:sub>
              <m:sup>
                <m:r>
                  <w:rPr>
                    <w:rFonts w:ascii="Cambria Math" w:hAnsi="Cambria Math"/>
                    <w:sz w:val="20"/>
                    <w:szCs w:val="20"/>
                  </w:rPr>
                  <m:t>±</m:t>
                </m:r>
              </m:sup>
            </m:sSubSup>
            <m:sSubSup>
              <m:sSubSupPr>
                <m:ctrlPr>
                  <w:rPr>
                    <w:rFonts w:ascii="Cambria Math" w:hAnsi="Cambria Math"/>
                    <w:i/>
                    <w:iCs/>
                    <w:color w:val="000000" w:themeColor="text1"/>
                    <w:sz w:val="20"/>
                    <w:szCs w:val="20"/>
                  </w:rPr>
                </m:ctrlPr>
              </m:sSubSupPr>
              <m:e>
                <m:r>
                  <w:rPr>
                    <w:rFonts w:ascii="Cambria Math" w:hAnsi="Cambria Math"/>
                    <w:sz w:val="20"/>
                    <w:szCs w:val="20"/>
                  </w:rPr>
                  <m:t>k</m:t>
                </m:r>
              </m:e>
              <m:sub>
                <m:r>
                  <w:rPr>
                    <w:rFonts w:ascii="Cambria Math" w:hAnsi="Cambria Math"/>
                    <w:sz w:val="20"/>
                    <w:szCs w:val="20"/>
                  </w:rPr>
                  <m:t>j</m:t>
                </m:r>
              </m:sub>
              <m:sup>
                <m:r>
                  <w:rPr>
                    <w:rFonts w:ascii="Cambria Math" w:hAnsi="Cambria Math"/>
                    <w:sz w:val="20"/>
                    <w:szCs w:val="20"/>
                  </w:rPr>
                  <m:t>±</m:t>
                </m:r>
              </m:sup>
            </m:sSubSup>
          </m:num>
          <m:den>
            <m:sSup>
              <m:sSupPr>
                <m:ctrlPr>
                  <w:rPr>
                    <w:rFonts w:ascii="Cambria Math" w:hAnsi="Cambria Math" w:cs="Times New Roman"/>
                    <w:i/>
                    <w:iCs/>
                    <w:color w:val="000000" w:themeColor="text1"/>
                    <w:sz w:val="20"/>
                    <w:szCs w:val="20"/>
                  </w:rPr>
                </m:ctrlPr>
              </m:sSupPr>
              <m:e>
                <m:r>
                  <w:rPr>
                    <w:rFonts w:ascii="Cambria Math" w:hAnsi="Cambria Math" w:cs="Times New Roman"/>
                    <w:sz w:val="20"/>
                    <w:szCs w:val="20"/>
                  </w:rPr>
                  <m:t>v</m:t>
                </m:r>
              </m:e>
              <m:sup>
                <m:r>
                  <w:rPr>
                    <w:rFonts w:ascii="Cambria Math" w:hAnsi="Cambria Math"/>
                    <w:sz w:val="20"/>
                    <w:szCs w:val="20"/>
                  </w:rPr>
                  <m:t>±</m:t>
                </m:r>
              </m:sup>
            </m:sSup>
          </m:den>
        </m:f>
      </m:oMath>
    </w:p>
    <w:p w14:paraId="689D59F5" w14:textId="77777777" w:rsidR="00BC2801" w:rsidRPr="00BC2801" w:rsidRDefault="00BC2801" w:rsidP="00777A99">
      <w:pPr>
        <w:rPr>
          <w:iCs/>
          <w:szCs w:val="24"/>
        </w:rPr>
      </w:pPr>
    </w:p>
    <w:p w14:paraId="6B87AC5E" w14:textId="2F7D5087" w:rsidR="0099689C" w:rsidRPr="00C025DA" w:rsidRDefault="0099689C" w:rsidP="00C025DA">
      <w:pPr>
        <w:spacing w:line="360" w:lineRule="auto"/>
        <w:rPr>
          <w:rFonts w:cs="Times New Roman"/>
        </w:rPr>
      </w:pPr>
      <w:r w:rsidRPr="00C025DA">
        <w:rPr>
          <w:rFonts w:cs="Times New Roman"/>
        </w:rPr>
        <w:t>Although many implementations make claims of reproducibility, in practice, a significant amount of stochasticity seems to exist in the results, demanding additional steps to ensure stability. A much needed step towards this direction is proposed by Rubinov, co-creator of the Brain Connectivity Toolbox (BCT), which includes the implementation of Louvain’s algorithm</w:t>
      </w:r>
      <w:r w:rsidR="00A138E7" w:rsidRPr="00C025DA">
        <w:rPr>
          <w:rFonts w:cs="Times New Roman"/>
        </w:rPr>
        <w:t xml:space="preserve"> </w:t>
      </w:r>
      <w:r w:rsidRPr="00C025DA">
        <w:rPr>
          <w:rFonts w:cs="Times New Roman"/>
        </w:rPr>
        <w:fldChar w:fldCharType="begin" w:fldLock="1"/>
      </w:r>
      <w:r w:rsidR="00EA2DE3">
        <w:rPr>
          <w:rFonts w:cs="Times New Roman"/>
        </w:rPr>
        <w:instrText>ADDIN CSL_CITATION {"citationItems":[{"id":"ITEM-1","itemData":{"DOI":"10.1016/j.neuroimage.2011.03.069","ISSN":"10538119","PMID":"21459148","abstract":"Complex functional brain networks are large networks of brain regions and functional brain connections. Statistical characterizations of these networks aim to quantify global and local properties of brain activity with a small number of network measures. Important functional network measures include measures of modularity (measures of the goodness with which a network is optimally partitioned into functional subgroups) and measures of centrality (measures of the functional influence of individual brain regions). Characterizations of functional networks are increasing in popularity, but are associated with several important methodological problems. These problems include the inability to characterize densely connected and weighted functional networks, the neglect of degenerate topologically distinct high-modularity partitions of these networks, and the absence of a network null model for testing hypotheses of association between observed nontrivial network properties and simple weighted connectivity properties. In this study we describe a set of methods to overcome these problems. Specifically, we generalize measures of modularity and centrality to fully connected and weighted complex networks, describe the detection of degenerate high-modularity partitions of these networks, and introduce a weighted-connectivity null model of these networks. We illustrate our methods by demonstrating degenerate high-modularity partitions and strong correlations between two complementary measures of centrality in resting-state functional magnetic resonance imaging (MRI) networks from the 1000 Functional Connectomes Project, an open-access repository of resting-state functional MRI datasets. Our methods may allow more sound and reliable characterizations and comparisons of functional brain networks across conditions and subjects. © 2011 Elsevier Inc.","author":[{"dropping-particle":"","family":"Rubinov","given":"Mikail","non-dropping-particle":"","parse-names":false,"suffix":""},{"dropping-particle":"","family":"Sporns","given":"Olaf","non-dropping-particle":"","parse-names":false,"suffix":""}],"container-title":"NeuroImage","id":"ITEM-1","issue":"4","issued":{"date-parts":[["2011"]]},"page":"2068-2079","title":"Weight-conserving characterization of complex functional brain networks","type":"article-journal","volume":"56"},"uris":["http://www.mendeley.com/documents/?uuid=ff921870-319c-4bb9-b6ed-520ae4aea8a0"]}],"mendeley":{"formattedCitation":"(Rubinov and Sporns 2011)","plainTextFormattedCitation":"(Rubinov and Sporns 2011)","previouslyFormattedCitation":"[8]"},"properties":{"noteIndex":0},"schema":"https://github.com/citation-style-language/schema/raw/master/csl-citation.json"}</w:instrText>
      </w:r>
      <w:r w:rsidRPr="00C025DA">
        <w:rPr>
          <w:rFonts w:cs="Times New Roman"/>
        </w:rPr>
        <w:fldChar w:fldCharType="separate"/>
      </w:r>
      <w:r w:rsidR="00EA2DE3" w:rsidRPr="00EA2DE3">
        <w:rPr>
          <w:rFonts w:cs="Times New Roman"/>
          <w:noProof/>
        </w:rPr>
        <w:t>(Rubinov and Sporns 2011)</w:t>
      </w:r>
      <w:r w:rsidRPr="00C025DA">
        <w:rPr>
          <w:rFonts w:cs="Times New Roman"/>
        </w:rPr>
        <w:fldChar w:fldCharType="end"/>
      </w:r>
      <w:r w:rsidR="00A138E7" w:rsidRPr="00C025DA">
        <w:rPr>
          <w:rFonts w:cs="Times New Roman"/>
        </w:rPr>
        <w:t>.</w:t>
      </w:r>
      <w:r w:rsidRPr="00C025DA">
        <w:rPr>
          <w:rFonts w:cs="Times New Roman"/>
        </w:rPr>
        <w:t xml:space="preserve"> This entails continuously calculating new module partitions while the modularity increases, stopping only when the change in modularity is minuscule (e.g., less than 0.00001). </w:t>
      </w:r>
      <w:r w:rsidR="00BC2801" w:rsidRPr="00C025DA">
        <w:rPr>
          <w:rFonts w:cs="Times New Roman"/>
        </w:rPr>
        <w:t>S</w:t>
      </w:r>
      <w:r w:rsidRPr="00C025DA">
        <w:rPr>
          <w:rFonts w:cs="Times New Roman"/>
        </w:rPr>
        <w:t>imilar iteration procedure</w:t>
      </w:r>
      <w:r w:rsidR="000C6383" w:rsidRPr="00C025DA">
        <w:rPr>
          <w:rFonts w:cs="Times New Roman"/>
        </w:rPr>
        <w:t>s</w:t>
      </w:r>
      <w:r w:rsidRPr="00C025DA">
        <w:rPr>
          <w:rFonts w:cs="Times New Roman"/>
        </w:rPr>
        <w:t xml:space="preserve"> </w:t>
      </w:r>
      <w:r w:rsidR="000C6383" w:rsidRPr="00C025DA">
        <w:rPr>
          <w:rFonts w:cs="Times New Roman"/>
        </w:rPr>
        <w:t>have been</w:t>
      </w:r>
      <w:r w:rsidRPr="00C025DA">
        <w:rPr>
          <w:rFonts w:cs="Times New Roman"/>
        </w:rPr>
        <w:t xml:space="preserve"> proposed, repeating the module assignments 500 times and retaining the consensus assignment</w:t>
      </w:r>
      <w:r w:rsidR="00A138E7" w:rsidRPr="00C025DA">
        <w:rPr>
          <w:rFonts w:cs="Times New Roman"/>
        </w:rPr>
        <w:t xml:space="preserve"> </w:t>
      </w:r>
      <w:r w:rsidR="000C6383" w:rsidRPr="00C025DA">
        <w:rPr>
          <w:rFonts w:cs="Times New Roman"/>
        </w:rPr>
        <w:fldChar w:fldCharType="begin" w:fldLock="1"/>
      </w:r>
      <w:r w:rsidR="00EA2DE3">
        <w:rPr>
          <w:rFonts w:cs="Times New Roman"/>
        </w:rPr>
        <w:instrText>ADDIN CSL_CITATION {"citationItems":[{"id":"ITEM-1","itemData":{"DOI":"10.1016/j.neuron.2016.09.018","ISSN":"10974199","PMID":"27693256","abstract":"Higher brain function relies upon the ability to flexibly integrate information across specialized communities of brain regions; however, it is unclear how this mechanism manifests over time. In this study, we used time-resolved network analysis of fMRI data to demonstrate that the human brain traverses between functional states that maximize either segregation into tight-knit communities or integration across otherwise disparate neural regions. Integrated states enable faster and more accurate performance on a cognitive task, and are associated with dilations in pupil diameter, suggesting that ascending neuromodulatory systems may govern the transition between these alternative modes of brain function. Together, our results confirm a direct link between cognitive performance and the dynamic reorganization of the network structure of the brain.","author":[{"dropping-particle":"","family":"Shine","given":"James M.","non-dropping-particle":"","parse-names":false,"suffix":""},{"dropping-particle":"","family":"Bissett","given":"Patrick G.","non-dropping-particle":"","parse-names":false,"suffix":""},{"dropping-particle":"","family":"Bell","given":"Peter T.","non-dropping-particle":"","parse-names":false,"suffix":""},{"dropping-particle":"","family":"Koyejo","given":"Oluwasanmi","non-dropping-particle":"","parse-names":false,"suffix":""},{"dropping-particle":"","family":"Balsters","given":"Joshua H.","non-dropping-particle":"","parse-names":false,"suffix":""},{"dropping-particle":"","family":"Gorgolewski","given":"Krzysztof J.","non-dropping-particle":"","parse-names":false,"suffix":""},{"dropping-particle":"","family":"Moodie","given":"Craig A.","non-dropping-particle":"","parse-names":false,"suffix":""},{"dropping-particle":"","family":"Poldrack","given":"Russell A.","non-dropping-particle":"","parse-names":false,"suffix":""}],"container-title":"Neuron","id":"ITEM-1","issue":"2","issued":{"date-parts":[["2016"]]},"page":"544-554","publisher":"Elsevier Inc.","title":"The Dynamics of Functional Brain Networks: Integrated Network States during Cognitive Task Performance","type":"article-journal","volume":"92"},"uris":["http://www.mendeley.com/documents/?uuid=6fb0aeb4-a07c-48cb-8ef3-adeb9b7a47c5"]}],"mendeley":{"formattedCitation":"(Shine et al. 2016)","plainTextFormattedCitation":"(Shine et al. 2016)","previouslyFormattedCitation":"[9]"},"properties":{"noteIndex":0},"schema":"https://github.com/citation-style-language/schema/raw/master/csl-citation.json"}</w:instrText>
      </w:r>
      <w:r w:rsidR="000C6383" w:rsidRPr="00C025DA">
        <w:rPr>
          <w:rFonts w:cs="Times New Roman"/>
        </w:rPr>
        <w:fldChar w:fldCharType="separate"/>
      </w:r>
      <w:r w:rsidR="00EA2DE3" w:rsidRPr="00EA2DE3">
        <w:rPr>
          <w:rFonts w:cs="Times New Roman"/>
          <w:noProof/>
        </w:rPr>
        <w:t>(Shine et al. 2016)</w:t>
      </w:r>
      <w:r w:rsidR="000C6383" w:rsidRPr="00C025DA">
        <w:rPr>
          <w:rFonts w:cs="Times New Roman"/>
        </w:rPr>
        <w:fldChar w:fldCharType="end"/>
      </w:r>
      <w:r w:rsidR="00A138E7" w:rsidRPr="00C025DA">
        <w:rPr>
          <w:rFonts w:cs="Times New Roman"/>
        </w:rPr>
        <w:t>.</w:t>
      </w:r>
      <w:r w:rsidRPr="00C025DA">
        <w:rPr>
          <w:rFonts w:cs="Times New Roman"/>
        </w:rPr>
        <w:t xml:space="preserve"> A combination of both was implemented in the current study, externally iterated 100 times and internally until the modularity no longer increases. Externally, the assignment with maximized modularity </w:t>
      </w:r>
      <w:r w:rsidR="00BC2801" w:rsidRPr="00C025DA">
        <w:rPr>
          <w:rFonts w:cs="Times New Roman"/>
        </w:rPr>
        <w:t>wa</w:t>
      </w:r>
      <w:r w:rsidRPr="00C025DA">
        <w:rPr>
          <w:rFonts w:cs="Times New Roman"/>
        </w:rPr>
        <w:t xml:space="preserve">s selected as the optimal partition. This simply ensures that the assignments are repeated at least one hundred times and the most modular selected, somewhat balancing the substantial stochasticity observed in consecutive runs. </w:t>
      </w:r>
    </w:p>
    <w:p w14:paraId="4EEC7A73" w14:textId="09F980E3" w:rsidR="0099689C" w:rsidRPr="00C025DA" w:rsidRDefault="0099689C" w:rsidP="00C025DA">
      <w:pPr>
        <w:tabs>
          <w:tab w:val="left" w:pos="1507"/>
        </w:tabs>
        <w:spacing w:line="360" w:lineRule="auto"/>
        <w:rPr>
          <w:rFonts w:cs="Times New Roman"/>
        </w:rPr>
      </w:pPr>
      <w:r w:rsidRPr="00C025DA">
        <w:rPr>
          <w:rFonts w:cs="Times New Roman"/>
        </w:rPr>
        <w:t>A</w:t>
      </w:r>
      <w:r w:rsidR="00D11A42" w:rsidRPr="00C025DA">
        <w:rPr>
          <w:rFonts w:cs="Times New Roman"/>
        </w:rPr>
        <w:t>nother</w:t>
      </w:r>
      <w:r w:rsidRPr="00C025DA">
        <w:rPr>
          <w:rFonts w:cs="Times New Roman"/>
        </w:rPr>
        <w:t xml:space="preserve"> potential source of inconsistencies in the results </w:t>
      </w:r>
      <w:r w:rsidR="00D11A42" w:rsidRPr="00C025DA">
        <w:rPr>
          <w:rFonts w:cs="Times New Roman"/>
        </w:rPr>
        <w:t>can be due to</w:t>
      </w:r>
      <w:r w:rsidRPr="00C025DA">
        <w:rPr>
          <w:rFonts w:cs="Times New Roman"/>
        </w:rPr>
        <w:t xml:space="preserve"> </w:t>
      </w:r>
      <w:r w:rsidR="00D11A42" w:rsidRPr="00C025DA">
        <w:rPr>
          <w:rFonts w:cs="Times New Roman"/>
        </w:rPr>
        <w:t>the</w:t>
      </w:r>
      <w:r w:rsidRPr="00C025DA">
        <w:rPr>
          <w:rFonts w:cs="Times New Roman"/>
        </w:rPr>
        <w:t xml:space="preserve"> so called “degenerate” partitions: partitions with similar (high) values of modularity, which may seem </w:t>
      </w:r>
      <w:r w:rsidRPr="00C025DA">
        <w:rPr>
          <w:rFonts w:cs="Times New Roman"/>
        </w:rPr>
        <w:lastRenderedPageBreak/>
        <w:t>to “alternate” in appearance during calculation</w:t>
      </w:r>
      <w:r w:rsidR="00A138E7" w:rsidRPr="00C025DA">
        <w:rPr>
          <w:rFonts w:cs="Times New Roman"/>
        </w:rPr>
        <w:t xml:space="preserve"> </w:t>
      </w:r>
      <w:r w:rsidR="00D11A42" w:rsidRPr="00C025DA">
        <w:rPr>
          <w:rFonts w:cs="Times New Roman"/>
        </w:rPr>
        <w:fldChar w:fldCharType="begin" w:fldLock="1"/>
      </w:r>
      <w:r w:rsidR="00EA2DE3">
        <w:rPr>
          <w:rFonts w:cs="Times New Roman"/>
        </w:rPr>
        <w:instrText>ADDIN CSL_CITATION {"citationItems":[{"id":"ITEM-1","itemData":{"DOI":"10.1016/j.neuroimage.2011.03.069","ISSN":"10538119","PMID":"21459148","abstract":"Complex functional brain networks are large networks of brain regions and functional brain connections. Statistical characterizations of these networks aim to quantify global and local properties of brain activity with a small number of network measures. Important functional network measures include measures of modularity (measures of the goodness with which a network is optimally partitioned into functional subgroups) and measures of centrality (measures of the functional influence of individual brain regions). Characterizations of functional networks are increasing in popularity, but are associated with several important methodological problems. These problems include the inability to characterize densely connected and weighted functional networks, the neglect of degenerate topologically distinct high-modularity partitions of these networks, and the absence of a network null model for testing hypotheses of association between observed nontrivial network properties and simple weighted connectivity properties. In this study we describe a set of methods to overcome these problems. Specifically, we generalize measures of modularity and centrality to fully connected and weighted complex networks, describe the detection of degenerate high-modularity partitions of these networks, and introduce a weighted-connectivity null model of these networks. We illustrate our methods by demonstrating degenerate high-modularity partitions and strong correlations between two complementary measures of centrality in resting-state functional magnetic resonance imaging (MRI) networks from the 1000 Functional Connectomes Project, an open-access repository of resting-state functional MRI datasets. Our methods may allow more sound and reliable characterizations and comparisons of functional brain networks across conditions and subjects. © 2011 Elsevier Inc.","author":[{"dropping-particle":"","family":"Rubinov","given":"Mikail","non-dropping-particle":"","parse-names":false,"suffix":""},{"dropping-particle":"","family":"Sporns","given":"Olaf","non-dropping-particle":"","parse-names":false,"suffix":""}],"container-title":"NeuroImage","id":"ITEM-1","issue":"4","issued":{"date-parts":[["2011"]]},"page":"2068-2079","title":"Weight-conserving characterization of complex functional brain networks","type":"article-journal","volume":"56"},"uris":["http://www.mendeley.com/documents/?uuid=ff921870-319c-4bb9-b6ed-520ae4aea8a0"]}],"mendeley":{"formattedCitation":"(Rubinov and Sporns 2011)","plainTextFormattedCitation":"(Rubinov and Sporns 2011)","previouslyFormattedCitation":"[8]"},"properties":{"noteIndex":0},"schema":"https://github.com/citation-style-language/schema/raw/master/csl-citation.json"}</w:instrText>
      </w:r>
      <w:r w:rsidR="00D11A42" w:rsidRPr="00C025DA">
        <w:rPr>
          <w:rFonts w:cs="Times New Roman"/>
        </w:rPr>
        <w:fldChar w:fldCharType="separate"/>
      </w:r>
      <w:r w:rsidR="00EA2DE3" w:rsidRPr="00EA2DE3">
        <w:rPr>
          <w:rFonts w:cs="Times New Roman"/>
          <w:noProof/>
        </w:rPr>
        <w:t>(Rubinov and Sporns 2011)</w:t>
      </w:r>
      <w:r w:rsidR="00D11A42" w:rsidRPr="00C025DA">
        <w:rPr>
          <w:rFonts w:cs="Times New Roman"/>
        </w:rPr>
        <w:fldChar w:fldCharType="end"/>
      </w:r>
      <w:r w:rsidR="00A138E7" w:rsidRPr="00C025DA">
        <w:rPr>
          <w:rFonts w:cs="Times New Roman"/>
        </w:rPr>
        <w:t>.</w:t>
      </w:r>
      <w:r w:rsidRPr="00C025DA">
        <w:rPr>
          <w:rFonts w:cs="Times New Roman"/>
        </w:rPr>
        <w:t xml:space="preserve"> An argument is made that in some cases degeneracy may be able to provide insightful results when multiple partitions are studied. This optional analytic step was not possible in the present study as it was not compatible with other parts of analysis. </w:t>
      </w:r>
    </w:p>
    <w:p w14:paraId="7F07F46A" w14:textId="4CA9756C" w:rsidR="0099689C" w:rsidRDefault="0099689C" w:rsidP="00777A99">
      <w:pPr>
        <w:pStyle w:val="Heading3"/>
      </w:pPr>
      <w:r>
        <w:t>Participation Coefficient</w:t>
      </w:r>
    </w:p>
    <w:p w14:paraId="642DA18A" w14:textId="3DC4EFFA" w:rsidR="0099689C" w:rsidRPr="00C025DA" w:rsidRDefault="0099689C" w:rsidP="00C025DA">
      <w:pPr>
        <w:spacing w:line="360" w:lineRule="auto"/>
        <w:rPr>
          <w:rFonts w:cs="Times New Roman"/>
        </w:rPr>
      </w:pPr>
      <w:r w:rsidRPr="00C025DA">
        <w:rPr>
          <w:rFonts w:cs="Times New Roman"/>
        </w:rPr>
        <w:t>The Participation Coefficient (PC) aims at measuring a node’s intermodular connections. In this manner, it reveals whether a particular node acts as a connector hub mediating global integration</w:t>
      </w:r>
      <w:r w:rsidR="00BC2801" w:rsidRPr="00C025DA">
        <w:rPr>
          <w:rFonts w:cs="Times New Roman"/>
        </w:rPr>
        <w:t xml:space="preserve"> as illustrated in Supplementary Figure </w:t>
      </w:r>
      <w:r w:rsidR="007B2F6E" w:rsidRPr="00C025DA">
        <w:rPr>
          <w:rFonts w:cs="Times New Roman"/>
        </w:rPr>
        <w:t>2</w:t>
      </w:r>
      <w:r w:rsidRPr="00C025DA">
        <w:rPr>
          <w:rFonts w:cs="Times New Roman"/>
        </w:rPr>
        <w:t xml:space="preserve">. The colored, intermodular edges are the main point under study by the PC. Its calculation includes the ratio of degree values towards other modules by that of connections towards all nodes. </w:t>
      </w:r>
    </w:p>
    <w:p w14:paraId="68064B86" w14:textId="53FE062C" w:rsidR="0099689C" w:rsidRDefault="00EA2DE3" w:rsidP="00777A99">
      <m:oMathPara>
        <m:oMath>
          <m:sSub>
            <m:sSubPr>
              <m:ctrlPr>
                <w:rPr>
                  <w:rFonts w:ascii="Cambria Math" w:hAnsi="Cambria Math"/>
                  <w:i/>
                  <w:color w:val="000000" w:themeColor="text1"/>
                </w:rPr>
              </m:ctrlPr>
            </m:sSubPr>
            <m:e>
              <m:r>
                <w:rPr>
                  <w:rFonts w:ascii="Cambria Math" w:hAnsi="Cambria Math"/>
                </w:rPr>
                <m:t>PC</m:t>
              </m:r>
            </m:e>
            <m:sub>
              <m:r>
                <w:rPr>
                  <w:rFonts w:ascii="Cambria Math" w:hAnsi="Cambria Math"/>
                </w:rPr>
                <m:t>i</m:t>
              </m:r>
            </m:sub>
          </m:sSub>
          <m:r>
            <w:rPr>
              <w:rFonts w:ascii="Cambria Math" w:hAnsi="Cambria Math"/>
            </w:rPr>
            <m:t>=1-</m:t>
          </m:r>
          <m:nary>
            <m:naryPr>
              <m:chr m:val="∑"/>
              <m:limLoc m:val="undOvr"/>
              <m:supHide m:val="1"/>
              <m:ctrlPr>
                <w:rPr>
                  <w:rFonts w:ascii="Cambria Math" w:hAnsi="Cambria Math"/>
                  <w:i/>
                  <w:color w:val="000000" w:themeColor="text1"/>
                </w:rPr>
              </m:ctrlPr>
            </m:naryPr>
            <m:sub>
              <m:r>
                <w:rPr>
                  <w:rFonts w:ascii="Cambria Math" w:hAnsi="Cambria Math"/>
                </w:rPr>
                <m:t>m</m:t>
              </m:r>
              <m:r>
                <w:rPr>
                  <w:rFonts w:ascii="Cambria Math" w:hAnsi="Cambria Math" w:cs="Times New Roman"/>
                  <w:szCs w:val="24"/>
                </w:rPr>
                <m:t>∈M</m:t>
              </m:r>
            </m:sub>
            <m:sup/>
            <m:e>
              <m:sSup>
                <m:sSupPr>
                  <m:ctrlPr>
                    <w:rPr>
                      <w:rFonts w:ascii="Cambria Math" w:hAnsi="Cambria Math"/>
                      <w:i/>
                      <w:color w:val="000000" w:themeColor="text1"/>
                    </w:rPr>
                  </m:ctrlPr>
                </m:sSupPr>
                <m:e>
                  <m:d>
                    <m:dPr>
                      <m:ctrlPr>
                        <w:rPr>
                          <w:rFonts w:ascii="Cambria Math" w:hAnsi="Cambria Math"/>
                          <w:i/>
                          <w:color w:val="000000" w:themeColor="text1"/>
                        </w:rPr>
                      </m:ctrlPr>
                    </m:dPr>
                    <m:e>
                      <m:f>
                        <m:fPr>
                          <m:ctrlPr>
                            <w:rPr>
                              <w:rFonts w:ascii="Cambria Math" w:hAnsi="Cambria Math"/>
                              <w:i/>
                              <w:color w:val="000000" w:themeColor="text1"/>
                            </w:rPr>
                          </m:ctrlPr>
                        </m:fPr>
                        <m:num>
                          <m:sSubSup>
                            <m:sSubSupPr>
                              <m:ctrlPr>
                                <w:rPr>
                                  <w:rFonts w:ascii="Cambria Math" w:hAnsi="Cambria Math"/>
                                  <w:i/>
                                  <w:color w:val="000000" w:themeColor="text1"/>
                                </w:rPr>
                              </m:ctrlPr>
                            </m:sSubSupPr>
                            <m:e>
                              <m:r>
                                <w:rPr>
                                  <w:rFonts w:ascii="Cambria Math" w:hAnsi="Cambria Math"/>
                                </w:rPr>
                                <m:t>k</m:t>
                              </m:r>
                            </m:e>
                            <m:sub>
                              <m:r>
                                <w:rPr>
                                  <w:rFonts w:ascii="Cambria Math" w:hAnsi="Cambria Math"/>
                                </w:rPr>
                                <m:t>i</m:t>
                              </m:r>
                            </m:sub>
                            <m:sup>
                              <m:r>
                                <w:rPr>
                                  <w:rFonts w:ascii="Cambria Math" w:hAnsi="Cambria Math"/>
                                </w:rPr>
                                <m:t>w</m:t>
                              </m:r>
                            </m:sup>
                          </m:sSubSup>
                          <m:r>
                            <w:rPr>
                              <w:rFonts w:ascii="Cambria Math" w:hAnsi="Cambria Math"/>
                            </w:rPr>
                            <m:t>(m)</m:t>
                          </m:r>
                        </m:num>
                        <m:den>
                          <m:sSubSup>
                            <m:sSubSupPr>
                              <m:ctrlPr>
                                <w:rPr>
                                  <w:rFonts w:ascii="Cambria Math" w:hAnsi="Cambria Math"/>
                                  <w:i/>
                                  <w:color w:val="000000" w:themeColor="text1"/>
                                </w:rPr>
                              </m:ctrlPr>
                            </m:sSubSupPr>
                            <m:e>
                              <m:r>
                                <w:rPr>
                                  <w:rFonts w:ascii="Cambria Math" w:hAnsi="Cambria Math"/>
                                </w:rPr>
                                <m:t>k</m:t>
                              </m:r>
                            </m:e>
                            <m:sub>
                              <m:r>
                                <w:rPr>
                                  <w:rFonts w:ascii="Cambria Math" w:hAnsi="Cambria Math"/>
                                </w:rPr>
                                <m:t>i</m:t>
                              </m:r>
                            </m:sub>
                            <m:sup>
                              <m:r>
                                <w:rPr>
                                  <w:rFonts w:ascii="Cambria Math" w:hAnsi="Cambria Math"/>
                                </w:rPr>
                                <m:t>w</m:t>
                              </m:r>
                            </m:sup>
                          </m:sSubSup>
                        </m:den>
                      </m:f>
                    </m:e>
                  </m:d>
                </m:e>
                <m:sup>
                  <m:r>
                    <w:rPr>
                      <w:rFonts w:ascii="Cambria Math" w:hAnsi="Cambria Math"/>
                    </w:rPr>
                    <m:t>2</m:t>
                  </m:r>
                </m:sup>
              </m:sSup>
            </m:e>
          </m:nary>
        </m:oMath>
      </m:oMathPara>
    </w:p>
    <w:p w14:paraId="10BE8331" w14:textId="77777777" w:rsidR="00FD7DA6" w:rsidRDefault="00FD7DA6" w:rsidP="00777A99">
      <w:pPr>
        <w:jc w:val="left"/>
        <w:rPr>
          <w:i/>
          <w:iCs/>
          <w:sz w:val="20"/>
          <w:szCs w:val="20"/>
        </w:rPr>
      </w:pPr>
      <w:r>
        <w:rPr>
          <w:i/>
          <w:iCs/>
          <w:sz w:val="20"/>
          <w:szCs w:val="20"/>
        </w:rPr>
        <w:t>Where:</w:t>
      </w:r>
    </w:p>
    <w:p w14:paraId="548C3469" w14:textId="205FA80B" w:rsidR="0099689C" w:rsidRPr="00BC2801" w:rsidRDefault="0099689C" w:rsidP="00777A99">
      <w:pPr>
        <w:jc w:val="left"/>
        <w:rPr>
          <w:i/>
          <w:iCs/>
          <w:sz w:val="20"/>
          <w:szCs w:val="20"/>
        </w:rPr>
      </w:pPr>
      <w:r w:rsidRPr="00BC2801">
        <w:rPr>
          <w:i/>
          <w:iCs/>
          <w:sz w:val="20"/>
          <w:szCs w:val="20"/>
        </w:rPr>
        <w:t>M: the set of modules identified using the Louvain algorithm discussed above</w:t>
      </w:r>
      <w:r w:rsidRPr="00BC2801">
        <w:rPr>
          <w:i/>
          <w:iCs/>
          <w:sz w:val="20"/>
          <w:szCs w:val="20"/>
        </w:rPr>
        <w:br/>
        <w:t>k</w:t>
      </w:r>
      <w:r w:rsidRPr="00BC2801">
        <w:rPr>
          <w:i/>
          <w:iCs/>
          <w:sz w:val="20"/>
          <w:szCs w:val="20"/>
          <w:vertAlign w:val="subscript"/>
        </w:rPr>
        <w:t>i</w:t>
      </w:r>
      <w:r w:rsidRPr="00BC2801">
        <w:rPr>
          <w:i/>
          <w:iCs/>
          <w:sz w:val="20"/>
          <w:szCs w:val="20"/>
        </w:rPr>
        <w:t xml:space="preserve">(m): the number of links between the node i and all the nodes of module m. </w:t>
      </w:r>
    </w:p>
    <w:p w14:paraId="7085D9DA" w14:textId="0839666D" w:rsidR="0099689C" w:rsidRPr="00C80815" w:rsidRDefault="0099689C" w:rsidP="00777A99">
      <w:pPr>
        <w:pStyle w:val="Caption"/>
        <w:spacing w:line="480" w:lineRule="auto"/>
        <w:jc w:val="center"/>
      </w:pPr>
      <w:r w:rsidRPr="00C80815">
        <w:rPr>
          <w:noProof/>
        </w:rPr>
        <w:drawing>
          <wp:anchor distT="0" distB="0" distL="114300" distR="114300" simplePos="0" relativeHeight="251659264" behindDoc="0" locked="0" layoutInCell="1" allowOverlap="1" wp14:anchorId="76C31455" wp14:editId="25B540C5">
            <wp:simplePos x="0" y="0"/>
            <wp:positionH relativeFrom="column">
              <wp:posOffset>1647825</wp:posOffset>
            </wp:positionH>
            <wp:positionV relativeFrom="paragraph">
              <wp:posOffset>0</wp:posOffset>
            </wp:positionV>
            <wp:extent cx="2168525" cy="2341245"/>
            <wp:effectExtent l="0" t="0" r="3175" b="0"/>
            <wp:wrapTopAndBottom/>
            <wp:docPr id="5" name="Picture 5"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ico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68525" cy="2341245"/>
                    </a:xfrm>
                    <a:prstGeom prst="rect">
                      <a:avLst/>
                    </a:prstGeom>
                    <a:noFill/>
                  </pic:spPr>
                </pic:pic>
              </a:graphicData>
            </a:graphic>
            <wp14:sizeRelH relativeFrom="page">
              <wp14:pctWidth>0</wp14:pctWidth>
            </wp14:sizeRelH>
            <wp14:sizeRelV relativeFrom="page">
              <wp14:pctHeight>0</wp14:pctHeight>
            </wp14:sizeRelV>
          </wp:anchor>
        </w:drawing>
      </w:r>
      <w:r w:rsidR="00A1004B" w:rsidRPr="00C80815">
        <w:t>Supplementary figure</w:t>
      </w:r>
      <w:r w:rsidRPr="00C80815">
        <w:t xml:space="preserve"> </w:t>
      </w:r>
      <w:r w:rsidR="007B2F6E">
        <w:t>2</w:t>
      </w:r>
      <w:r w:rsidR="005F7275" w:rsidRPr="00C80815">
        <w:t xml:space="preserve"> </w:t>
      </w:r>
      <w:r w:rsidRPr="00C80815">
        <w:t xml:space="preserve">– Participation </w:t>
      </w:r>
      <w:r w:rsidR="00D11A42" w:rsidRPr="00C80815">
        <w:t>c</w:t>
      </w:r>
      <w:r w:rsidRPr="00C80815">
        <w:t>oefficient</w:t>
      </w:r>
    </w:p>
    <w:p w14:paraId="30107851" w14:textId="502A5792" w:rsidR="0099689C" w:rsidRDefault="0099689C" w:rsidP="00777A99">
      <w:pPr>
        <w:pStyle w:val="Heading3"/>
      </w:pPr>
      <w:bookmarkStart w:id="5" w:name="_Ref82011446"/>
      <w:r>
        <w:t>Within-Module Degree Z-Score</w:t>
      </w:r>
      <w:bookmarkEnd w:id="5"/>
    </w:p>
    <w:p w14:paraId="02E48323" w14:textId="28ADA416" w:rsidR="0099689C" w:rsidRPr="00C025DA" w:rsidRDefault="005F7275" w:rsidP="00C025DA">
      <w:pPr>
        <w:spacing w:line="360" w:lineRule="auto"/>
        <w:rPr>
          <w:rFonts w:cs="Times New Roman"/>
        </w:rPr>
      </w:pPr>
      <w:r w:rsidRPr="00C025DA">
        <w:rPr>
          <w:rFonts w:cs="Times New Roman"/>
        </w:rPr>
        <w:t xml:space="preserve">As illustrated in Supplementary Figure </w:t>
      </w:r>
      <w:r w:rsidR="007B2F6E" w:rsidRPr="00C025DA">
        <w:rPr>
          <w:rFonts w:cs="Times New Roman"/>
        </w:rPr>
        <w:t>3</w:t>
      </w:r>
      <w:r w:rsidRPr="00C025DA">
        <w:rPr>
          <w:rFonts w:cs="Times New Roman"/>
        </w:rPr>
        <w:t>, w</w:t>
      </w:r>
      <w:r w:rsidR="0099689C" w:rsidRPr="00C025DA">
        <w:rPr>
          <w:rFonts w:cs="Times New Roman"/>
        </w:rPr>
        <w:t>ithin-module degree z-score attempts to describe a node</w:t>
      </w:r>
      <w:r w:rsidR="00BC2801" w:rsidRPr="00C025DA">
        <w:rPr>
          <w:rFonts w:cs="Times New Roman"/>
        </w:rPr>
        <w:t>’</w:t>
      </w:r>
      <w:r w:rsidR="0099689C" w:rsidRPr="00C025DA">
        <w:rPr>
          <w:rFonts w:cs="Times New Roman"/>
        </w:rPr>
        <w:t xml:space="preserve">s intramodular degree of connectedness. It does so by normalizing weighted degree </w:t>
      </w:r>
      <w:r w:rsidR="0099689C" w:rsidRPr="00C025DA">
        <w:rPr>
          <w:rFonts w:cs="Times New Roman"/>
        </w:rPr>
        <w:lastRenderedPageBreak/>
        <w:t xml:space="preserve">metric by means of the well-known z-score, subtracting the mean and dividing by the standard deviation. In this manner, the measure captures the strength of membership of a given node to its assigned module. </w:t>
      </w:r>
    </w:p>
    <w:p w14:paraId="50ACD9BA" w14:textId="77777777" w:rsidR="0099689C" w:rsidRDefault="00EA2DE3" w:rsidP="00777A99">
      <m:oMathPara>
        <m:oMath>
          <m:sSub>
            <m:sSubPr>
              <m:ctrlPr>
                <w:rPr>
                  <w:rFonts w:ascii="Cambria Math" w:hAnsi="Cambria Math"/>
                  <w:i/>
                  <w:color w:val="000000" w:themeColor="text1"/>
                </w:rPr>
              </m:ctrlPr>
            </m:sSubPr>
            <m:e>
              <m:r>
                <w:rPr>
                  <w:rFonts w:ascii="Cambria Math" w:hAnsi="Cambria Math"/>
                </w:rPr>
                <m:t>z</m:t>
              </m:r>
            </m:e>
            <m:sub>
              <m:r>
                <w:rPr>
                  <w:rFonts w:ascii="Cambria Math" w:hAnsi="Cambria Math"/>
                </w:rPr>
                <m:t>i</m:t>
              </m:r>
            </m:sub>
          </m:sSub>
          <m:r>
            <w:rPr>
              <w:rFonts w:ascii="Cambria Math" w:hAnsi="Cambria Math"/>
            </w:rPr>
            <m:t xml:space="preserve">= </m:t>
          </m:r>
          <m:f>
            <m:fPr>
              <m:ctrlPr>
                <w:rPr>
                  <w:rFonts w:ascii="Cambria Math" w:hAnsi="Cambria Math"/>
                  <w:i/>
                  <w:color w:val="000000" w:themeColor="text1"/>
                </w:rPr>
              </m:ctrlPr>
            </m:fPr>
            <m:num>
              <m:sSubSup>
                <m:sSubSupPr>
                  <m:ctrlPr>
                    <w:rPr>
                      <w:rFonts w:ascii="Cambria Math" w:hAnsi="Cambria Math"/>
                      <w:i/>
                      <w:color w:val="000000" w:themeColor="text1"/>
                    </w:rPr>
                  </m:ctrlPr>
                </m:sSubSupPr>
                <m:e>
                  <m:r>
                    <w:rPr>
                      <w:rFonts w:ascii="Cambria Math" w:hAnsi="Cambria Math"/>
                    </w:rPr>
                    <m:t>k</m:t>
                  </m:r>
                </m:e>
                <m:sub>
                  <m:r>
                    <w:rPr>
                      <w:rFonts w:ascii="Cambria Math" w:hAnsi="Cambria Math"/>
                    </w:rPr>
                    <m:t>i</m:t>
                  </m:r>
                </m:sub>
                <m:sup>
                  <m:r>
                    <w:rPr>
                      <w:rFonts w:ascii="Cambria Math" w:hAnsi="Cambria Math"/>
                    </w:rPr>
                    <m:t>w</m:t>
                  </m:r>
                </m:sup>
              </m:sSubSup>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rPr>
                        <m:t>m</m:t>
                      </m:r>
                    </m:e>
                    <m:sub>
                      <m:r>
                        <w:rPr>
                          <w:rFonts w:ascii="Cambria Math" w:hAnsi="Cambria Math"/>
                        </w:rPr>
                        <m:t>i</m:t>
                      </m:r>
                    </m:sub>
                  </m:sSub>
                </m:e>
              </m:d>
              <m:r>
                <w:rPr>
                  <w:rFonts w:ascii="Cambria Math" w:hAnsi="Cambria Math"/>
                </w:rPr>
                <m:t xml:space="preserve">- </m:t>
              </m:r>
              <m:sSubSup>
                <m:sSubSupPr>
                  <m:ctrlPr>
                    <w:rPr>
                      <w:rFonts w:ascii="Cambria Math" w:hAnsi="Cambria Math"/>
                      <w:i/>
                      <w:color w:val="000000" w:themeColor="text1"/>
                    </w:rPr>
                  </m:ctrlPr>
                </m:sSubSupPr>
                <m:e>
                  <m:acc>
                    <m:accPr>
                      <m:chr m:val="̅"/>
                      <m:ctrlPr>
                        <w:rPr>
                          <w:rFonts w:ascii="Cambria Math" w:hAnsi="Cambria Math"/>
                          <w:i/>
                          <w:color w:val="000000" w:themeColor="text1"/>
                        </w:rPr>
                      </m:ctrlPr>
                    </m:accPr>
                    <m:e>
                      <m:r>
                        <w:rPr>
                          <w:rFonts w:ascii="Cambria Math" w:hAnsi="Cambria Math"/>
                        </w:rPr>
                        <m:t>k</m:t>
                      </m:r>
                    </m:e>
                  </m:acc>
                </m:e>
                <m:sub>
                  <m:r>
                    <w:rPr>
                      <w:rFonts w:ascii="Cambria Math" w:hAnsi="Cambria Math"/>
                    </w:rPr>
                    <m:t>i</m:t>
                  </m:r>
                </m:sub>
                <m:sup>
                  <m:r>
                    <w:rPr>
                      <w:rFonts w:ascii="Cambria Math" w:hAnsi="Cambria Math"/>
                    </w:rPr>
                    <m:t>w</m:t>
                  </m:r>
                </m:sup>
              </m:sSubSup>
              <m:r>
                <w:rPr>
                  <w:rFonts w:ascii="Cambria Math" w:hAnsi="Cambria Math"/>
                </w:rPr>
                <m:t>(</m:t>
              </m:r>
              <m:sSub>
                <m:sSubPr>
                  <m:ctrlPr>
                    <w:rPr>
                      <w:rFonts w:ascii="Cambria Math" w:hAnsi="Cambria Math"/>
                      <w:i/>
                      <w:color w:val="000000" w:themeColor="text1"/>
                    </w:rPr>
                  </m:ctrlPr>
                </m:sSubPr>
                <m:e>
                  <m:r>
                    <w:rPr>
                      <w:rFonts w:ascii="Cambria Math" w:hAnsi="Cambria Math"/>
                    </w:rPr>
                    <m:t>m</m:t>
                  </m:r>
                </m:e>
                <m:sub>
                  <m:r>
                    <w:rPr>
                      <w:rFonts w:ascii="Cambria Math" w:hAnsi="Cambria Math"/>
                    </w:rPr>
                    <m:t>i</m:t>
                  </m:r>
                </m:sub>
              </m:sSub>
              <m:r>
                <w:rPr>
                  <w:rFonts w:ascii="Cambria Math" w:hAnsi="Cambria Math"/>
                </w:rPr>
                <m:t>)</m:t>
              </m:r>
            </m:num>
            <m:den>
              <m:sSup>
                <m:sSupPr>
                  <m:ctrlPr>
                    <w:rPr>
                      <w:rFonts w:ascii="Cambria Math" w:hAnsi="Cambria Math"/>
                      <w:i/>
                      <w:color w:val="000000" w:themeColor="text1"/>
                    </w:rPr>
                  </m:ctrlPr>
                </m:sSupPr>
                <m:e>
                  <m:r>
                    <w:rPr>
                      <w:rFonts w:ascii="Cambria Math" w:hAnsi="Cambria Math"/>
                      <w:lang w:val="el-GR"/>
                    </w:rPr>
                    <m:t>σ</m:t>
                  </m:r>
                </m:e>
                <m:sup>
                  <m:sSup>
                    <m:sSupPr>
                      <m:ctrlPr>
                        <w:rPr>
                          <w:rFonts w:ascii="Cambria Math" w:hAnsi="Cambria Math"/>
                          <w:i/>
                          <w:color w:val="000000" w:themeColor="text1"/>
                        </w:rPr>
                      </m:ctrlPr>
                    </m:sSupPr>
                    <m:e>
                      <m:r>
                        <w:rPr>
                          <w:rFonts w:ascii="Cambria Math" w:hAnsi="Cambria Math"/>
                        </w:rPr>
                        <m:t>k</m:t>
                      </m:r>
                    </m:e>
                    <m:sup>
                      <m:r>
                        <w:rPr>
                          <w:rFonts w:ascii="Cambria Math" w:hAnsi="Cambria Math"/>
                        </w:rPr>
                        <m:t>w</m:t>
                      </m:r>
                    </m:sup>
                  </m:sSup>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rPr>
                            <m:t>m</m:t>
                          </m:r>
                        </m:e>
                        <m:sub>
                          <m:r>
                            <w:rPr>
                              <w:rFonts w:ascii="Cambria Math" w:hAnsi="Cambria Math"/>
                            </w:rPr>
                            <m:t>i</m:t>
                          </m:r>
                        </m:sub>
                      </m:sSub>
                    </m:e>
                  </m:d>
                </m:sup>
              </m:sSup>
            </m:den>
          </m:f>
        </m:oMath>
      </m:oMathPara>
    </w:p>
    <w:p w14:paraId="10FBDB8F" w14:textId="77777777" w:rsidR="00FD7DA6" w:rsidRDefault="00FD7DA6" w:rsidP="00777A99">
      <w:pPr>
        <w:jc w:val="left"/>
        <w:rPr>
          <w:i/>
          <w:iCs/>
          <w:sz w:val="20"/>
          <w:szCs w:val="20"/>
        </w:rPr>
      </w:pPr>
      <w:r>
        <w:rPr>
          <w:i/>
          <w:iCs/>
          <w:sz w:val="20"/>
          <w:szCs w:val="20"/>
        </w:rPr>
        <w:t>Where:</w:t>
      </w:r>
    </w:p>
    <w:p w14:paraId="6E95D208" w14:textId="10572E6A" w:rsidR="0099689C" w:rsidRPr="00466084" w:rsidRDefault="0099689C" w:rsidP="00777A99">
      <w:pPr>
        <w:jc w:val="left"/>
        <w:rPr>
          <w:i/>
          <w:iCs/>
          <w:sz w:val="20"/>
          <w:szCs w:val="20"/>
        </w:rPr>
      </w:pPr>
      <w:r w:rsidRPr="00BC2801">
        <w:rPr>
          <w:i/>
          <w:iCs/>
          <w:sz w:val="20"/>
          <w:szCs w:val="20"/>
        </w:rPr>
        <w:t>m</w:t>
      </w:r>
      <w:r w:rsidRPr="00BC2801">
        <w:rPr>
          <w:i/>
          <w:iCs/>
          <w:sz w:val="20"/>
          <w:szCs w:val="20"/>
          <w:vertAlign w:val="subscript"/>
        </w:rPr>
        <w:t>i</w:t>
      </w:r>
      <w:r w:rsidRPr="00BC2801">
        <w:rPr>
          <w:i/>
          <w:iCs/>
          <w:sz w:val="20"/>
          <w:szCs w:val="20"/>
        </w:rPr>
        <w:t>: The module containing node i</w:t>
      </w:r>
      <w:r w:rsidRPr="00BC2801">
        <w:rPr>
          <w:i/>
          <w:iCs/>
          <w:sz w:val="20"/>
          <w:szCs w:val="20"/>
        </w:rPr>
        <w:br/>
        <w:t>k</w:t>
      </w:r>
      <w:r w:rsidRPr="00BC2801">
        <w:rPr>
          <w:i/>
          <w:iCs/>
          <w:sz w:val="20"/>
          <w:szCs w:val="20"/>
          <w:vertAlign w:val="subscript"/>
        </w:rPr>
        <w:t>i</w:t>
      </w:r>
      <w:r w:rsidRPr="00BC2801">
        <w:rPr>
          <w:i/>
          <w:iCs/>
          <w:sz w:val="20"/>
          <w:szCs w:val="20"/>
        </w:rPr>
        <w:t>(m</w:t>
      </w:r>
      <w:r w:rsidRPr="00BC2801">
        <w:rPr>
          <w:i/>
          <w:iCs/>
          <w:sz w:val="20"/>
          <w:szCs w:val="20"/>
          <w:vertAlign w:val="subscript"/>
        </w:rPr>
        <w:t>i</w:t>
      </w:r>
      <w:r w:rsidRPr="00BC2801">
        <w:rPr>
          <w:i/>
          <w:iCs/>
          <w:sz w:val="20"/>
          <w:szCs w:val="20"/>
        </w:rPr>
        <w:t>): The within-module degree of i</w:t>
      </w:r>
      <w:r w:rsidRPr="00BC2801">
        <w:rPr>
          <w:i/>
          <w:iCs/>
          <w:sz w:val="20"/>
          <w:szCs w:val="20"/>
        </w:rPr>
        <w:br/>
        <w:t xml:space="preserve">k bar represents the mean of the within-module degree distribution, while </w:t>
      </w:r>
      <w:r w:rsidRPr="00BC2801">
        <w:rPr>
          <w:i/>
          <w:iCs/>
          <w:sz w:val="20"/>
          <w:szCs w:val="20"/>
          <w:lang w:val="el-GR"/>
        </w:rPr>
        <w:t>σ</w:t>
      </w:r>
      <w:r w:rsidRPr="00BC2801">
        <w:rPr>
          <w:i/>
          <w:iCs/>
          <w:sz w:val="20"/>
          <w:szCs w:val="20"/>
          <w:lang w:val="en-US"/>
        </w:rPr>
        <w:t xml:space="preserve"> </w:t>
      </w:r>
      <w:r w:rsidRPr="00BC2801">
        <w:rPr>
          <w:i/>
          <w:iCs/>
          <w:sz w:val="20"/>
          <w:szCs w:val="20"/>
        </w:rPr>
        <w:t>the standard deviation</w:t>
      </w:r>
    </w:p>
    <w:p w14:paraId="04A764C3" w14:textId="52421DEB" w:rsidR="0099689C" w:rsidRDefault="0099689C" w:rsidP="00777A99">
      <w:pPr>
        <w:keepNext/>
        <w:jc w:val="center"/>
      </w:pPr>
      <w:r>
        <w:rPr>
          <w:noProof/>
        </w:rPr>
        <w:drawing>
          <wp:inline distT="0" distB="0" distL="0" distR="0" wp14:anchorId="34EFE7FB" wp14:editId="7EE12325">
            <wp:extent cx="1807535" cy="2006087"/>
            <wp:effectExtent l="0" t="0" r="2540" b="0"/>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9310" cy="2030254"/>
                    </a:xfrm>
                    <a:prstGeom prst="rect">
                      <a:avLst/>
                    </a:prstGeom>
                    <a:noFill/>
                  </pic:spPr>
                </pic:pic>
              </a:graphicData>
            </a:graphic>
          </wp:inline>
        </w:drawing>
      </w:r>
    </w:p>
    <w:p w14:paraId="24D13707" w14:textId="364AC34E" w:rsidR="0099689C" w:rsidRDefault="00A1004B" w:rsidP="00777A99">
      <w:pPr>
        <w:pStyle w:val="Caption"/>
        <w:spacing w:line="480" w:lineRule="auto"/>
        <w:jc w:val="center"/>
      </w:pPr>
      <w:r>
        <w:t>Supplementary figure</w:t>
      </w:r>
      <w:r w:rsidR="0099689C">
        <w:t xml:space="preserve"> </w:t>
      </w:r>
      <w:r w:rsidR="007B2F6E">
        <w:t>3</w:t>
      </w:r>
      <w:r w:rsidR="005F7275">
        <w:t xml:space="preserve"> </w:t>
      </w:r>
      <w:r w:rsidR="0099689C">
        <w:t xml:space="preserve">- within-module </w:t>
      </w:r>
      <w:r w:rsidR="00D11A42">
        <w:t>d</w:t>
      </w:r>
      <w:r w:rsidR="0099689C">
        <w:t xml:space="preserve">egree </w:t>
      </w:r>
      <w:r w:rsidR="00D11A42">
        <w:t>z</w:t>
      </w:r>
      <w:r w:rsidR="0099689C">
        <w:t>-score</w:t>
      </w:r>
    </w:p>
    <w:p w14:paraId="2A14827B" w14:textId="446FD5AB" w:rsidR="0099689C" w:rsidRDefault="0099689C" w:rsidP="00777A99">
      <w:pPr>
        <w:pStyle w:val="Heading2"/>
      </w:pPr>
      <w:r>
        <w:t>Graph reduction–Orthogonal Minimum Spanning Trees (OMST)</w:t>
      </w:r>
    </w:p>
    <w:p w14:paraId="4C79AC65" w14:textId="5531973F" w:rsidR="006158D4" w:rsidRPr="00C025DA" w:rsidRDefault="00D11A42" w:rsidP="00C025DA">
      <w:pPr>
        <w:spacing w:line="360" w:lineRule="auto"/>
        <w:rPr>
          <w:rFonts w:eastAsiaTheme="minorEastAsia" w:cs="Times New Roman"/>
          <w:lang w:val="en-US"/>
        </w:rPr>
      </w:pPr>
      <w:r w:rsidRPr="00C025DA">
        <w:rPr>
          <w:rFonts w:cs="Times New Roman"/>
        </w:rPr>
        <w:t>Several t</w:t>
      </w:r>
      <w:r w:rsidR="006158D4" w:rsidRPr="00C025DA">
        <w:rPr>
          <w:rFonts w:cs="Times New Roman"/>
        </w:rPr>
        <w:t xml:space="preserve">opological graph filtering schemes have been </w:t>
      </w:r>
      <w:r w:rsidRPr="00C025DA">
        <w:rPr>
          <w:rFonts w:cs="Times New Roman"/>
        </w:rPr>
        <w:t>proposed</w:t>
      </w:r>
      <w:r w:rsidR="006158D4" w:rsidRPr="00C025DA">
        <w:rPr>
          <w:rFonts w:cs="Times New Roman"/>
        </w:rPr>
        <w:t xml:space="preserve">, based on the optimal detection of significant subnetworks and maintaining relevant structure rather than focusing on connectivity strength alone. </w:t>
      </w:r>
      <w:r w:rsidR="007F730C" w:rsidRPr="00C025DA">
        <w:rPr>
          <w:rFonts w:cs="Times New Roman"/>
        </w:rPr>
        <w:t>For instance,</w:t>
      </w:r>
      <w:r w:rsidR="006158D4" w:rsidRPr="00C025DA">
        <w:rPr>
          <w:rFonts w:cs="Times New Roman"/>
        </w:rPr>
        <w:t xml:space="preserve"> Minimum Spanning Trees (MST)</w:t>
      </w:r>
      <w:r w:rsidR="00F23669" w:rsidRPr="00C025DA">
        <w:rPr>
          <w:rFonts w:cs="Times New Roman"/>
        </w:rPr>
        <w:t xml:space="preserve"> </w:t>
      </w:r>
      <w:r w:rsidR="006158D4" w:rsidRPr="00C025DA">
        <w:rPr>
          <w:rFonts w:cs="Times New Roman"/>
        </w:rPr>
        <w:fldChar w:fldCharType="begin" w:fldLock="1"/>
      </w:r>
      <w:r w:rsidR="00EA2DE3">
        <w:rPr>
          <w:rFonts w:cs="Times New Roman"/>
        </w:rPr>
        <w:instrText>ADDIN CSL_CITATION {"citationItems":[{"id":"ITEM-1","itemData":{"DOI":"10.3389/fnins.2019.00211","ISSN":"1662453X","abstract":"Brain functional disruption and cognitive shortfalls as consequences of neurodegeneration are among the most investigated aspects in current clinical research. Traditionally, specific anatomical and behavioral traits have been associated with neurodegeneration, thus directly translatable in clinical terms. However, these qualitative traits, do not account for the extensive information flow breakdown within the functional brain network that deeply affect cognitive skills. Behavioural variant Frontotemporal Dementia (bvFTD) is a neurodegenerative disorder characterized by behavioral and executive functions disturbances. Deviations from the physiological cognitive functioning can be accurately inferred and modeled from functional connectivity alterations. Although the need for unbiased metrics is still an open issue in imaging studies, the graph-theory approach applied to neuroimaging techniques is becoming popular in the study of brain dysfunction. In this work, we assessed the global connectivity and topological alterations among brain regions in bvFTD patients using a minimum spanning tree (MST) based analysis of resting state functional MRI (rs-fMRI) data. Whilst several graph theoretical methods require arbitrary criteria (including the choice of network construction thresholds and weight normalization methods), MST is an unambiguous modeling solution, ensuring accuracy, robustness, and reproducibility. MST networks of 116 regions of interest (ROIs) were built on wavelet correlation matrices, extracted from 41 bvFTD patients and 39 healthy controls (HC). We observed a global fragmentation of the functional network backbone with severe disruption of information-flow highways. Frontotemporal areas were less compact, more isolated, and concentrated in less integrated structures, respect to healthy subjects. Our results reflected such complex breakdown of the frontal and temporal areas at both intra-regional and long-range connections. Our findings highlighted that MST, in conjunction with rs-fMRI data, was an effective method for quantifying and detecting functional brain network impairments, leading to characteristic bvFTD cognitive, social, and executive functions disorders.","author":[{"dropping-particle":"","family":"Saba","given":"Valentina","non-dropping-particle":"","parse-names":false,"suffix":""},{"dropping-particle":"","family":"Premi","given":"Enrico","non-dropping-particle":"","parse-names":false,"suffix":""},{"dropping-particle":"","family":"Cristillo","given":"Viviana","non-dropping-particle":"","parse-names":false,"suffix":""},{"dropping-particle":"","family":"Gazzina","given":"Stefano","non-dropping-particle":"","parse-names":false,"suffix":""},{"dropping-particle":"","family":"Palluzzi","given":"Fernando","non-dropping-particle":"","parse-names":false,"suffix":""},{"dropping-particle":"","family":"Zanetti","given":"Orazio","non-dropping-particle":"","parse-names":false,"suffix":""},{"dropping-particle":"","family":"Gasparotti","given":"Roberto","non-dropping-particle":"","parse-names":false,"suffix":""},{"dropping-particle":"","family":"Padovani","given":"Alessandro","non-dropping-particle":"","parse-names":false,"suffix":""},{"dropping-particle":"","family":"Borroni","given":"Barbara","non-dropping-particle":"","parse-names":false,"suffix":""},{"dropping-particle":"","family":"Grassi","given":"Mario","non-dropping-particle":"","parse-names":false,"suffix":""}],"container-title":"Frontiers in Neuroscience","id":"ITEM-1","issue":"March","issued":{"date-parts":[["2019"]]},"page":"1-16","title":"Brain connectivity and information-flow breakdown revealed by a minimum spanning tree-based analysis of mri data in behavioral variant frontotemporal dementia","type":"article-journal","volume":"13"},"uris":["http://www.mendeley.com/documents/?uuid=ac80cec6-ab3a-4cd8-aecc-94b6b8be93d2"]}],"mendeley":{"formattedCitation":"(Saba et al. 2019)","plainTextFormattedCitation":"(Saba et al. 2019)","previouslyFormattedCitation":"[10]"},"properties":{"noteIndex":0},"schema":"https://github.com/citation-style-language/schema/raw/master/csl-citation.json"}</w:instrText>
      </w:r>
      <w:r w:rsidR="006158D4" w:rsidRPr="00C025DA">
        <w:rPr>
          <w:rFonts w:cs="Times New Roman"/>
        </w:rPr>
        <w:fldChar w:fldCharType="separate"/>
      </w:r>
      <w:r w:rsidR="00EA2DE3" w:rsidRPr="00EA2DE3">
        <w:rPr>
          <w:rFonts w:cs="Times New Roman"/>
          <w:noProof/>
        </w:rPr>
        <w:t>(Saba et al. 2019)</w:t>
      </w:r>
      <w:r w:rsidR="006158D4" w:rsidRPr="00C025DA">
        <w:rPr>
          <w:rFonts w:cs="Times New Roman"/>
        </w:rPr>
        <w:fldChar w:fldCharType="end"/>
      </w:r>
      <w:r w:rsidR="00F23669" w:rsidRPr="00C025DA">
        <w:rPr>
          <w:rFonts w:cs="Times New Roman"/>
        </w:rPr>
        <w:t>,</w:t>
      </w:r>
      <w:r w:rsidR="006158D4" w:rsidRPr="00C025DA">
        <w:rPr>
          <w:rFonts w:cs="Times New Roman"/>
        </w:rPr>
        <w:t xml:space="preserve"> maintain</w:t>
      </w:r>
      <w:r w:rsidR="007F730C" w:rsidRPr="00C025DA">
        <w:rPr>
          <w:rFonts w:cs="Times New Roman"/>
        </w:rPr>
        <w:t>s</w:t>
      </w:r>
      <w:r w:rsidR="006158D4" w:rsidRPr="00C025DA">
        <w:rPr>
          <w:rFonts w:cs="Times New Roman"/>
        </w:rPr>
        <w:t xml:space="preserve"> all network nodes with the “optimal” path between them. The ‘tree’ in minimum spanning tree refers to the acyclic form of the paths created, meaning there are no loops in the final network. The absence of loops also leads the tree to include </w:t>
      </w:r>
      <w:r w:rsidR="006158D4" w:rsidRPr="00C025DA">
        <w:rPr>
          <w:rFonts w:cs="Times New Roman"/>
          <w:i/>
          <w:iCs/>
        </w:rPr>
        <w:t>n</w:t>
      </w:r>
      <w:r w:rsidR="006158D4" w:rsidRPr="00C025DA">
        <w:rPr>
          <w:rFonts w:cs="Times New Roman"/>
        </w:rPr>
        <w:t xml:space="preserve">-1 edges exactly, where </w:t>
      </w:r>
      <w:r w:rsidR="006158D4" w:rsidRPr="00C025DA">
        <w:rPr>
          <w:rFonts w:cs="Times New Roman"/>
          <w:i/>
          <w:iCs/>
        </w:rPr>
        <w:t>n</w:t>
      </w:r>
      <w:r w:rsidR="006158D4" w:rsidRPr="00C025DA">
        <w:rPr>
          <w:rFonts w:cs="Times New Roman"/>
        </w:rPr>
        <w:t xml:space="preserve"> the number of nodes. ‘</w:t>
      </w:r>
      <w:r w:rsidR="007F730C" w:rsidRPr="00C025DA">
        <w:rPr>
          <w:rFonts w:cs="Times New Roman"/>
        </w:rPr>
        <w:t>M</w:t>
      </w:r>
      <w:r w:rsidR="006158D4" w:rsidRPr="00C025DA">
        <w:rPr>
          <w:rFonts w:cs="Times New Roman"/>
        </w:rPr>
        <w:t>inimum’ refer</w:t>
      </w:r>
      <w:r w:rsidR="007F730C" w:rsidRPr="00C025DA">
        <w:rPr>
          <w:rFonts w:cs="Times New Roman"/>
        </w:rPr>
        <w:t>s</w:t>
      </w:r>
      <w:r w:rsidR="006158D4" w:rsidRPr="00C025DA">
        <w:rPr>
          <w:rFonts w:cs="Times New Roman"/>
        </w:rPr>
        <w:t xml:space="preserve"> to the minimization of total edge weight. The main drawback of MST is that in some instances the tree includes weak connections in order to satisfy the main criteria. Additionally, the solutions can often be considered too sparse, </w:t>
      </w:r>
      <w:r w:rsidR="006158D4" w:rsidRPr="00C025DA">
        <w:rPr>
          <w:rFonts w:cs="Times New Roman"/>
        </w:rPr>
        <w:lastRenderedPageBreak/>
        <w:t xml:space="preserve">including only </w:t>
      </w:r>
      <w:r w:rsidR="006158D4" w:rsidRPr="00C025DA">
        <w:rPr>
          <w:rFonts w:cs="Times New Roman"/>
          <w:i/>
          <w:iCs/>
        </w:rPr>
        <w:t>n</w:t>
      </w:r>
      <w:r w:rsidR="006158D4" w:rsidRPr="00C025DA">
        <w:rPr>
          <w:rFonts w:cs="Times New Roman"/>
        </w:rPr>
        <w:t xml:space="preserve">-1 edges/connections, </w:t>
      </w:r>
      <w:r w:rsidRPr="00C025DA">
        <w:rPr>
          <w:rFonts w:cs="Times New Roman"/>
        </w:rPr>
        <w:t xml:space="preserve">potentially </w:t>
      </w:r>
      <w:r w:rsidR="006158D4" w:rsidRPr="00C025DA">
        <w:rPr>
          <w:rFonts w:cs="Times New Roman"/>
        </w:rPr>
        <w:t>too few for capturing complex interactions between brain regions</w:t>
      </w:r>
      <w:r w:rsidR="00A44D95" w:rsidRPr="00C025DA">
        <w:rPr>
          <w:rFonts w:cs="Times New Roman"/>
        </w:rPr>
        <w:t xml:space="preserve"> </w:t>
      </w:r>
      <w:r w:rsidR="006158D4" w:rsidRPr="00C025DA">
        <w:rPr>
          <w:rFonts w:cs="Times New Roman"/>
        </w:rPr>
        <w:fldChar w:fldCharType="begin" w:fldLock="1"/>
      </w:r>
      <w:r w:rsidR="00EA2DE3">
        <w:rPr>
          <w:rFonts w:cs="Times New Roman"/>
        </w:rPr>
        <w:instrText>ADDIN CSL_CITATION {"citationItems":[{"id":"ITEM-1","itemData":{"DOI":"10.1016/j.ijpsycho.2016.02.002","ISSN":"18727697","PMID":"26910049","abstract":"Cross-frequency coupling (CFC) is thought to represent a basic mechanism of functional integration of neural networks across distant brain regions. In this study, we analyzed CFC profiles from resting state Magnetoencephalographic (MEG) recordings obtained from 30 mild traumatic brain injury (mTBI) patients and 50 controls. We used mutual information (MI) to quantify the phase-to-amplitude coupling (PAC) of activity among the recording sensors in six nonoverlapping frequency bands. After forming the CFC-based functional connectivity graphs, we employed a tensor representation and tensor subspace analysis to identify the optimal set of features for subject classification as mTBI or control. Our results showed that controls formed a dense network of stronger local and global connections indicating higher functional integration compared to mTBI patients. Furthermore, mTBI patients could be separated from controls with more than 90% classification accuracy. These findings indicate that analysis of brain networks computed from resting-state MEG with PAC and tensorial representation of connectivity profiles may provide a valuable biomarker for the diagnosis of mTBI.","author":[{"dropping-particle":"","family":"Antonakakis","given":"Marios","non-dropping-particle":"","parse-names":false,"suffix":""},{"dropping-particle":"","family":"Dimitriadis","given":"Stavros I.","non-dropping-particle":"","parse-names":false,"suffix":""},{"dropping-particle":"","family":"Zervakis","given":"Michalis","non-dropping-particle":"","parse-names":false,"suffix":""},{"dropping-particle":"","family":"Micheloyannis","given":"Sifis","non-dropping-particle":"","parse-names":false,"suffix":""},{"dropping-particle":"","family":"Rezaie","given":"Roozbeh","non-dropping-particle":"","parse-names":false,"suffix":""},{"dropping-particle":"","family":"Babajani-Feremi","given":"Abbas","non-dropping-particle":"","parse-names":false,"suffix":""},{"dropping-particle":"","family":"Zouridakis","given":"George","non-dropping-particle":"","parse-names":false,"suffix":""},{"dropping-particle":"","family":"Papanicolaou","given":"Andrew C.","non-dropping-particle":"","parse-names":false,"suffix":""}],"container-title":"International Journal of Psychophysiology","id":"ITEM-1","issued":{"date-parts":[["2016"]]},"page":"1-11","publisher":"Elsevier B.V.","title":"Altered cross-frequency coupling in resting-state MEG after mild traumatic brain injury","type":"article-journal","volume":"102"},"uris":["http://www.mendeley.com/documents/?uuid=92c6ce94-2d0e-4833-b66c-77008fe4e509"]}],"mendeley":{"formattedCitation":"(Antonakakis et al. 2016)","plainTextFormattedCitation":"(Antonakakis et al. 2016)","previouslyFormattedCitation":"[11]"},"properties":{"noteIndex":0},"schema":"https://github.com/citation-style-language/schema/raw/master/csl-citation.json"}</w:instrText>
      </w:r>
      <w:r w:rsidR="006158D4" w:rsidRPr="00C025DA">
        <w:rPr>
          <w:rFonts w:cs="Times New Roman"/>
        </w:rPr>
        <w:fldChar w:fldCharType="separate"/>
      </w:r>
      <w:r w:rsidR="00EA2DE3" w:rsidRPr="00EA2DE3">
        <w:rPr>
          <w:rFonts w:cs="Times New Roman"/>
          <w:noProof/>
        </w:rPr>
        <w:t>(Antonakakis et al. 2016)</w:t>
      </w:r>
      <w:r w:rsidR="006158D4" w:rsidRPr="00C025DA">
        <w:rPr>
          <w:rFonts w:cs="Times New Roman"/>
        </w:rPr>
        <w:fldChar w:fldCharType="end"/>
      </w:r>
      <w:r w:rsidR="00A44D95" w:rsidRPr="00C025DA">
        <w:rPr>
          <w:rFonts w:cs="Times New Roman"/>
        </w:rPr>
        <w:t>.</w:t>
      </w:r>
    </w:p>
    <w:p w14:paraId="72D77A53" w14:textId="0B1A33DE" w:rsidR="006158D4" w:rsidRPr="00C025DA" w:rsidRDefault="007F730C" w:rsidP="00C025DA">
      <w:pPr>
        <w:spacing w:line="360" w:lineRule="auto"/>
        <w:rPr>
          <w:rFonts w:cs="Times New Roman"/>
        </w:rPr>
      </w:pPr>
      <w:r w:rsidRPr="00C025DA">
        <w:rPr>
          <w:rFonts w:cs="Times New Roman"/>
        </w:rPr>
        <w:t xml:space="preserve">The </w:t>
      </w:r>
      <w:r w:rsidR="006158D4" w:rsidRPr="00C025DA">
        <w:rPr>
          <w:rFonts w:cs="Times New Roman"/>
        </w:rPr>
        <w:t>OMST</w:t>
      </w:r>
      <w:r w:rsidRPr="00C025DA">
        <w:rPr>
          <w:rFonts w:cs="Times New Roman"/>
        </w:rPr>
        <w:t xml:space="preserve"> was introduced to address these issues</w:t>
      </w:r>
      <w:r w:rsidR="00A44D95" w:rsidRPr="00C025DA">
        <w:rPr>
          <w:rFonts w:cs="Times New Roman"/>
        </w:rPr>
        <w:t xml:space="preserve"> </w:t>
      </w:r>
      <w:r w:rsidR="006158D4" w:rsidRPr="00C025DA">
        <w:rPr>
          <w:rFonts w:cs="Times New Roman"/>
        </w:rPr>
        <w:fldChar w:fldCharType="begin" w:fldLock="1"/>
      </w:r>
      <w:r w:rsidR="00EA2DE3">
        <w:rPr>
          <w:rFonts w:cs="Times New Roman"/>
        </w:rPr>
        <w:instrText>ADDIN CSL_CITATION {"citationItems":[{"id":"ITEM-1","itemData":{"DOI":"10.1089/brain.2017.0512","ISSN":"21580022","PMID":"28891322","abstract":"In the present study, a novel data-driven topological filtering technique is introduced to derive the backbone of functional brain networks relying on orthogonal minimal spanning trees (OMSTs). The method aims to identify the essential functional connections to ensure optimal information flow via the objective criterion of global efficiency minus the cost of surviving connections. The OMST technique was applied to multichannel, resting-state neuromagnetic recordings from four groups of participants: healthy adults (n = 50), adults who have suffered mild traumatic brain injury (n = 30), typically developing children (n = 27), and reading-disabled children (n = 25). Weighted interactions between network nodes (sensors) were computed using an integrated approach of dominant intrinsic coupling modes based on two alternative metrics (symbolic mutual information and phase lag index), resulting in excellent discrimination of individual cases according to their group membership. Classification results using OMST-derived functional networks were clearly superior to results using either relative power spectrum features or functional networks derived through the conventional minimal spanning tree algorithm.","author":[{"dropping-particle":"","family":"Dimitriadis","given":"Stavros I.","non-dropping-particle":"","parse-names":false,"suffix":""},{"dropping-particle":"","family":"Antonakakis","given":"Marios","non-dropping-particle":"","parse-names":false,"suffix":""},{"dropping-particle":"","family":"Simos","given":"Panagiotis","non-dropping-particle":"","parse-names":false,"suffix":""},{"dropping-particle":"","family":"Fletcher","given":"Jack M.","non-dropping-particle":"","parse-names":false,"suffix":""},{"dropping-particle":"","family":"Papanicolaou","given":"Andrew C.","non-dropping-particle":"","parse-names":false,"suffix":""}],"container-title":"Brain Connectivity","id":"ITEM-1","issue":"10","issued":{"date-parts":[["2017"]]},"page":"661-670","title":"Data-Driven Topological Filtering Based on Orthogonal Minimal Spanning Trees: Application to Multigroup Magnetoencephalography Resting-State Connectivity","type":"article-journal","volume":"7"},"uris":["http://www.mendeley.com/documents/?uuid=791cd87e-9e16-4022-9762-a35ef99b30c0"]},{"id":"ITEM-2","itemData":{"DOI":"10.3389/fninf.2017.00028","ISSN":"16625196","abstract":"The human brain is a large-scale system of functionally connected brain regions. This systemcan be modeled as a network, or graph, by dividing the brain into a set of regions, or “nodes,” and quantifying the strength of the connections between nodes, or “edges,” as the temporal correlation in their patterns of activity. Network analysis, a part of graph theory, provides a set of summary statistics that can be used to describe complex brain networks in a meaningful way. The large-scale organization of the brain has features of complex networks that can be quantified using network measures from graph theory. The adaptation of both bivariate (mutual information) and multivariate (Granger causality) connectivity estimators to quantify the synchronization between multichannel recordings yields a fully connected, weighted, (a)symmetric functional connectivity graph (FCG), representing the associations among all brain areas. The aforementioned procedure leads to an extremely dense network of tens up to a fewhundreds of weights. Therefore, this FCG must be filtered out so that the “true” connectivity pattern can emerge. Here, we compared a large number of well-known topological thresholding techniques with the novel proposed data-driven scheme based on orthogonal minimal spanning trees (OMSTs). OMSTs filter brain connectivity networks based on the optimization between the global efficiency of the network and the cost preserving its wiring. We demonstrated the proposed method in a large EEG database (N = 101 subjects) with eyes-open (EO) and eyes-closed (EC) tasks by adopting a time-varying approach with the main goal to extract features that can totally distinguish each subject from the rest of the set. Additionally, the reliability of the proposed scheme was estimated in a second case study of fMRI resting-state activity with multiple scans. Our results demonstrated clearly that the proposed thresholding scheme outperformed a large list of thresholding schemes based on the recognition accuracy of each subject compared to the rest of the cohort (EEG). Additionally, the reliability of the network metrics based on the fMRI static networks was improved based on the proposed topological filtering scheme. Overall, the proposed algorithm could be used across neuroimaging and multimodal studies as a common computationally efficient standardized tool for a great number of neuroscientists and physicists working on numerous of projects.","author":[{"dropping-particle":"","family":"Dimitriadis","given":"Stavros I.","non-dropping-particle":"","parse-names":false,"suffix":""},{"dropping-particle":"","family":"Salis","given":"Christos","non-dropping-particle":"","parse-names":false,"suffix":""},{"dropping-particle":"","family":"Tarnanas","given":"Ioannis","non-dropping-particle":"","parse-names":false,"suffix":""},{"dropping-particle":"","family":"Linden","given":"David E.","non-dropping-particle":"","parse-names":false,"suffix":""}],"container-title":"Frontiers in Neuroinformatics","id":"ITEM-2","issue":"April","issued":{"date-parts":[["2017"]]},"title":"Topological filtering of dynamic functional brain networks unfolds informative chronnectomics: A novel data-driven thresholding scheme based on orthogonal minimal spanning trees (OMSTs)","type":"article-journal","volume":"11"},"uris":["http://www.mendeley.com/documents/?uuid=dc28c3ba-a224-48bd-840e-cf87f3cc8e95"]},{"id":"ITEM-3","itemData":{"abstract":"The functional interactions between regions of the human brain can be viewed as a network, empowering neuroscientists to leverage tools such as graph theory to obtain insight about brain function. However, obtaining a brain network from functional neuroimaging data inevitably involves multiple steps of data manipulation, which can affect the organisation (topology) of the resulting network and its properties. Test-retest reliability is a gold standard for both basic research and clinical use: a suitable data-processing pipeline for brain networks should recover the same network topology across repeated scan sessions of the same individual. Analyzing resting-state functional Magnetic Resonance Imaging (rs-fMRI) recordings from two test-retest studies across short (45 minutes), medium (2-4 weeks) and long term delays (5-16 months), we investigated the reliability of network topologies constructed by applying 576 unique pipelines to the same fMRI data, obtained from considering combinations of atlas type and size, edge definition and thresholding, and use of global signal regression. We adopted the portrait divergence, an information-theoretic criterion to measure differences in network topology across all scales, enabling us to quantify the influence of different pipelines on the overall organisation of the resulting network. Remarkably, our findings reveal that the choice of pipeline plays a fundamental role in determining how reproducible an individual's brain network topology will be across different scans: there is large and systematic variability across pipelines, such that an inappropriate choice of pipeline can distort the resulting network more than an interval of several months between scans. Across datasets and time-spans, we also identify specific combinations of data-processing steps that consistently yield networks with reproducible topology, enabling us to make recommendations about best practices to ensure high-quality brain networks.\n\n### Competing Interest Statement\n\nThe authors have declared no competing interest.","author":[{"dropping-particle":"","family":"Luppi","given":"Andrea I","non-dropping-particle":"","parse-names":false,"suffix":""},{"dropping-particle":"","family":"Gellersen","given":"Helena M","non-dropping-particle":"","parse-names":false,"suffix":""},{"dropping-particle":"","family":"Peattie","given":"Alexander R.D.","non-dropping-particle":"","parse-names":false,"suffix":""},{"dropping-particle":"","family":"Manktelow","given":"Anne E.","non-dropping-particle":"","parse-names":false,"suffix":""},{"dropping-particle":"","family":"Menon","given":"David","non-dropping-particle":"","parse-names":false,"suffix":""},{"dropping-particle":"","family":"Dimitriadis","given":"Stavros I","non-dropping-particle":"","parse-names":false,"suffix":""},{"dropping-particle":"","family":"Stamatakis","given":"Emmanuel A","non-dropping-particle":"","parse-names":false,"suffix":""}],"container-title":"bioRxiv","id":"ITEM-3","issued":{"date-parts":[["2021"]]},"page":"2021.07.13.452257","title":"Searching for Consistent Brain Network Topologies Across the Garden of (Shortest) Forking Paths","type":"article-journal"},"uris":["http://www.mendeley.com/documents/?uuid=157f091f-6be8-495f-b8b8-17caadfa414c"]},{"id":"ITEM-4","itemData":{"DOI":"10.3389/fnins.2018.00506","ISSN":"1662453X","abstract":"The resting activity of the brain can be described by so-called intrinsic connectivity networks (ICNs), which consist of spatially and temporally distributed, but functionally connected, nodes. The coordinated activity of the resting state can be explored via magnetoencephalography (MEG) by studying frequency-dependent functional brain networks at the source level. Although many algorithms for the analysis of brain connectivity have been proposed, the reliability of network metrics derived from both static and dynamic functional connectivity is still unknown. This is a particular problem for studies of associations between ICN metrics and personality variables or other traits, and for studies of differences between patient and control groups, which both depend critically on the reliability of the metrics used. A detailed investigation of the reliability of metrics derived from resting-state MEG repeat scans is therefore a prerequisite for the development of connectomic biomarkers. Here, we first estimated both static (SFC) and dynamic functional connectivity (DFC) after beamforming source reconstruction using the imaginary part of the phase locking index (iPLV) and the correlation of the amplitude envelope (CorEnv). Using our approach, functional network microstates (FCμstates) were derived from the DFC and chronnectomics were computed from the evolution of FCμstates across experimental time. In both temporal scales, the reliability of network metrics (SFC), the FCμstates and the related chronnectomics were evaluated for every frequency band. Chronnectomic statistics and FCμstates were generally more reliable than node-wise static network metrics. CorEnv-based network metrics were more reproducible at the static approach. The reliability of chronnectomics have been evaluated also in a second dataset. This study encourages the analysis of MEG resting-state via DFC.","author":[{"dropping-particle":"","family":"Dimitriadis","given":"Stavros I.","non-dropping-particle":"","parse-names":false,"suffix":""},{"dropping-particle":"","family":"Routley","given":"Bethany","non-dropping-particle":"","parse-names":false,"suffix":""},{"dropping-particle":"","family":"Linden","given":"David E.","non-dropping-particle":"","parse-names":false,"suffix":""},{"dropping-particle":"","family":"Singh","given":"Krish D.","non-dropping-particle":"","parse-names":false,"suffix":""}],"container-title":"Frontiers in Neuroscience","id":"ITEM-4","issue":"AUG","issued":{"date-parts":[["2018"]]},"title":"Reliability of static and dynamic network metrics in the resting-state: A MEG-beamformed connectivity analysis","type":"article-journal","volume":"12"},"uris":["http://www.mendeley.com/documents/?uuid=46ece4b1-48d3-40d2-89ec-b37a7fdf05de"]}],"mendeley":{"formattedCitation":"(Dimitriadis et al. 2018; Dimitriadis, Antonakakis, et al. 2017; Dimitriadis, Salis, et al. 2017; Luppi, Gellersen, et al. 2021)","plainTextFormattedCitation":"(Dimitriadis et al. 2018; Dimitriadis, Antonakakis, et al. 2017; Dimitriadis, Salis, et al. 2017; Luppi, Gellersen, et al. 2021)","previouslyFormattedCitation":"[12–15]"},"properties":{"noteIndex":0},"schema":"https://github.com/citation-style-language/schema/raw/master/csl-citation.json"}</w:instrText>
      </w:r>
      <w:r w:rsidR="006158D4" w:rsidRPr="00C025DA">
        <w:rPr>
          <w:rFonts w:cs="Times New Roman"/>
        </w:rPr>
        <w:fldChar w:fldCharType="separate"/>
      </w:r>
      <w:r w:rsidR="00EA2DE3" w:rsidRPr="00EA2DE3">
        <w:rPr>
          <w:rFonts w:cs="Times New Roman"/>
          <w:noProof/>
        </w:rPr>
        <w:t>(Dimitriadis et al. 2018; Dimitriadis, Antonakakis, et al. 2017; Dimitriadis, Salis, et al. 2017; Luppi, Gellersen, et al. 2021)</w:t>
      </w:r>
      <w:r w:rsidR="006158D4" w:rsidRPr="00C025DA">
        <w:rPr>
          <w:rFonts w:cs="Times New Roman"/>
        </w:rPr>
        <w:fldChar w:fldCharType="end"/>
      </w:r>
      <w:r w:rsidR="00A1004B" w:rsidRPr="00C025DA">
        <w:rPr>
          <w:rFonts w:cs="Times New Roman"/>
        </w:rPr>
        <w:t xml:space="preserve"> </w:t>
      </w:r>
      <w:r w:rsidR="006158D4" w:rsidRPr="00C025DA">
        <w:rPr>
          <w:rFonts w:cs="Times New Roman"/>
        </w:rPr>
        <w:t xml:space="preserve">The ‘O’ in OMST refers to the orthogonality between trees, a differentiating aspect from MST being, the creation of multiple trees that do not share common edges, instead of a single tree connecting all graph nodes. Multiple MSTs are formed, and the trees characterized by the most efficient information transfer are retained. The graph measure of </w:t>
      </w:r>
      <w:r w:rsidR="00A1004B" w:rsidRPr="00C025DA">
        <w:rPr>
          <w:rFonts w:cs="Times New Roman"/>
        </w:rPr>
        <w:t>g</w:t>
      </w:r>
      <w:r w:rsidR="006158D4" w:rsidRPr="00C025DA">
        <w:rPr>
          <w:rFonts w:cs="Times New Roman"/>
        </w:rPr>
        <w:t xml:space="preserve">lobal efficiency is utilized for quantifying this aspect of each MST, while overall wiring cost is also minimized. Cost refers to the ratio of the total edge weight divided by the total edge weight of the unreduced fully weighted graph. Multiple orthogonal (without overlapping edges) MSTs are combined, and the formed network ranked according to </w:t>
      </w:r>
      <w:r w:rsidR="00A1004B" w:rsidRPr="00C025DA">
        <w:rPr>
          <w:rFonts w:cs="Times New Roman"/>
        </w:rPr>
        <w:t>g</w:t>
      </w:r>
      <w:r w:rsidR="006158D4" w:rsidRPr="00C025DA">
        <w:rPr>
          <w:rFonts w:cs="Times New Roman"/>
        </w:rPr>
        <w:t xml:space="preserve">lobal </w:t>
      </w:r>
      <w:r w:rsidR="00A1004B" w:rsidRPr="00C025DA">
        <w:rPr>
          <w:rFonts w:cs="Times New Roman"/>
        </w:rPr>
        <w:t>e</w:t>
      </w:r>
      <w:r w:rsidR="006158D4" w:rsidRPr="00C025DA">
        <w:rPr>
          <w:rFonts w:cs="Times New Roman"/>
        </w:rPr>
        <w:t xml:space="preserve">fficiency minus </w:t>
      </w:r>
      <w:r w:rsidR="00A1004B" w:rsidRPr="00C025DA">
        <w:rPr>
          <w:rFonts w:cs="Times New Roman"/>
        </w:rPr>
        <w:t>c</w:t>
      </w:r>
      <w:r w:rsidR="006158D4" w:rsidRPr="00C025DA">
        <w:rPr>
          <w:rFonts w:cs="Times New Roman"/>
        </w:rPr>
        <w:t>ost over cost</w:t>
      </w:r>
      <w:r w:rsidR="00A44D95" w:rsidRPr="00C025DA">
        <w:rPr>
          <w:rFonts w:cs="Times New Roman"/>
        </w:rPr>
        <w:t xml:space="preserve"> </w:t>
      </w:r>
      <w:r w:rsidR="006158D4" w:rsidRPr="00C025DA">
        <w:rPr>
          <w:rFonts w:cs="Times New Roman"/>
        </w:rPr>
        <w:fldChar w:fldCharType="begin" w:fldLock="1"/>
      </w:r>
      <w:r w:rsidR="00EA2DE3">
        <w:rPr>
          <w:rFonts w:cs="Times New Roman"/>
        </w:rPr>
        <w:instrText>ADDIN CSL_CITATION {"citationItems":[{"id":"ITEM-1","itemData":{"DOI":"10.3389/fninf.2017.00028","ISSN":"16625196","abstract":"The human brain is a large-scale system of functionally connected brain regions. This systemcan be modeled as a network, or graph, by dividing the brain into a set of regions, or “nodes,” and quantifying the strength of the connections between nodes, or “edges,” as the temporal correlation in their patterns of activity. Network analysis, a part of graph theory, provides a set of summary statistics that can be used to describe complex brain networks in a meaningful way. The large-scale organization of the brain has features of complex networks that can be quantified using network measures from graph theory. The adaptation of both bivariate (mutual information) and multivariate (Granger causality) connectivity estimators to quantify the synchronization between multichannel recordings yields a fully connected, weighted, (a)symmetric functional connectivity graph (FCG), representing the associations among all brain areas. The aforementioned procedure leads to an extremely dense network of tens up to a fewhundreds of weights. Therefore, this FCG must be filtered out so that the “true” connectivity pattern can emerge. Here, we compared a large number of well-known topological thresholding techniques with the novel proposed data-driven scheme based on orthogonal minimal spanning trees (OMSTs). OMSTs filter brain connectivity networks based on the optimization between the global efficiency of the network and the cost preserving its wiring. We demonstrated the proposed method in a large EEG database (N = 101 subjects) with eyes-open (EO) and eyes-closed (EC) tasks by adopting a time-varying approach with the main goal to extract features that can totally distinguish each subject from the rest of the set. Additionally, the reliability of the proposed scheme was estimated in a second case study of fMRI resting-state activity with multiple scans. Our results demonstrated clearly that the proposed thresholding scheme outperformed a large list of thresholding schemes based on the recognition accuracy of each subject compared to the rest of the cohort (EEG). Additionally, the reliability of the network metrics based on the fMRI static networks was improved based on the proposed topological filtering scheme. Overall, the proposed algorithm could be used across neuroimaging and multimodal studies as a common computationally efficient standardized tool for a great number of neuroscientists and physicists working on numerous of projects.","author":[{"dropping-particle":"","family":"Dimitriadis","given":"Stavros I.","non-dropping-particle":"","parse-names":false,"suffix":""},{"dropping-particle":"","family":"Salis","given":"Christos","non-dropping-particle":"","parse-names":false,"suffix":""},{"dropping-particle":"","family":"Tarnanas","given":"Ioannis","non-dropping-particle":"","parse-names":false,"suffix":""},{"dropping-particle":"","family":"Linden","given":"David E.","non-dropping-particle":"","parse-names":false,"suffix":""}],"container-title":"Frontiers in Neuroinformatics","id":"ITEM-1","issue":"April","issued":{"date-parts":[["2017"]]},"title":"Topological filtering of dynamic functional brain networks unfolds informative chronnectomics: A novel data-driven thresholding scheme based on orthogonal minimal spanning trees (OMSTs)","type":"article-journal","volume":"11"},"uris":["http://www.mendeley.com/documents/?uuid=dc28c3ba-a224-48bd-840e-cf87f3cc8e95"]}],"mendeley":{"formattedCitation":"(Dimitriadis, Salis, et al. 2017)","plainTextFormattedCitation":"(Dimitriadis, Salis, et al. 2017)","previouslyFormattedCitation":"[13]"},"properties":{"noteIndex":0},"schema":"https://github.com/citation-style-language/schema/raw/master/csl-citation.json"}</w:instrText>
      </w:r>
      <w:r w:rsidR="006158D4" w:rsidRPr="00C025DA">
        <w:rPr>
          <w:rFonts w:cs="Times New Roman"/>
        </w:rPr>
        <w:fldChar w:fldCharType="separate"/>
      </w:r>
      <w:r w:rsidR="00EA2DE3" w:rsidRPr="00EA2DE3">
        <w:rPr>
          <w:rFonts w:cs="Times New Roman"/>
          <w:noProof/>
        </w:rPr>
        <w:t>(Dimitriadis, Salis, et al. 2017)</w:t>
      </w:r>
      <w:r w:rsidR="006158D4" w:rsidRPr="00C025DA">
        <w:rPr>
          <w:rFonts w:cs="Times New Roman"/>
        </w:rPr>
        <w:fldChar w:fldCharType="end"/>
      </w:r>
      <w:r w:rsidR="00A44D95" w:rsidRPr="00C025DA">
        <w:rPr>
          <w:rFonts w:cs="Times New Roman"/>
        </w:rPr>
        <w:t>.</w:t>
      </w:r>
      <w:r w:rsidR="006158D4" w:rsidRPr="00C025DA">
        <w:rPr>
          <w:rFonts w:cs="Times New Roman"/>
        </w:rPr>
        <w:t xml:space="preserve"> This is repeated for a range of sequentially derived OMSTs, while connections are aggregated to the main network and the objective function </w:t>
      </w:r>
      <w:r w:rsidR="006158D4" w:rsidRPr="00C025DA">
        <w:rPr>
          <w:rFonts w:cs="Times New Roman"/>
          <w:i/>
          <w:iCs/>
        </w:rPr>
        <w:t>J</w:t>
      </w:r>
      <w:r w:rsidR="006158D4" w:rsidRPr="00C025DA">
        <w:rPr>
          <w:rFonts w:cs="Times New Roman"/>
        </w:rPr>
        <w:t xml:space="preserve"> computed. The network that maximizes the GE – Cost over Cost value is considered optimal and used as the final reduced network. </w:t>
      </w:r>
    </w:p>
    <w:p w14:paraId="0110852F" w14:textId="77777777" w:rsidR="006158D4" w:rsidRDefault="00EA2DE3" w:rsidP="00777A99">
      <w:pPr>
        <w:jc w:val="center"/>
      </w:pPr>
      <m:oMathPara>
        <m:oMath>
          <m:sSubSup>
            <m:sSubSupPr>
              <m:ctrlPr>
                <w:rPr>
                  <w:rFonts w:ascii="Cambria Math" w:hAnsi="Cambria Math"/>
                  <w:i/>
                  <w:color w:val="000000" w:themeColor="text1"/>
                </w:rPr>
              </m:ctrlPr>
            </m:sSubSupPr>
            <m:e>
              <m:r>
                <w:rPr>
                  <w:rFonts w:ascii="Cambria Math" w:hAnsi="Cambria Math"/>
                </w:rPr>
                <m:t>J</m:t>
              </m:r>
            </m:e>
            <m:sub>
              <m:r>
                <w:rPr>
                  <w:rFonts w:ascii="Cambria Math" w:hAnsi="Cambria Math"/>
                </w:rPr>
                <m:t>GCE</m:t>
              </m:r>
            </m:sub>
            <m:sup>
              <m:r>
                <w:rPr>
                  <w:rFonts w:ascii="Cambria Math" w:hAnsi="Cambria Math"/>
                </w:rPr>
                <m:t>OMSTs</m:t>
              </m:r>
            </m:sup>
          </m:sSubSup>
          <m:r>
            <w:rPr>
              <w:rFonts w:ascii="Cambria Math" w:hAnsi="Cambria Math"/>
            </w:rPr>
            <m:t>=GE-Cost</m:t>
          </m:r>
        </m:oMath>
      </m:oMathPara>
    </w:p>
    <w:p w14:paraId="245D725F" w14:textId="35196155" w:rsidR="006158D4" w:rsidRPr="00C025DA" w:rsidRDefault="006158D4" w:rsidP="00C025DA">
      <w:pPr>
        <w:spacing w:line="360" w:lineRule="auto"/>
        <w:rPr>
          <w:rFonts w:cs="Times New Roman"/>
        </w:rPr>
      </w:pPr>
      <w:r w:rsidRPr="00C025DA">
        <w:rPr>
          <w:rFonts w:cs="Times New Roman"/>
        </w:rPr>
        <w:t xml:space="preserve">An example of the use of OMST can be seen in </w:t>
      </w:r>
      <w:r w:rsidR="00A1004B" w:rsidRPr="00C025DA">
        <w:rPr>
          <w:rFonts w:cs="Times New Roman"/>
        </w:rPr>
        <w:t xml:space="preserve">Supplementary </w:t>
      </w:r>
      <w:r w:rsidR="00DF617B" w:rsidRPr="00C025DA">
        <w:rPr>
          <w:rFonts w:cs="Times New Roman"/>
        </w:rPr>
        <w:t xml:space="preserve">Figure </w:t>
      </w:r>
      <w:r w:rsidR="007B2F6E" w:rsidRPr="00C025DA">
        <w:rPr>
          <w:rFonts w:cs="Times New Roman"/>
        </w:rPr>
        <w:t>4</w:t>
      </w:r>
      <w:r w:rsidRPr="00C025DA">
        <w:rPr>
          <w:rFonts w:cs="Times New Roman"/>
        </w:rPr>
        <w:t>, where the original unreduced network is presented next to the reduced network. OMST was utilized for graph reduction purposes in the present analysis, providing the desired sparsity in individual subject’s FCGs. Statistical filtering through surrogate time series has also been implemented prior to OMST</w:t>
      </w:r>
      <w:r w:rsidR="000C35F1" w:rsidRPr="00C025DA">
        <w:rPr>
          <w:rFonts w:cs="Times New Roman"/>
        </w:rPr>
        <w:t xml:space="preserve"> </w:t>
      </w:r>
      <w:r w:rsidRPr="00C025DA">
        <w:rPr>
          <w:rFonts w:cs="Times New Roman"/>
        </w:rPr>
        <w:fldChar w:fldCharType="begin" w:fldLock="1"/>
      </w:r>
      <w:r w:rsidR="00EA2DE3">
        <w:rPr>
          <w:rFonts w:cs="Times New Roman"/>
        </w:rPr>
        <w:instrText>ADDIN CSL_CITATION {"citationItems":[{"id":"ITEM-1","itemData":{"DOI":"10.3389/fninf.2017.00028","ISSN":"16625196","abstract":"The human brain is a large-scale system of functionally connected brain regions. This systemcan be modeled as a network, or graph, by dividing the brain into a set of regions, or “nodes,” and quantifying the strength of the connections between nodes, or “edges,” as the temporal correlation in their patterns of activity. Network analysis, a part of graph theory, provides a set of summary statistics that can be used to describe complex brain networks in a meaningful way. The large-scale organization of the brain has features of complex networks that can be quantified using network measures from graph theory. The adaptation of both bivariate (mutual information) and multivariate (Granger causality) connectivity estimators to quantify the synchronization between multichannel recordings yields a fully connected, weighted, (a)symmetric functional connectivity graph (FCG), representing the associations among all brain areas. The aforementioned procedure leads to an extremely dense network of tens up to a fewhundreds of weights. Therefore, this FCG must be filtered out so that the “true” connectivity pattern can emerge. Here, we compared a large number of well-known topological thresholding techniques with the novel proposed data-driven scheme based on orthogonal minimal spanning trees (OMSTs). OMSTs filter brain connectivity networks based on the optimization between the global efficiency of the network and the cost preserving its wiring. We demonstrated the proposed method in a large EEG database (N = 101 subjects) with eyes-open (EO) and eyes-closed (EC) tasks by adopting a time-varying approach with the main goal to extract features that can totally distinguish each subject from the rest of the set. Additionally, the reliability of the proposed scheme was estimated in a second case study of fMRI resting-state activity with multiple scans. Our results demonstrated clearly that the proposed thresholding scheme outperformed a large list of thresholding schemes based on the recognition accuracy of each subject compared to the rest of the cohort (EEG). Additionally, the reliability of the network metrics based on the fMRI static networks was improved based on the proposed topological filtering scheme. Overall, the proposed algorithm could be used across neuroimaging and multimodal studies as a common computationally efficient standardized tool for a great number of neuroscientists and physicists working on numerous of projects.","author":[{"dropping-particle":"","family":"Dimitriadis","given":"Stavros I.","non-dropping-particle":"","parse-names":false,"suffix":""},{"dropping-particle":"","family":"Salis","given":"Christos","non-dropping-particle":"","parse-names":false,"suffix":""},{"dropping-particle":"","family":"Tarnanas","given":"Ioannis","non-dropping-particle":"","parse-names":false,"suffix":""},{"dropping-particle":"","family":"Linden","given":"David E.","non-dropping-particle":"","parse-names":false,"suffix":""}],"container-title":"Frontiers in Neuroinformatics","id":"ITEM-1","issue":"April","issued":{"date-parts":[["2017"]]},"title":"Topological filtering of dynamic functional brain networks unfolds informative chronnectomics: A novel data-driven thresholding scheme based on orthogonal minimal spanning trees (OMSTs)","type":"article-journal","volume":"11"},"uris":["http://www.mendeley.com/documents/?uuid=dc28c3ba-a224-48bd-840e-cf87f3cc8e95"]}],"mendeley":{"formattedCitation":"(Dimitriadis, Salis, et al. 2017)","plainTextFormattedCitation":"(Dimitriadis, Salis, et al. 2017)","previouslyFormattedCitation":"[13]"},"properties":{"noteIndex":0},"schema":"https://github.com/citation-style-language/schema/raw/master/csl-citation.json"}</w:instrText>
      </w:r>
      <w:r w:rsidRPr="00C025DA">
        <w:rPr>
          <w:rFonts w:cs="Times New Roman"/>
        </w:rPr>
        <w:fldChar w:fldCharType="separate"/>
      </w:r>
      <w:r w:rsidR="00EA2DE3" w:rsidRPr="00EA2DE3">
        <w:rPr>
          <w:rFonts w:cs="Times New Roman"/>
          <w:noProof/>
        </w:rPr>
        <w:t>(Dimitriadis, Salis, et al. 2017)</w:t>
      </w:r>
      <w:r w:rsidRPr="00C025DA">
        <w:rPr>
          <w:rFonts w:cs="Times New Roman"/>
        </w:rPr>
        <w:fldChar w:fldCharType="end"/>
      </w:r>
      <w:r w:rsidR="000C35F1" w:rsidRPr="00C025DA">
        <w:rPr>
          <w:rFonts w:cs="Times New Roman"/>
        </w:rPr>
        <w:t>.</w:t>
      </w:r>
      <w:r w:rsidRPr="00C025DA">
        <w:rPr>
          <w:rFonts w:cs="Times New Roman"/>
        </w:rPr>
        <w:t xml:space="preserve"> However, preliminary analyses on the current rs-fMRI dataset using this method resulted in excessively sparse networks with insufficient connections to assess, and interpret, potential group differences. Finally, it must be noted that as a standalone graph reduction / network extraction technique, OMST significantly prevails over surrogate-based methods in terms of speed, an important point especially in studies where MI is used, as its computation is very time consuming. </w:t>
      </w:r>
    </w:p>
    <w:p w14:paraId="0C658BEE" w14:textId="5185ED5C" w:rsidR="006158D4" w:rsidRDefault="006158D4" w:rsidP="00777A99">
      <w:pPr>
        <w:keepNext/>
      </w:pPr>
      <w:r>
        <w:rPr>
          <w:noProof/>
        </w:rPr>
        <w:lastRenderedPageBreak/>
        <w:drawing>
          <wp:inline distT="0" distB="0" distL="0" distR="0" wp14:anchorId="7958531E" wp14:editId="5CE4AAFC">
            <wp:extent cx="5731510" cy="2332990"/>
            <wp:effectExtent l="0" t="0" r="2540" b="0"/>
            <wp:docPr id="7" name="Picture 7"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10;&#10;Description automatically generated with low confiden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2332990"/>
                    </a:xfrm>
                    <a:prstGeom prst="rect">
                      <a:avLst/>
                    </a:prstGeom>
                    <a:noFill/>
                  </pic:spPr>
                </pic:pic>
              </a:graphicData>
            </a:graphic>
          </wp:inline>
        </w:drawing>
      </w:r>
    </w:p>
    <w:p w14:paraId="2EB5E195" w14:textId="64638CB4" w:rsidR="006158D4" w:rsidRDefault="00A1004B" w:rsidP="00777A99">
      <w:pPr>
        <w:pStyle w:val="Caption"/>
        <w:spacing w:line="480" w:lineRule="auto"/>
        <w:jc w:val="center"/>
      </w:pPr>
      <w:r>
        <w:t>Supplementary f</w:t>
      </w:r>
      <w:r w:rsidR="006158D4">
        <w:t xml:space="preserve">igure </w:t>
      </w:r>
      <w:r w:rsidR="007B2F6E">
        <w:t>4</w:t>
      </w:r>
      <w:r w:rsidR="005F7275">
        <w:t xml:space="preserve"> </w:t>
      </w:r>
      <w:r w:rsidR="006158D4" w:rsidRPr="00BF1836">
        <w:rPr>
          <w:b w:val="0"/>
          <w:bCs w:val="0"/>
        </w:rPr>
        <w:t xml:space="preserve">– Left: </w:t>
      </w:r>
      <w:r w:rsidR="005F7275">
        <w:rPr>
          <w:b w:val="0"/>
          <w:bCs w:val="0"/>
        </w:rPr>
        <w:t>FCG based on Pearson correlations</w:t>
      </w:r>
      <w:r w:rsidR="006158D4" w:rsidRPr="00BF1836">
        <w:rPr>
          <w:b w:val="0"/>
          <w:bCs w:val="0"/>
        </w:rPr>
        <w:t>, Right: Same FCG after OMST reduction</w:t>
      </w:r>
    </w:p>
    <w:p w14:paraId="4E1D7CBB" w14:textId="0FCC4DF8" w:rsidR="0099689C" w:rsidRDefault="00EF1B0B" w:rsidP="00777A99">
      <w:pPr>
        <w:pStyle w:val="Heading2"/>
      </w:pPr>
      <w:r>
        <w:t>Functional Connectivity Estimation</w:t>
      </w:r>
    </w:p>
    <w:p w14:paraId="3F0B8027" w14:textId="77777777" w:rsidR="00EF1B0B" w:rsidRPr="00C80815" w:rsidRDefault="00EF1B0B" w:rsidP="00777A99">
      <w:pPr>
        <w:pStyle w:val="Heading3"/>
      </w:pPr>
      <w:r w:rsidRPr="00C80815">
        <w:t>Static functional connectivity (SFC)</w:t>
      </w:r>
    </w:p>
    <w:p w14:paraId="34864B81" w14:textId="2AA208DE" w:rsidR="00EF1B0B" w:rsidRPr="00C025DA" w:rsidRDefault="00EF1B0B" w:rsidP="00C025DA">
      <w:pPr>
        <w:spacing w:line="360" w:lineRule="auto"/>
        <w:rPr>
          <w:rFonts w:cs="Times New Roman"/>
          <w:lang w:val="en-US"/>
        </w:rPr>
      </w:pPr>
      <w:r w:rsidRPr="00C025DA">
        <w:rPr>
          <w:rFonts w:cs="Times New Roman"/>
          <w:lang w:val="en-US"/>
        </w:rPr>
        <w:t>As is typical in Mutual Information (MI) connectivity studies, all edges were divided by the maximum of the matrix to normalize values between 0 and 1. MI-derived FCGs are strictly positive due to the nature of the metric, whereas for the more commonly used Pearson correlation coefficient (Prsn) only positive connections were retained while negative edges were set two zero, as is common practice in network neuroscience studies</w:t>
      </w:r>
      <w:r w:rsidR="000C35F1" w:rsidRPr="00C025DA">
        <w:rPr>
          <w:rFonts w:cs="Times New Roman"/>
          <w:lang w:val="en-US"/>
        </w:rPr>
        <w:t xml:space="preserve"> </w:t>
      </w:r>
      <w:r w:rsidRPr="00C025DA">
        <w:rPr>
          <w:rFonts w:cs="Times New Roman"/>
          <w:lang w:val="en-US"/>
        </w:rPr>
        <w:fldChar w:fldCharType="begin" w:fldLock="1"/>
      </w:r>
      <w:r w:rsidR="00EA2DE3">
        <w:rPr>
          <w:rFonts w:cs="Times New Roman"/>
          <w:lang w:val="en-US"/>
        </w:rPr>
        <w:instrText>ADDIN CSL_CITATION {"citationItems":[{"id":"ITEM-1","itemData":{"DOI":"10.1016/j.jad.2021.04.061","ISSN":"15732517","PMID":"33991943","abstract":"Background: Both childhood trauma and disruptions in brain functional networks are implicated in the development of psychiatric disorders in early adulthood. However, the relationships between these two factors remain unclear. This study aimed to investigate whether and how childhood trauma would relate to changes of functional network dynamics in young adults. Methods: Resting-state functional magnetic resonance imaging data were collected from 53 young healthy adults, whose childhood trauma histories were assessed by the Childhood Trauma Questionnaire (CTQ). Network switching rate, a measure of stability of dynamic brain networks over time, was calculated at both global and local levels for each participant. Switching rates at both levels were compared between participants with and without childhood trauma, and further correlated with CTQ total score. Results: In the current sample, 19 (35.8%) participants reported a history of childhood trauma. At the global level, participants with childhood trauma showed significantly higher network switching rates than those without trauma (F = 10.021, p = 0.003). A significant positive correlation was found between network switching rates and CTQ scores in the entire sample (r = 0.378, p = 0.007). At the local level, these effects were mainly observed in the default-mode, fronto-parietal, cingulo-opercular, and occipital subnetworks. Conclusions: Our study provides preliminary evidence for a possible long-term effect of childhood trauma on brain functional dynamism. These findings may have potential contributions to psychiatric disorders during adulthood.","author":[{"dropping-particle":"","family":"Huang","given":"Danqing","non-dropping-particle":"","parse-names":false,"suffix":""},{"dropping-particle":"","family":"Liu","given":"Zhening","non-dropping-particle":"","parse-names":false,"suffix":""},{"dropping-particle":"","family":"Cao","given":"Hengyi","non-dropping-particle":"","parse-names":false,"suffix":""},{"dropping-particle":"","family":"Yang","given":"Jie","non-dropping-particle":"","parse-names":false,"suffix":""},{"dropping-particle":"","family":"Wu","given":"Zhipeng","non-dropping-particle":"","parse-names":false,"suffix":""},{"dropping-particle":"","family":"Long","given":"Yicheng","non-dropping-particle":"","parse-names":false,"suffix":""}],"container-title":"Journal of Affective Disorders","id":"ITEM-1","issue":"May","issued":{"date-parts":[["2021"]]},"page":"23-30","publisher":"Elsevier B.V.","title":"Childhood trauma is linked to decreased temporal stability of functional brain networks in young adults","type":"article-journal","volume":"290"},"uris":["http://www.mendeley.com/documents/?uuid=39aa51d1-05d7-4101-be53-03187ad23a3d"]},{"id":"ITEM-2","itemData":{"DOI":"10.21037/atm.2019.12.45","ISSN":"23055839","abstract":"BACKGROUND: Psychological resilience is an important personality trait whose  decrease is associated with many common psychiatric disorders, but the neural mechanisms underlying it remain largely unclear. In this study, we aimed to explore the neural correlates of psychological resilience in healthy adults by investigating its relationship with functional brain network flexibility, a fundamental dynamic feature of brain network defined by switching frequency of its modular community structures. METHODS: Resting-state functional magnetic resonance imaging (fMRI) scans were acquired from 41 healthy adults, whose psychological resilience was quantified by the Connor-Davidson Resilience Scale (CD-RISC). Dynamic functional brain network was constructed for each subject, whose flexibility was calculated at all the global, subnetwork and region-of-interest (ROI) levels. After that, the associations between CD-RISC score and brain network flexibility were assessed at all levels by partial correlations controlling for age, sex, education and head motion. Correlation was also tested between the CD-RISC score and modularity of conventional static brain network for comparative purposes. RESULTS: The CD-RISC score was significant negatively correlated with the brain network flexibility at global level (r=-0.533, P=0.001), and with flexibility of the visual subnetwork at subnetwork level (r=-0.576, corrected P=0.002). Moreover, significant (corrected P&lt;0.05) or trends for (corrected P&lt;0.10) negative correlations were found between the CD-RISC score and flexibilities of a number of visual and default-mode areas at ROI level. Meanwhile, the modularity of static brain network did not reveal significant correlation with CD-RISC score (P&gt;0.05). CONCLUSIONS: Our results suggest that excessive fluctuations of the functional brain community structures during rest may be indicative of a lower psychological resilience, and the visual and default-mode systems may play crucial roles in such relationship. These findings may provide important implications for improving our understanding of the psychological resilience.","author":[{"dropping-particle":"","family":"Long","given":"Yicheng","non-dropping-particle":"","parse-names":false,"suffix":""},{"dropping-particle":"","family":"Chen","given":"Chujun","non-dropping-particle":"","parse-names":false,"suffix":""},{"dropping-particle":"","family":"Deng","given":"Mengjie","non-dropping-particle":"","parse-names":false,"suffix":""},{"dropping-particle":"","family":"Huang","given":"Xiaojun","non-dropping-particle":"","parse-names":false,"suffix":""},{"dropping-particle":"","family":"Tan","given":"Wenjian","non-dropping-particle":"","parse-names":false,"suffix":""},{"dropping-particle":"","family":"Zhang","given":"Li","non-dropping-particle":"","parse-names":false,"suffix":""},{"dropping-particle":"","family":"Fan","given":"Zebin","non-dropping-particle":"","parse-names":false,"suffix":""},{"dropping-particle":"","family":"Liu","given":"Zhening","non-dropping-particle":"","parse-names":false,"suffix":""}],"container-title":"Annals of Translational Medicine","id":"ITEM-2","issue":"24","issued":{"date-parts":[["2019"]]},"page":"809-809","title":"Psychological resilience negatively correlates with resting-state brain network flexibility in young healthy adults: a dynamic functional magnetic resonance imaging study","type":"article-journal","volume":"7"},"uris":["http://www.mendeley.com/documents/?uuid=30d141fa-1d37-4bf0-bea8-e1e7731a0a62"]},{"id":"ITEM-3","itemData":{"DOI":"10.1073/pnas.1814785115","ISSN":"10916490","PMID":"30545918","abstract":"Large-scale brain dynamics are characterized by repeating spatiotemporal connectivity patterns that reflect a range of putative different brain states that underlie the dynamic repertoire of brain functions. The role of transition between brain networks is poorly understood, and whether switching between these states is important for behavior has been little studied. Our aim was to model switching between functional brain networks using multilayer network methods and test for associations between model parameters and behavioral measures. We calculated time-resolved fMRI connectivity in 1,003 healthy human adults from the Human Connectome Project. The time-resolved fMRI connectivity data were used to generate a spatiotemporal multilayer modularity model enabling us to quantify network switching, which we define as the rate at which each brain region transits between different networks. We found (i) an inverse relationship between network switching and connectivity dynamics, where the latter was defined in terms of time-resolved fMRI connections with variance in time that significantly exceeded phase-randomized surrogate data; (ii) brain connectivity was lower during intervals of network switching; (iii) brain areas with frequent network switching had greater temporal complexity; (iv) brain areas with high network switching were located in association cortices; and (v) using cross-validated elastic net regression, network switching predicted intersubject variation in working memory performance, planning/reasoning, and amount of sleep. Our findings shed light on the importance of brain dynamics predicting task performance and amount of sleep. The ability to switch between network configurations thus appears to be a fundamental feature of optimal brain function.","author":[{"dropping-particle":"","family":"Pedersen","given":"Mangor","non-dropping-particle":"","parse-names":false,"suffix":""},{"dropping-particle":"","family":"Zalesky","given":"Andrew","non-dropping-particle":"","parse-names":false,"suffix":""},{"dropping-particle":"","family":"Omidvarnia","given":"Amir","non-dropping-particle":"","parse-names":false,"suffix":""},{"dropping-particle":"","family":"Jackson","given":"Graeme D.","non-dropping-particle":"","parse-names":false,"suffix":""}],"container-title":"Proceedings of the National Academy of Sciences of the United States of America","id":"ITEM-3","issue":"52","issued":{"date-parts":[["2018"]]},"page":"13376-13381","title":"Multilayer network switching rate predicts brain performance","type":"article-journal","volume":"115"},"uris":["http://www.mendeley.com/documents/?uuid=df604b6e-9592-4c7a-aa56-44bf19364aea"]},{"id":"ITEM-4","itemData":{"DOI":"10.1093/schbul/sbz137","ISBN":"8607318553352","ISSN":"17451701","PMID":"32016430","abstract":"Background: Working memory (WM) deficit is a key feature of schizophrenia that relates to a generalized neural inefficiency of extensive brain areas. To date, it remains unknown how these distributed regions are systemically organized at the connectome level and how the disruption of such organization brings about the WM impairment seen in schizophrenia. Methods: We used graph theory to examine the neural efficiency of the functional connectome in different granularity in 155 patients with schizophrenia and 96 healthy controls during a WM task. These analyses were repeated in another independent dataset (81 patients and 54 controls). Linear regression analysis was used to test associations of altered graph properties, clinical symptoms, and WM accuracy in patients. A machine-learning approach was adopted to study the ability of multivariate connectome features from one dataset to discriminate patients from controls in the second dataset. Results: Small-worldness of the whole-brain connectome was significantly increased in schizophrenia during the WM task; this increase is related to better (though subpar) WM accuracy in patients with more severe negative symptom burden. There was a shift in the degree distribution to a more homogeneous form in patients. The machine-learning approach classified a new set of patients from controls with 84.3% true-positivity rate for schizophrenia and 71.6% overall accuracy. Conclusions: We demonstrate a putative mechanistic link between connectome topology, hub redistribution, and impaired n-back performance in schizophrenia. The task-dependent modulation of the connectome relates to, but remains inefficient in, improving the performance above par in the presence of severe negative symptoms.","author":[{"dropping-particle":"","family":"Yang","given":"Jie","non-dropping-particle":"","parse-names":false,"suffix":""},{"dropping-particle":"","family":"Pu","given":"Weidan","non-dropping-particle":"","parse-names":false,"suffix":""},{"dropping-particle":"","family":"Wu","given":"Guowei","non-dropping-particle":"","parse-names":false,"suffix":""},{"dropping-particle":"","family":"Chen","given":"Eric","non-dropping-particle":"","parse-names":false,"suffix":""},{"dropping-particle":"","family":"Lee","given":"Edwin","non-dropping-particle":"","parse-names":false,"suffix":""},{"dropping-particle":"","family":"Liu","given":"Zhening","non-dropping-particle":"","parse-names":false,"suffix":""},{"dropping-particle":"","family":"Palaniyappan","given":"Lena","non-dropping-particle":"","parse-names":false,"suffix":""}],"container-title":"Schizophrenia Bulletin","id":"ITEM-4","issue":"4","issued":{"date-parts":[["2020"]]},"page":"916-926","title":"Connectomic underpinnings of working memory deficits in schizophrenia: Evidence from a replication fMRI study","type":"article-journal","volume":"46"},"uris":["http://www.mendeley.com/documents/?uuid=b9320c9e-2e34-46b8-aada-d589f4ba8abc"]}],"mendeley":{"formattedCitation":"(Huang et al. 2021; Long et al. 2019; Pedersen et al. 2018; Yang et al. 2020)","plainTextFormattedCitation":"(Huang et al. 2021; Long et al. 2019; Pedersen et al. 2018; Yang et al. 2020)","previouslyFormattedCitation":"[16–19]"},"properties":{"noteIndex":0},"schema":"https://github.com/citation-style-language/schema/raw/master/csl-citation.json"}</w:instrText>
      </w:r>
      <w:r w:rsidRPr="00C025DA">
        <w:rPr>
          <w:rFonts w:cs="Times New Roman"/>
          <w:lang w:val="en-US"/>
        </w:rPr>
        <w:fldChar w:fldCharType="separate"/>
      </w:r>
      <w:r w:rsidR="00EA2DE3" w:rsidRPr="00EA2DE3">
        <w:rPr>
          <w:rFonts w:cs="Times New Roman"/>
          <w:noProof/>
          <w:lang w:val="en-US"/>
        </w:rPr>
        <w:t>(Huang et al. 2021; Long et al. 2019; Pedersen et al. 2018; Yang et al. 2020)</w:t>
      </w:r>
      <w:r w:rsidRPr="00C025DA">
        <w:rPr>
          <w:rFonts w:cs="Times New Roman"/>
          <w:lang w:val="en-US"/>
        </w:rPr>
        <w:fldChar w:fldCharType="end"/>
      </w:r>
      <w:r w:rsidR="000C35F1" w:rsidRPr="00C025DA">
        <w:rPr>
          <w:rFonts w:cs="Times New Roman"/>
          <w:lang w:val="en-US"/>
        </w:rPr>
        <w:t>.</w:t>
      </w:r>
      <w:r w:rsidRPr="00C025DA">
        <w:rPr>
          <w:rFonts w:cs="Times New Roman"/>
          <w:lang w:val="en-US"/>
        </w:rPr>
        <w:t xml:space="preserve"> The interpretation of negative connections is not as straightforward neurobiologically and was not in the scope of the present study.</w:t>
      </w:r>
    </w:p>
    <w:p w14:paraId="633BAF37" w14:textId="77777777" w:rsidR="00466084" w:rsidRDefault="00466084" w:rsidP="00777A99">
      <w:pPr>
        <w:rPr>
          <w:lang w:val="en-US"/>
        </w:rPr>
      </w:pPr>
    </w:p>
    <w:p w14:paraId="1F0B5D12" w14:textId="77777777" w:rsidR="00EF1B0B" w:rsidRPr="00C80815" w:rsidRDefault="00EF1B0B" w:rsidP="00777A99">
      <w:pPr>
        <w:pStyle w:val="Heading3"/>
      </w:pPr>
      <w:r w:rsidRPr="00C80815">
        <w:t>Dynamic functional connectivity (DFC)</w:t>
      </w:r>
    </w:p>
    <w:p w14:paraId="11FE40C7" w14:textId="2916C684" w:rsidR="00EF1B0B" w:rsidRPr="00C025DA" w:rsidRDefault="00EF1B0B" w:rsidP="00C025DA">
      <w:pPr>
        <w:spacing w:line="360" w:lineRule="auto"/>
        <w:rPr>
          <w:rFonts w:cs="Times New Roman"/>
          <w:lang w:val="en-US"/>
        </w:rPr>
      </w:pPr>
      <w:r>
        <w:rPr>
          <w:lang w:val="en-US"/>
        </w:rPr>
        <w:t xml:space="preserve">Several approaches exist for exploring the dynamic functional connectome, in the present work, we opted for one with a relatively fixed goal in terms of network topologies. While in </w:t>
      </w:r>
      <w:r w:rsidRPr="00C025DA">
        <w:rPr>
          <w:rFonts w:cs="Times New Roman"/>
          <w:lang w:val="en-US"/>
        </w:rPr>
        <w:t xml:space="preserve">keeping with the data-driven theme, this methodology may potentially lead to more generalizable results than some alternatives that identify network topologies more freely from </w:t>
      </w:r>
      <w:r w:rsidRPr="00C025DA">
        <w:rPr>
          <w:rFonts w:cs="Times New Roman"/>
          <w:lang w:val="en-US"/>
        </w:rPr>
        <w:lastRenderedPageBreak/>
        <w:t xml:space="preserve">the data, potentially being more sample-dependent. In the present work cartographic profiling was used to characterize brain states over time. The tapered maximum </w:t>
      </w:r>
      <w:bookmarkStart w:id="6" w:name="_Hlk98261050"/>
      <w:r w:rsidRPr="00C025DA">
        <w:rPr>
          <w:rFonts w:cs="Times New Roman"/>
          <w:lang w:val="en-US"/>
        </w:rPr>
        <w:t>overlapping sliding window</w:t>
      </w:r>
      <w:bookmarkEnd w:id="6"/>
      <w:r w:rsidRPr="00C025DA">
        <w:rPr>
          <w:rFonts w:cs="Times New Roman"/>
          <w:lang w:val="en-US"/>
        </w:rPr>
        <w:t xml:space="preserve"> approach utilized in the present study is illustrated in Supplementary Figure </w:t>
      </w:r>
      <w:r w:rsidR="003C60C3" w:rsidRPr="00C025DA">
        <w:rPr>
          <w:rFonts w:cs="Times New Roman"/>
          <w:lang w:val="en-US"/>
        </w:rPr>
        <w:t>5</w:t>
      </w:r>
      <w:r w:rsidRPr="00C025DA">
        <w:rPr>
          <w:rFonts w:cs="Times New Roman"/>
          <w:lang w:val="en-US"/>
        </w:rPr>
        <w:t xml:space="preserve">. </w:t>
      </w:r>
    </w:p>
    <w:p w14:paraId="6207BF79" w14:textId="77777777" w:rsidR="00EF1B0B" w:rsidRDefault="00EF1B0B" w:rsidP="00777A99">
      <w:pPr>
        <w:keepNext/>
        <w:jc w:val="center"/>
      </w:pPr>
      <w:r>
        <w:rPr>
          <w:noProof/>
          <w:lang w:val="en-US"/>
        </w:rPr>
        <w:drawing>
          <wp:inline distT="0" distB="0" distL="0" distR="0" wp14:anchorId="073CDDEC" wp14:editId="2517A3AB">
            <wp:extent cx="3416222" cy="2424023"/>
            <wp:effectExtent l="0" t="0" r="0" b="0"/>
            <wp:docPr id="3" name="Picture 3"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imelin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39537" cy="2440566"/>
                    </a:xfrm>
                    <a:prstGeom prst="rect">
                      <a:avLst/>
                    </a:prstGeom>
                    <a:noFill/>
                    <a:ln>
                      <a:noFill/>
                    </a:ln>
                  </pic:spPr>
                </pic:pic>
              </a:graphicData>
            </a:graphic>
          </wp:inline>
        </w:drawing>
      </w:r>
    </w:p>
    <w:p w14:paraId="67E1CB1F" w14:textId="103ED3D5" w:rsidR="00466084" w:rsidRPr="00D139AD" w:rsidRDefault="007B2F6E" w:rsidP="00777A99">
      <w:pPr>
        <w:pStyle w:val="Caption"/>
        <w:spacing w:line="480" w:lineRule="auto"/>
        <w:jc w:val="center"/>
        <w:rPr>
          <w:b w:val="0"/>
          <w:bCs w:val="0"/>
          <w:i/>
          <w:iCs/>
          <w:szCs w:val="24"/>
        </w:rPr>
      </w:pPr>
      <w:r>
        <w:rPr>
          <w:i/>
          <w:iCs/>
          <w:szCs w:val="24"/>
        </w:rPr>
        <w:t>S</w:t>
      </w:r>
      <w:r w:rsidR="00EF1B0B" w:rsidRPr="00C946F8">
        <w:rPr>
          <w:i/>
          <w:iCs/>
          <w:szCs w:val="24"/>
        </w:rPr>
        <w:t xml:space="preserve">upplementary </w:t>
      </w:r>
      <w:r>
        <w:rPr>
          <w:i/>
          <w:iCs/>
          <w:szCs w:val="24"/>
        </w:rPr>
        <w:t>f</w:t>
      </w:r>
      <w:r w:rsidR="00EF1B0B" w:rsidRPr="00C946F8">
        <w:rPr>
          <w:i/>
          <w:iCs/>
          <w:szCs w:val="24"/>
        </w:rPr>
        <w:t xml:space="preserve">igure </w:t>
      </w:r>
      <w:r>
        <w:rPr>
          <w:i/>
          <w:iCs/>
          <w:szCs w:val="24"/>
        </w:rPr>
        <w:t>5</w:t>
      </w:r>
      <w:r w:rsidR="00EF1B0B" w:rsidRPr="003239EC">
        <w:rPr>
          <w:b w:val="0"/>
          <w:bCs w:val="0"/>
          <w:i/>
          <w:iCs/>
          <w:szCs w:val="24"/>
        </w:rPr>
        <w:t xml:space="preserve"> Overlapping sliding window for dynamic functional connectivity</w:t>
      </w:r>
    </w:p>
    <w:p w14:paraId="424A9329" w14:textId="77777777" w:rsidR="00466084" w:rsidRDefault="00466084" w:rsidP="00777A99">
      <w:pPr>
        <w:rPr>
          <w:lang w:val="en-US"/>
        </w:rPr>
      </w:pPr>
    </w:p>
    <w:p w14:paraId="7B2AAF6A" w14:textId="168BC381" w:rsidR="00EF1B0B" w:rsidRPr="00C025DA" w:rsidRDefault="00EF1B0B" w:rsidP="00C025DA">
      <w:pPr>
        <w:spacing w:line="360" w:lineRule="auto"/>
        <w:rPr>
          <w:rFonts w:cs="Times New Roman"/>
        </w:rPr>
      </w:pPr>
      <w:r w:rsidRPr="00C025DA">
        <w:rPr>
          <w:rFonts w:cs="Times New Roman"/>
          <w:lang w:val="en-US"/>
        </w:rPr>
        <w:t xml:space="preserve">At the core of the DFC analysis employed in the present work, is a brain state identification process based on </w:t>
      </w:r>
      <w:r w:rsidRPr="00C025DA">
        <w:rPr>
          <w:rFonts w:cs="Times New Roman"/>
        </w:rPr>
        <w:t xml:space="preserve">”cartographic profiling”, which is illustrated in Supplementary Figure </w:t>
      </w:r>
      <w:r w:rsidR="003C60C3" w:rsidRPr="00C025DA">
        <w:rPr>
          <w:rFonts w:cs="Times New Roman"/>
        </w:rPr>
        <w:t>6</w:t>
      </w:r>
      <w:r w:rsidRPr="00C025DA">
        <w:rPr>
          <w:rFonts w:cs="Times New Roman"/>
        </w:rPr>
        <w:t xml:space="preserve">. This process characterizes time-resolved networks as predominately integrated or segregated. </w:t>
      </w:r>
    </w:p>
    <w:p w14:paraId="2F985C89" w14:textId="77777777" w:rsidR="00EF1B0B" w:rsidRDefault="00EF1B0B" w:rsidP="00777A99"/>
    <w:p w14:paraId="0322C452" w14:textId="77777777" w:rsidR="00EF1B0B" w:rsidRDefault="00EF1B0B" w:rsidP="00777A99">
      <w:pPr>
        <w:keepNext/>
        <w:jc w:val="center"/>
      </w:pPr>
      <w:r>
        <w:rPr>
          <w:noProof/>
        </w:rPr>
        <w:lastRenderedPageBreak/>
        <w:drawing>
          <wp:inline distT="0" distB="0" distL="0" distR="0" wp14:anchorId="1F82159A" wp14:editId="5D680297">
            <wp:extent cx="4716701" cy="2656936"/>
            <wp:effectExtent l="0" t="0" r="8255"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421" cy="2682690"/>
                    </a:xfrm>
                    <a:prstGeom prst="rect">
                      <a:avLst/>
                    </a:prstGeom>
                    <a:noFill/>
                    <a:ln>
                      <a:noFill/>
                    </a:ln>
                  </pic:spPr>
                </pic:pic>
              </a:graphicData>
            </a:graphic>
          </wp:inline>
        </w:drawing>
      </w:r>
    </w:p>
    <w:p w14:paraId="67D23B61" w14:textId="35F1A56A" w:rsidR="00EF1B0B" w:rsidRPr="009A7D96" w:rsidRDefault="00EF1B0B" w:rsidP="00777A99">
      <w:pPr>
        <w:pStyle w:val="Caption"/>
        <w:spacing w:line="480" w:lineRule="auto"/>
        <w:jc w:val="center"/>
      </w:pPr>
      <w:r w:rsidRPr="00C946F8">
        <w:t xml:space="preserve">Supplementary </w:t>
      </w:r>
      <w:r w:rsidR="007B2F6E">
        <w:t>f</w:t>
      </w:r>
      <w:r w:rsidRPr="00C946F8">
        <w:t xml:space="preserve">igure </w:t>
      </w:r>
      <w:r w:rsidR="007B2F6E">
        <w:t>6</w:t>
      </w:r>
      <w:r>
        <w:t xml:space="preserve"> ov</w:t>
      </w:r>
      <w:r w:rsidRPr="00C80815">
        <w:t>erview of brain state identification process</w:t>
      </w:r>
    </w:p>
    <w:p w14:paraId="4334CA41" w14:textId="258DC197" w:rsidR="00923D38" w:rsidRPr="00C025DA" w:rsidRDefault="00D307E9" w:rsidP="00C025DA">
      <w:pPr>
        <w:spacing w:line="360" w:lineRule="auto"/>
        <w:rPr>
          <w:rFonts w:cs="Times New Roman"/>
          <w:noProof/>
        </w:rPr>
      </w:pPr>
      <w:r w:rsidRPr="00C025DA">
        <w:rPr>
          <w:rFonts w:cs="Times New Roman"/>
          <w:noProof/>
        </w:rPr>
        <w:t>T</w:t>
      </w:r>
      <w:r w:rsidR="006158D4" w:rsidRPr="00C025DA">
        <w:rPr>
          <w:rFonts w:cs="Times New Roman"/>
          <w:noProof/>
        </w:rPr>
        <w:t xml:space="preserve">he cartographic profile approach was utilized in order to derive the predominant states present in the data and their temporal fluctuation information. </w:t>
      </w:r>
      <w:r w:rsidR="00EA4AA1" w:rsidRPr="00C025DA">
        <w:rPr>
          <w:rFonts w:cs="Times New Roman"/>
          <w:noProof/>
        </w:rPr>
        <w:t>S</w:t>
      </w:r>
      <w:r w:rsidR="006158D4" w:rsidRPr="00C025DA">
        <w:rPr>
          <w:rFonts w:cs="Times New Roman"/>
          <w:noProof/>
        </w:rPr>
        <w:t>tate characterization relates to each time-resolved network/DFCG, i.e., the network computed for each temporal wind</w:t>
      </w:r>
      <w:r w:rsidR="00EA4AA1" w:rsidRPr="00C025DA">
        <w:rPr>
          <w:rFonts w:cs="Times New Roman"/>
          <w:noProof/>
        </w:rPr>
        <w:t>o</w:t>
      </w:r>
      <w:r w:rsidR="006158D4" w:rsidRPr="00C025DA">
        <w:rPr>
          <w:rFonts w:cs="Times New Roman"/>
          <w:noProof/>
        </w:rPr>
        <w:t>w. The first step in th</w:t>
      </w:r>
      <w:r w:rsidR="00EA4AA1" w:rsidRPr="00C025DA">
        <w:rPr>
          <w:rFonts w:cs="Times New Roman"/>
          <w:noProof/>
        </w:rPr>
        <w:t>is</w:t>
      </w:r>
      <w:r w:rsidR="006158D4" w:rsidRPr="00C025DA">
        <w:rPr>
          <w:rFonts w:cs="Times New Roman"/>
          <w:noProof/>
        </w:rPr>
        <w:t xml:space="preserve"> process is the application of the Louvain algorithm described </w:t>
      </w:r>
      <w:r w:rsidR="002464B1" w:rsidRPr="00C025DA">
        <w:rPr>
          <w:rFonts w:cs="Times New Roman"/>
          <w:noProof/>
        </w:rPr>
        <w:t xml:space="preserve">above. </w:t>
      </w:r>
      <w:r w:rsidR="006158D4" w:rsidRPr="00C025DA">
        <w:rPr>
          <w:rFonts w:cs="Times New Roman"/>
          <w:noProof/>
        </w:rPr>
        <w:t xml:space="preserve"> Subsequently, modularity assignments were used to calculate two nodal network measures, participation coefficient and within-module degree z-score</w:t>
      </w:r>
      <w:r w:rsidR="002464B1" w:rsidRPr="00C025DA">
        <w:rPr>
          <w:rFonts w:cs="Times New Roman"/>
          <w:noProof/>
        </w:rPr>
        <w:t>, also analyzed above</w:t>
      </w:r>
      <w:r w:rsidR="006158D4" w:rsidRPr="00C025DA">
        <w:rPr>
          <w:rFonts w:cs="Times New Roman"/>
          <w:noProof/>
        </w:rPr>
        <w:t>. The combination of these metrics was achieved in the form of a joint histogram or “cartographic profile”</w:t>
      </w:r>
      <w:r w:rsidR="000C35F1" w:rsidRPr="00C025DA">
        <w:rPr>
          <w:rFonts w:cs="Times New Roman"/>
          <w:noProof/>
        </w:rPr>
        <w:t xml:space="preserve"> </w:t>
      </w:r>
      <w:r w:rsidR="006158D4" w:rsidRPr="00C025DA">
        <w:rPr>
          <w:rFonts w:cs="Times New Roman"/>
          <w:noProof/>
        </w:rPr>
        <w:fldChar w:fldCharType="begin" w:fldLock="1"/>
      </w:r>
      <w:r w:rsidR="00EA2DE3">
        <w:rPr>
          <w:rFonts w:cs="Times New Roman"/>
          <w:noProof/>
        </w:rPr>
        <w:instrText>ADDIN CSL_CITATION {"citationItems":[{"id":"ITEM-1","itemData":{"DOI":"10.1016/j.neuron.2016.09.018","ISSN":"10974199","PMID":"27693256","abstract":"Higher brain function relies upon the ability to flexibly integrate information across specialized communities of brain regions; however, it is unclear how this mechanism manifests over time. In this study, we used time-resolved network analysis of fMRI data to demonstrate that the human brain traverses between functional states that maximize either segregation into tight-knit communities or integration across otherwise disparate neural regions. Integrated states enable faster and more accurate performance on a cognitive task, and are associated with dilations in pupil diameter, suggesting that ascending neuromodulatory systems may govern the transition between these alternative modes of brain function. Together, our results confirm a direct link between cognitive performance and the dynamic reorganization of the network structure of the brain.","author":[{"dropping-particle":"","family":"Shine","given":"James M.","non-dropping-particle":"","parse-names":false,"suffix":""},{"dropping-particle":"","family":"Bissett","given":"Patrick G.","non-dropping-particle":"","parse-names":false,"suffix":""},{"dropping-particle":"","family":"Bell","given":"Peter T.","non-dropping-particle":"","parse-names":false,"suffix":""},{"dropping-particle":"","family":"Koyejo","given":"Oluwasanmi","non-dropping-particle":"","parse-names":false,"suffix":""},{"dropping-particle":"","family":"Balsters","given":"Joshua H.","non-dropping-particle":"","parse-names":false,"suffix":""},{"dropping-particle":"","family":"Gorgolewski","given":"Krzysztof J.","non-dropping-particle":"","parse-names":false,"suffix":""},{"dropping-particle":"","family":"Moodie","given":"Craig A.","non-dropping-particle":"","parse-names":false,"suffix":""},{"dropping-particle":"","family":"Poldrack","given":"Russell A.","non-dropping-particle":"","parse-names":false,"suffix":""}],"container-title":"Neuron","id":"ITEM-1","issue":"2","issued":{"date-parts":[["2016"]]},"page":"544-554","publisher":"Elsevier Inc.","title":"The Dynamics of Functional Brain Networks: Integrated Network States during Cognitive Task Performance","type":"article-journal","volume":"92"},"uris":["http://www.mendeley.com/documents/?uuid=6fb0aeb4-a07c-48cb-8ef3-adeb9b7a47c5"]}],"mendeley":{"formattedCitation":"(Shine et al. 2016)","plainTextFormattedCitation":"(Shine et al. 2016)","previouslyFormattedCitation":"[9]"},"properties":{"noteIndex":0},"schema":"https://github.com/citation-style-language/schema/raw/master/csl-citation.json"}</w:instrText>
      </w:r>
      <w:r w:rsidR="006158D4" w:rsidRPr="00C025DA">
        <w:rPr>
          <w:rFonts w:cs="Times New Roman"/>
          <w:noProof/>
        </w:rPr>
        <w:fldChar w:fldCharType="separate"/>
      </w:r>
      <w:r w:rsidR="00EA2DE3" w:rsidRPr="00EA2DE3">
        <w:rPr>
          <w:rFonts w:cs="Times New Roman"/>
          <w:noProof/>
        </w:rPr>
        <w:t>(Shine et al. 2016)</w:t>
      </w:r>
      <w:r w:rsidR="006158D4" w:rsidRPr="00C025DA">
        <w:rPr>
          <w:rFonts w:cs="Times New Roman"/>
          <w:noProof/>
        </w:rPr>
        <w:fldChar w:fldCharType="end"/>
      </w:r>
      <w:r w:rsidR="000C35F1" w:rsidRPr="00C025DA">
        <w:rPr>
          <w:rFonts w:cs="Times New Roman"/>
          <w:noProof/>
        </w:rPr>
        <w:t>.</w:t>
      </w:r>
      <w:r w:rsidR="006158D4" w:rsidRPr="00C025DA">
        <w:rPr>
          <w:rFonts w:cs="Times New Roman"/>
          <w:noProof/>
        </w:rPr>
        <w:t xml:space="preserve"> The joint histograms of the two descriminative network measures (for each time-resolved network) were subsequently vectorized and used as feature input to the </w:t>
      </w:r>
      <w:r w:rsidR="006158D4" w:rsidRPr="00C025DA">
        <w:rPr>
          <w:rFonts w:cs="Times New Roman"/>
          <w:i/>
          <w:iCs/>
          <w:noProof/>
        </w:rPr>
        <w:t>k</w:t>
      </w:r>
      <w:r w:rsidR="006158D4" w:rsidRPr="00C025DA">
        <w:rPr>
          <w:rFonts w:cs="Times New Roman"/>
          <w:noProof/>
        </w:rPr>
        <w:t xml:space="preserve">-means algorithm which was then employed to classify each DFCG, into one of </w:t>
      </w:r>
      <w:r w:rsidR="006158D4" w:rsidRPr="00C025DA">
        <w:rPr>
          <w:rFonts w:cs="Times New Roman"/>
          <w:i/>
          <w:iCs/>
          <w:noProof/>
        </w:rPr>
        <w:t>k</w:t>
      </w:r>
      <w:r w:rsidR="006158D4" w:rsidRPr="00C025DA">
        <w:rPr>
          <w:rFonts w:cs="Times New Roman"/>
          <w:noProof/>
        </w:rPr>
        <w:t xml:space="preserve">=2 groups. </w:t>
      </w:r>
      <w:r w:rsidR="0000705E" w:rsidRPr="00C025DA">
        <w:rPr>
          <w:rFonts w:cs="Times New Roman"/>
          <w:noProof/>
        </w:rPr>
        <w:t xml:space="preserve">Although the main notion of this procedure requires 2 final states (integrated-segregated), in order to be sure of the actual prevelance of these two main network tendencies in the subject’s data (time-resolved networks), a wide range of clusters were evaluated, </w:t>
      </w:r>
      <w:r w:rsidR="0000705E" w:rsidRPr="00C025DA">
        <w:rPr>
          <w:rFonts w:cs="Times New Roman"/>
          <w:i/>
          <w:iCs/>
          <w:noProof/>
        </w:rPr>
        <w:t>k</w:t>
      </w:r>
      <w:r w:rsidR="0000705E" w:rsidRPr="00C025DA">
        <w:rPr>
          <w:rFonts w:cs="Times New Roman"/>
          <w:noProof/>
        </w:rPr>
        <w:t xml:space="preserve">=2-7. As can be seen in Supplemetary </w:t>
      </w:r>
      <w:r w:rsidR="005F7275" w:rsidRPr="00C025DA">
        <w:rPr>
          <w:rFonts w:cs="Times New Roman"/>
          <w:noProof/>
        </w:rPr>
        <w:t xml:space="preserve">Figure </w:t>
      </w:r>
      <w:r w:rsidR="00DF617B" w:rsidRPr="00C025DA">
        <w:rPr>
          <w:rFonts w:cs="Times New Roman"/>
          <w:noProof/>
        </w:rPr>
        <w:t>7</w:t>
      </w:r>
      <w:r w:rsidR="0024529F" w:rsidRPr="00C025DA">
        <w:rPr>
          <w:rFonts w:cs="Times New Roman"/>
          <w:noProof/>
        </w:rPr>
        <w:t xml:space="preserve">, subject and group-averaged silhouette values (a clustering quality index), </w:t>
      </w:r>
      <w:r w:rsidR="00EA4AA1" w:rsidRPr="00C025DA">
        <w:rPr>
          <w:rFonts w:cs="Times New Roman"/>
          <w:noProof/>
        </w:rPr>
        <w:t xml:space="preserve">suggest that </w:t>
      </w:r>
      <w:r w:rsidR="0024529F" w:rsidRPr="00C025DA">
        <w:rPr>
          <w:rFonts w:cs="Times New Roman"/>
          <w:i/>
          <w:iCs/>
          <w:noProof/>
        </w:rPr>
        <w:t>k</w:t>
      </w:r>
      <w:r w:rsidR="0024529F" w:rsidRPr="00C025DA">
        <w:rPr>
          <w:rFonts w:cs="Times New Roman"/>
          <w:noProof/>
        </w:rPr>
        <w:t xml:space="preserve">=2 clusters are clearly optimal for the present dataset. </w:t>
      </w:r>
    </w:p>
    <w:p w14:paraId="1F07FE76" w14:textId="77777777" w:rsidR="00BF1836" w:rsidRDefault="00D307E9" w:rsidP="00777A99">
      <w:pPr>
        <w:keepNext/>
        <w:jc w:val="center"/>
      </w:pPr>
      <w:r>
        <w:rPr>
          <w:rFonts w:eastAsiaTheme="minorEastAsia"/>
          <w:noProof/>
          <w:lang w:val="en-US"/>
        </w:rPr>
        <w:lastRenderedPageBreak/>
        <w:drawing>
          <wp:inline distT="0" distB="0" distL="0" distR="0" wp14:anchorId="0404D9B5" wp14:editId="08F9667A">
            <wp:extent cx="2172615" cy="1629462"/>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4039" cy="1630530"/>
                    </a:xfrm>
                    <a:prstGeom prst="rect">
                      <a:avLst/>
                    </a:prstGeom>
                    <a:noFill/>
                    <a:ln>
                      <a:noFill/>
                    </a:ln>
                  </pic:spPr>
                </pic:pic>
              </a:graphicData>
            </a:graphic>
          </wp:inline>
        </w:drawing>
      </w:r>
      <w:r>
        <w:rPr>
          <w:noProof/>
        </w:rPr>
        <w:drawing>
          <wp:inline distT="0" distB="0" distL="0" distR="0" wp14:anchorId="29302341" wp14:editId="5DD7D115">
            <wp:extent cx="2187245" cy="1640434"/>
            <wp:effectExtent l="0" t="0" r="3810" b="0"/>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13013" cy="1659760"/>
                    </a:xfrm>
                    <a:prstGeom prst="rect">
                      <a:avLst/>
                    </a:prstGeom>
                    <a:noFill/>
                    <a:ln>
                      <a:noFill/>
                    </a:ln>
                  </pic:spPr>
                </pic:pic>
              </a:graphicData>
            </a:graphic>
          </wp:inline>
        </w:drawing>
      </w:r>
      <w:r>
        <w:rPr>
          <w:rFonts w:eastAsiaTheme="minorEastAsia"/>
          <w:noProof/>
          <w:lang w:val="en-US"/>
        </w:rPr>
        <w:drawing>
          <wp:inline distT="0" distB="0" distL="0" distR="0" wp14:anchorId="1CF569EC" wp14:editId="14C9744D">
            <wp:extent cx="2165299" cy="1623977"/>
            <wp:effectExtent l="0" t="0" r="6985" b="0"/>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96203" cy="1647155"/>
                    </a:xfrm>
                    <a:prstGeom prst="rect">
                      <a:avLst/>
                    </a:prstGeom>
                    <a:noFill/>
                    <a:ln>
                      <a:noFill/>
                    </a:ln>
                  </pic:spPr>
                </pic:pic>
              </a:graphicData>
            </a:graphic>
          </wp:inline>
        </w:drawing>
      </w:r>
      <w:r>
        <w:rPr>
          <w:rFonts w:eastAsiaTheme="minorEastAsia"/>
          <w:noProof/>
          <w:lang w:val="en-US"/>
        </w:rPr>
        <w:drawing>
          <wp:inline distT="0" distB="0" distL="0" distR="0" wp14:anchorId="689258DD" wp14:editId="4637B601">
            <wp:extent cx="2165299" cy="1623976"/>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2037" cy="1644030"/>
                    </a:xfrm>
                    <a:prstGeom prst="rect">
                      <a:avLst/>
                    </a:prstGeom>
                    <a:noFill/>
                    <a:ln>
                      <a:noFill/>
                    </a:ln>
                  </pic:spPr>
                </pic:pic>
              </a:graphicData>
            </a:graphic>
          </wp:inline>
        </w:drawing>
      </w:r>
    </w:p>
    <w:p w14:paraId="2CD8BC67" w14:textId="234720B0" w:rsidR="00CC02BC" w:rsidRPr="00CC02BC" w:rsidRDefault="00A1004B" w:rsidP="00777A99">
      <w:pPr>
        <w:pStyle w:val="Caption"/>
        <w:spacing w:line="480" w:lineRule="auto"/>
        <w:jc w:val="center"/>
      </w:pPr>
      <w:r>
        <w:t>Supplementary figure</w:t>
      </w:r>
      <w:r w:rsidR="00BF1836">
        <w:t xml:space="preserve"> </w:t>
      </w:r>
      <w:r w:rsidR="007B2F6E">
        <w:t>7</w:t>
      </w:r>
      <w:r w:rsidR="005F7275">
        <w:t xml:space="preserve"> </w:t>
      </w:r>
      <w:r w:rsidR="00986BFA">
        <w:t xml:space="preserve">– </w:t>
      </w:r>
      <w:r w:rsidR="00986BFA" w:rsidRPr="007B2F6E">
        <w:rPr>
          <w:b w:val="0"/>
          <w:bCs w:val="0"/>
        </w:rPr>
        <w:t>S</w:t>
      </w:r>
      <w:r w:rsidR="00986BFA">
        <w:t xml:space="preserve">ilhouette values </w:t>
      </w:r>
      <w:r>
        <w:t xml:space="preserve">for </w:t>
      </w:r>
      <w:r w:rsidR="00986BFA">
        <w:t xml:space="preserve">clusters </w:t>
      </w:r>
      <w:r w:rsidR="00986BFA" w:rsidRPr="00986BFA">
        <w:rPr>
          <w:i/>
          <w:iCs/>
        </w:rPr>
        <w:t>k</w:t>
      </w:r>
      <w:r w:rsidR="00986BFA">
        <w:t>=</w:t>
      </w:r>
      <w:r w:rsidR="00986BFA" w:rsidRPr="007B2F6E">
        <w:rPr>
          <w:b w:val="0"/>
          <w:bCs w:val="0"/>
        </w:rPr>
        <w:t>2</w:t>
      </w:r>
      <w:r w:rsidRPr="007B2F6E">
        <w:rPr>
          <w:b w:val="0"/>
          <w:bCs w:val="0"/>
        </w:rPr>
        <w:t>-7</w:t>
      </w:r>
      <w:r w:rsidR="00986BFA">
        <w:t xml:space="preserve"> for </w:t>
      </w:r>
      <w:r w:rsidR="00986BFA" w:rsidRPr="00986BFA">
        <w:rPr>
          <w:i/>
          <w:iCs/>
        </w:rPr>
        <w:t>k</w:t>
      </w:r>
      <w:r w:rsidR="00986BFA">
        <w:t>-means</w:t>
      </w:r>
      <w:r w:rsidR="00986BFA">
        <w:br/>
      </w:r>
      <w:r w:rsidR="00986BFA" w:rsidRPr="00CC02BC">
        <w:rPr>
          <w:sz w:val="20"/>
          <w:szCs w:val="20"/>
        </w:rPr>
        <w:t xml:space="preserve">left: individual subject values for </w:t>
      </w:r>
      <w:r w:rsidR="007B2F6E" w:rsidRPr="00CC02BC">
        <w:rPr>
          <w:sz w:val="20"/>
          <w:szCs w:val="20"/>
        </w:rPr>
        <w:t>m</w:t>
      </w:r>
      <w:r w:rsidR="00986BFA" w:rsidRPr="00CC02BC">
        <w:rPr>
          <w:b w:val="0"/>
          <w:bCs w:val="0"/>
          <w:sz w:val="20"/>
          <w:szCs w:val="20"/>
        </w:rPr>
        <w:t>TBI</w:t>
      </w:r>
      <w:r w:rsidR="00986BFA" w:rsidRPr="00CC02BC">
        <w:rPr>
          <w:sz w:val="20"/>
          <w:szCs w:val="20"/>
        </w:rPr>
        <w:t xml:space="preserve"> and control groups</w:t>
      </w:r>
      <w:r w:rsidR="00986BFA" w:rsidRPr="00CC02BC">
        <w:rPr>
          <w:sz w:val="20"/>
          <w:szCs w:val="20"/>
        </w:rPr>
        <w:br/>
        <w:t>right: average silhouette values</w:t>
      </w:r>
      <w:r w:rsidR="005F7275" w:rsidRPr="00CC02BC">
        <w:rPr>
          <w:sz w:val="20"/>
          <w:szCs w:val="20"/>
        </w:rPr>
        <w:t xml:space="preserve"> </w:t>
      </w:r>
      <w:r w:rsidR="00986BFA" w:rsidRPr="00CC02BC">
        <w:rPr>
          <w:sz w:val="20"/>
          <w:szCs w:val="20"/>
        </w:rPr>
        <w:t>for each group</w:t>
      </w:r>
    </w:p>
    <w:p w14:paraId="313AB55D" w14:textId="5809A7A4" w:rsidR="00BF1836" w:rsidRPr="00C025DA" w:rsidRDefault="0000705E" w:rsidP="00C025DA">
      <w:pPr>
        <w:spacing w:line="360" w:lineRule="auto"/>
        <w:rPr>
          <w:rFonts w:cs="Times New Roman"/>
          <w:noProof/>
        </w:rPr>
      </w:pPr>
      <w:r w:rsidRPr="00C025DA">
        <w:rPr>
          <w:rFonts w:cs="Times New Roman"/>
          <w:noProof/>
        </w:rPr>
        <w:t xml:space="preserve">Correlation distance was used as the </w:t>
      </w:r>
      <w:r w:rsidRPr="00C025DA">
        <w:rPr>
          <w:rFonts w:cs="Times New Roman"/>
          <w:i/>
          <w:iCs/>
          <w:noProof/>
        </w:rPr>
        <w:t>k</w:t>
      </w:r>
      <w:r w:rsidRPr="00C025DA">
        <w:rPr>
          <w:rFonts w:cs="Times New Roman"/>
          <w:noProof/>
        </w:rPr>
        <w:t>-means distance metric for forming clusters according to previous work</w:t>
      </w:r>
      <w:r w:rsidR="000C35F1" w:rsidRPr="00C025DA">
        <w:rPr>
          <w:rFonts w:cs="Times New Roman"/>
          <w:noProof/>
        </w:rPr>
        <w:t xml:space="preserve"> </w:t>
      </w:r>
      <w:r w:rsidRPr="00C025DA">
        <w:rPr>
          <w:rFonts w:cs="Times New Roman"/>
          <w:noProof/>
        </w:rPr>
        <w:fldChar w:fldCharType="begin" w:fldLock="1"/>
      </w:r>
      <w:r w:rsidR="00EA2DE3">
        <w:rPr>
          <w:rFonts w:cs="Times New Roman"/>
          <w:noProof/>
        </w:rPr>
        <w:instrText>ADDIN CSL_CITATION {"citationItems":[{"id":"ITEM-1","itemData":{"DOI":"10.1016/j.neuron.2016.09.018","ISSN":"10974199","PMID":"27693256","abstract":"Higher brain function relies upon the ability to flexibly integrate information across specialized communities of brain regions; however, it is unclear how this mechanism manifests over time. In this study, we used time-resolved network analysis of fMRI data to demonstrate that the human brain traverses between functional states that maximize either segregation into tight-knit communities or integration across otherwise disparate neural regions. Integrated states enable faster and more accurate performance on a cognitive task, and are associated with dilations in pupil diameter, suggesting that ascending neuromodulatory systems may govern the transition between these alternative modes of brain function. Together, our results confirm a direct link between cognitive performance and the dynamic reorganization of the network structure of the brain.","author":[{"dropping-particle":"","family":"Shine","given":"James M.","non-dropping-particle":"","parse-names":false,"suffix":""},{"dropping-particle":"","family":"Bissett","given":"Patrick G.","non-dropping-particle":"","parse-names":false,"suffix":""},{"dropping-particle":"","family":"Bell","given":"Peter T.","non-dropping-particle":"","parse-names":false,"suffix":""},{"dropping-particle":"","family":"Koyejo","given":"Oluwasanmi","non-dropping-particle":"","parse-names":false,"suffix":""},{"dropping-particle":"","family":"Balsters","given":"Joshua H.","non-dropping-particle":"","parse-names":false,"suffix":""},{"dropping-particle":"","family":"Gorgolewski","given":"Krzysztof J.","non-dropping-particle":"","parse-names":false,"suffix":""},{"dropping-particle":"","family":"Moodie","given":"Craig A.","non-dropping-particle":"","parse-names":false,"suffix":""},{"dropping-particle":"","family":"Poldrack","given":"Russell A.","non-dropping-particle":"","parse-names":false,"suffix":""}],"container-title":"Neuron","id":"ITEM-1","issue":"2","issued":{"date-parts":[["2016"]]},"page":"544-554","publisher":"Elsevier Inc.","title":"The Dynamics of Functional Brain Networks: Integrated Network States during Cognitive Task Performance","type":"article-journal","volume":"92"},"uris":["http://www.mendeley.com/documents/?uuid=6fb0aeb4-a07c-48cb-8ef3-adeb9b7a47c5"]},{"id":"ITEM-2","itemData":{"DOI":"10.1016/j.neuroimage.2020.117653","ISSN":"10959572","PMID":"33338615","abstract":"Investigating changes in brain function induced by mind-altering substances such as LSD is a powerful method for interrogating and understanding how mind interfaces with brain, by connecting novel psychological phenomena with their neurobiological correlates. LSD is known to increase measures of brain complexity, potentially reflecting a neurobiological correlate of the especially rich phenomenological content of psychedelic-induced experiences. Yet although the subjective stream of consciousness is a constant ebb and flow, no studies to date have investigated how LSD influences the dynamics of functional connectivity in the human brain. Focusing on the two fundamental network properties of integration and segregation, here we combined graph theory and dynamic functional connectivity from resting-state functional MRI to examine time-resolved effects of LSD on brain networks properties and subjective experiences. Our main finding is that the effects of LSD on brain function and subjective experience are non-uniform in time: LSD makes globally segregated sub-states of dynamic functional connectivity more complex, and weakens the relationship between functional and anatomical connectivity. On a regional level, LSD reduces functional connectivity of the anterior medial prefrontal cortex, specifically during states of high segregation. Time-specific effects were correlated with different aspects of subjective experiences; in particular, ego dissolution was predicted by increased small-world organisation during a state of high global integration. These results reveal a more nuanced, temporally-specific picture of altered brain connectivity and complexity under psychedelics than has previously been reported.","author":[{"dropping-particle":"","family":"Luppi","given":"Andrea I.","non-dropping-particle":"","parse-names":false,"suffix":""},{"dropping-particle":"","family":"Carhart-Harris","given":"Robin L.","non-dropping-particle":"","parse-names":false,"suffix":""},{"dropping-particle":"","family":"Roseman","given":"Leor","non-dropping-particle":"","parse-names":false,"suffix":""},{"dropping-particle":"","family":"Pappas","given":"Ioannis","non-dropping-particle":"","parse-names":false,"suffix":""},{"dropping-particle":"","family":"Menon","given":"David K.","non-dropping-particle":"","parse-names":false,"suffix":""},{"dropping-particle":"","family":"Stamatakis","given":"Emmanuel A.","non-dropping-particle":"","parse-names":false,"suffix":""}],"container-title":"NeuroImage","id":"ITEM-2","issue":"November 2020","issued":{"date-parts":[["2021"]]},"publisher":"Elsevier Inc.","title":"LSD alters dynamic integration and segregation in the human brain","type":"article-journal","volume":"227"},"uris":["http://www.mendeley.com/documents/?uuid=14e34cb6-2dd1-4458-8538-7a9f3744dea2"]},{"id":"ITEM-3","itemData":{"DOI":"10.1038/s41467-019-12658-9","ISBN":"4146701912658","ISSN":"20411723","PMID":"31601811","abstract":"Prominent theories of consciousness emphasise different aspects of neurobiology, such as the integration and diversity of information processing within the brain. Here, we combine graph theory and dynamic functional connectivity to compare resting-state functional MRI data from awake volunteers, propofol-anaesthetised volunteers, and patients with disorders of consciousness, in order to identify consciousness-specific patterns of brain function. We demonstrate that cortical networks are especially affected by loss of consciousness during temporal states of high integration, exhibiting reduced functional diversity and compromised informational capacity, whereas thalamo-cortical functional disconnections emerge during states of higher segregation. Spatially, posterior regions of the brain’s default mode network exhibit reductions in both functional diversity and integration with the rest of the brain during unconsciousness. These results show that human consciousness relies on spatio-temporal interactions between brain integration and functional diversity, whose breakdown may represent a generalisable biomarker of loss of consciousness, with potential relevance for clinical practice.","author":[{"dropping-particle":"","family":"Luppi","given":"Andrea I.","non-dropping-particle":"","parse-names":false,"suffix":""},{"dropping-particle":"","family":"Craig","given":"Michael M.","non-dropping-particle":"","parse-names":false,"suffix":""},{"dropping-particle":"","family":"Pappas","given":"Ioannis","non-dropping-particle":"","parse-names":false,"suffix":""},{"dropping-particle":"","family":"Finoia","given":"Paola","non-dropping-particle":"","parse-names":false,"suffix":""},{"dropping-particle":"","family":"Williams","given":"Guy B.","non-dropping-particle":"","parse-names":false,"suffix":""},{"dropping-particle":"","family":"Allanson","given":"Judith","non-dropping-particle":"","parse-names":false,"suffix":""},{"dropping-particle":"","family":"Pickard","given":"John D.","non-dropping-particle":"","parse-names":false,"suffix":""},{"dropping-particle":"","family":"Owen","given":"Adrian M.","non-dropping-particle":"","parse-names":false,"suffix":""},{"dropping-particle":"","family":"Naci","given":"Lorina","non-dropping-particle":"","parse-names":false,"suffix":""},{"dropping-particle":"","family":"Menon","given":"David K.","non-dropping-particle":"","parse-names":false,"suffix":""},{"dropping-particle":"","family":"Stamatakis","given":"Emmanuel A.","non-dropping-particle":"","parse-names":false,"suffix":""}],"container-title":"Nature Communications","id":"ITEM-3","issue":"1","issued":{"date-parts":[["2019"]]},"publisher":"Springer US","title":"Consciousness-specific dynamic interactions of brain integration and functional diversity","type":"article-journal","volume":"10"},"uris":["http://www.mendeley.com/documents/?uuid=58788e3c-20a2-447b-a1ee-b43ed4734e4c"]},{"id":"ITEM-4","itemData":{"DOI":"10.1007/s00429-017-1539-3","ISBN":"0042901715393","ISSN":"18632661","PMID":"29090337","abstract":"Structural white matter connections are thought to facilitate integration of neural information across functionally segregated systems. Recent studies have demonstrated that changes in the balance between segregation and integration in brain networks can be tracked by time-resolved functional connectivity derived from resting-state functional magnetic resonance imaging (rs-fMRI) data and that fluctuations between segregated and integrated network states are related to human behavior. However, how these network states relate to structural connectivity is largely unknown. To obtain a better understanding of structural substrates for these network states, we investigated how the relationship between structural connectivity, derived from diffusion tractography, and functional connectivity, as measured by rs-fMRI, changes with fluctuations between segregated and integrated states in the human brain. We found that the similarity of edge weights between structural and functional connectivity was greater in the integrated state, especially at edges connecting the default mode and the dorsal attention networks. We also demonstrated that the similarity of network partitions, evaluated between structural and functional connectivity, increased and the density of direct structural connections within modules in functional networks was elevated during the integrated state. These results suggest that, when functional connectivity exhibited an integrated network topology, structural connectivity and functional connectivity were more closely linked to each other and direct structural connections mediated a larger proportion of neural communication within functional modules. Our findings point out the possibility of significant contributions of structural connections to integrative neural processes underlying human behavior.","author":[{"dropping-particle":"","family":"Fukushima","given":"Makoto","non-dropping-particle":"","parse-names":false,"suffix":""},{"dropping-particle":"","family":"Betzel","given":"Richard F.","non-dropping-particle":"","parse-names":false,"suffix":""},{"dropping-particle":"","family":"He","given":"Ye","non-dropping-particle":"","parse-names":false,"suffix":""},{"dropping-particle":"","family":"Heuvel","given":"Martijn P.","non-dropping-particle":"van den","parse-names":false,"suffix":""},{"dropping-particle":"","family":"Zuo","given":"Xi Nian","non-dropping-particle":"","parse-names":false,"suffix":""},{"dropping-particle":"","family":"Sporns","given":"Olaf","non-dropping-particle":"","parse-names":false,"suffix":""}],"container-title":"Brain Structure and Function","id":"ITEM-4","issue":"3","issued":{"date-parts":[["2018"]]},"page":"1091-1106","title":"Structure–function relationships during segregated and integrated network states of human brain functional connectivity","type":"article-journal","volume":"223"},"uris":["http://www.mendeley.com/documents/?uuid=12a5ae34-1b98-4dc1-9312-61a1da25cdd6"]}],"mendeley":{"formattedCitation":"(Fukushima et al. 2018; Luppi et al. 2019; Luppi, Carhart-Harris, et al. 2021; Shine et al. 2016)","plainTextFormattedCitation":"(Fukushima et al. 2018; Luppi et al. 2019; Luppi, Carhart-Harris, et al. 2021; Shine et al. 2016)","previouslyFormattedCitation":"[6,9,20,21]"},"properties":{"noteIndex":0},"schema":"https://github.com/citation-style-language/schema/raw/master/csl-citation.json"}</w:instrText>
      </w:r>
      <w:r w:rsidRPr="00C025DA">
        <w:rPr>
          <w:rFonts w:cs="Times New Roman"/>
          <w:noProof/>
        </w:rPr>
        <w:fldChar w:fldCharType="separate"/>
      </w:r>
      <w:r w:rsidR="00EA2DE3" w:rsidRPr="00EA2DE3">
        <w:rPr>
          <w:rFonts w:cs="Times New Roman"/>
          <w:noProof/>
        </w:rPr>
        <w:t>(Fukushima et al. 2018; Luppi et al. 2019; Luppi, Carhart-Harris, et al. 2021; Shine et al. 2016)</w:t>
      </w:r>
      <w:r w:rsidRPr="00C025DA">
        <w:rPr>
          <w:rFonts w:cs="Times New Roman"/>
          <w:noProof/>
        </w:rPr>
        <w:fldChar w:fldCharType="end"/>
      </w:r>
      <w:r w:rsidR="000C35F1" w:rsidRPr="00C025DA">
        <w:rPr>
          <w:rFonts w:cs="Times New Roman"/>
          <w:noProof/>
        </w:rPr>
        <w:t>.</w:t>
      </w:r>
      <w:r w:rsidRPr="00C025DA">
        <w:rPr>
          <w:rFonts w:cs="Times New Roman"/>
          <w:noProof/>
        </w:rPr>
        <w:t xml:space="preserve"> In our own experiments, other well known distance metrics such as squared euclidean, cityblock, cosine and hamming were also tested but did not provide more reliable or significantly different results in terms of computed state</w:t>
      </w:r>
      <w:r w:rsidR="0024529F" w:rsidRPr="00C025DA">
        <w:rPr>
          <w:rFonts w:cs="Times New Roman"/>
          <w:noProof/>
        </w:rPr>
        <w:t xml:space="preserve"> representative FCGs</w:t>
      </w:r>
      <w:r w:rsidRPr="00C025DA">
        <w:rPr>
          <w:rFonts w:cs="Times New Roman"/>
          <w:noProof/>
        </w:rPr>
        <w:t xml:space="preserve"> </w:t>
      </w:r>
      <w:r w:rsidR="0024529F" w:rsidRPr="00C025DA">
        <w:rPr>
          <w:rFonts w:cs="Times New Roman"/>
          <w:noProof/>
        </w:rPr>
        <w:t>or</w:t>
      </w:r>
      <w:r w:rsidRPr="00C025DA">
        <w:rPr>
          <w:rFonts w:cs="Times New Roman"/>
          <w:noProof/>
        </w:rPr>
        <w:t xml:space="preserve"> metrics. Multiple re-initializations of the </w:t>
      </w:r>
      <w:r w:rsidRPr="00C025DA">
        <w:rPr>
          <w:rFonts w:cs="Times New Roman"/>
          <w:i/>
          <w:iCs/>
          <w:noProof/>
        </w:rPr>
        <w:t>k</w:t>
      </w:r>
      <w:r w:rsidRPr="00C025DA">
        <w:rPr>
          <w:rFonts w:cs="Times New Roman"/>
          <w:noProof/>
        </w:rPr>
        <w:t xml:space="preserve">-means clustering algorithm (centroid reinitialization) is recommended by previous studies (500 times) and implemented in the current analysis (through 2000 random restarts) in order to reduce the probability of the outputs being driven by unpredictable initial conditions. </w:t>
      </w:r>
      <w:r w:rsidR="00485A84" w:rsidRPr="00C025DA">
        <w:rPr>
          <w:rFonts w:cs="Times New Roman"/>
          <w:noProof/>
        </w:rPr>
        <w:t xml:space="preserve">From the two identified clusters  the one with the highest mean participation coefficient represents the </w:t>
      </w:r>
      <w:r w:rsidR="00485A84" w:rsidRPr="00C025DA">
        <w:rPr>
          <w:rFonts w:cs="Times New Roman"/>
          <w:i/>
          <w:iCs/>
          <w:noProof/>
        </w:rPr>
        <w:t>integrated state</w:t>
      </w:r>
      <w:r w:rsidR="00485A84" w:rsidRPr="00C025DA">
        <w:rPr>
          <w:rFonts w:cs="Times New Roman"/>
          <w:noProof/>
        </w:rPr>
        <w:t>, whereas the second</w:t>
      </w:r>
      <w:r w:rsidR="00485A84">
        <w:rPr>
          <w:noProof/>
        </w:rPr>
        <w:t xml:space="preserve"> </w:t>
      </w:r>
      <w:r w:rsidR="00485A84" w:rsidRPr="00C025DA">
        <w:rPr>
          <w:rFonts w:cs="Times New Roman"/>
          <w:noProof/>
        </w:rPr>
        <w:t xml:space="preserve">cluster is deemed to represent the </w:t>
      </w:r>
      <w:r w:rsidR="00485A84" w:rsidRPr="00C025DA">
        <w:rPr>
          <w:rFonts w:cs="Times New Roman"/>
          <w:i/>
          <w:iCs/>
          <w:noProof/>
        </w:rPr>
        <w:t>segregated state</w:t>
      </w:r>
      <w:r w:rsidR="00485A84" w:rsidRPr="00C025DA">
        <w:rPr>
          <w:rFonts w:cs="Times New Roman"/>
          <w:noProof/>
        </w:rPr>
        <w:t xml:space="preserve">. The temporal fluctuation of the classified states constitutes a binary timeseries. </w:t>
      </w:r>
      <w:r w:rsidRPr="00C025DA">
        <w:rPr>
          <w:rFonts w:cs="Times New Roman"/>
        </w:rPr>
        <w:t xml:space="preserve">The next step after state temporal identification entails the calculation of centroid-representative networks for the integrated and segregated states, computed as the </w:t>
      </w:r>
      <w:r w:rsidR="0024529F" w:rsidRPr="00C025DA">
        <w:rPr>
          <w:rFonts w:cs="Times New Roman"/>
        </w:rPr>
        <w:t>edgewise</w:t>
      </w:r>
      <w:r w:rsidRPr="00C025DA">
        <w:rPr>
          <w:rFonts w:cs="Times New Roman"/>
        </w:rPr>
        <w:t xml:space="preserve"> median of each state’s DFCGs for each subject. </w:t>
      </w:r>
      <w:r w:rsidR="0024529F" w:rsidRPr="00C025DA">
        <w:rPr>
          <w:rFonts w:cs="Times New Roman"/>
        </w:rPr>
        <w:t xml:space="preserve">In Supplementary </w:t>
      </w:r>
      <w:r w:rsidR="005F7275" w:rsidRPr="00C025DA">
        <w:rPr>
          <w:rFonts w:cs="Times New Roman"/>
        </w:rPr>
        <w:t xml:space="preserve">Figure </w:t>
      </w:r>
      <w:r w:rsidR="003C60C3" w:rsidRPr="00C025DA">
        <w:rPr>
          <w:rFonts w:cs="Times New Roman"/>
        </w:rPr>
        <w:t>8</w:t>
      </w:r>
      <w:r w:rsidR="0024529F" w:rsidRPr="00C025DA">
        <w:rPr>
          <w:rFonts w:cs="Times New Roman"/>
        </w:rPr>
        <w:t xml:space="preserve">, an example of a </w:t>
      </w:r>
      <w:r w:rsidR="00A566CB" w:rsidRPr="00C025DA">
        <w:rPr>
          <w:rFonts w:cs="Times New Roman"/>
        </w:rPr>
        <w:t xml:space="preserve">random subject’s predominately integrated and segregated </w:t>
      </w:r>
      <w:r w:rsidR="00A566CB" w:rsidRPr="00C025DA">
        <w:rPr>
          <w:rFonts w:cs="Times New Roman"/>
        </w:rPr>
        <w:lastRenderedPageBreak/>
        <w:t xml:space="preserve">representative FCGs/networks are presented. Upon visual inspection of these matrices/networks one can observe the more segregated network tendencies of the graph on the right compared to the left. </w:t>
      </w:r>
    </w:p>
    <w:p w14:paraId="421ABD46" w14:textId="77777777" w:rsidR="00BF1836" w:rsidRDefault="00D307E9" w:rsidP="00777A99">
      <w:pPr>
        <w:keepNext/>
        <w:jc w:val="center"/>
      </w:pPr>
      <w:r>
        <w:rPr>
          <w:rFonts w:eastAsiaTheme="minorEastAsia"/>
          <w:noProof/>
          <w:lang w:val="en-US"/>
        </w:rPr>
        <w:drawing>
          <wp:inline distT="0" distB="0" distL="0" distR="0" wp14:anchorId="38910CDF" wp14:editId="229557CA">
            <wp:extent cx="4451231" cy="2067720"/>
            <wp:effectExtent l="0" t="0" r="6985"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69759" cy="2076327"/>
                    </a:xfrm>
                    <a:prstGeom prst="rect">
                      <a:avLst/>
                    </a:prstGeom>
                    <a:noFill/>
                    <a:ln>
                      <a:noFill/>
                    </a:ln>
                  </pic:spPr>
                </pic:pic>
              </a:graphicData>
            </a:graphic>
          </wp:inline>
        </w:drawing>
      </w:r>
    </w:p>
    <w:p w14:paraId="1632AC5F" w14:textId="15E41C81" w:rsidR="00A566CB" w:rsidRDefault="00A1004B" w:rsidP="00777A99">
      <w:pPr>
        <w:pStyle w:val="Caption"/>
        <w:spacing w:line="480" w:lineRule="auto"/>
        <w:jc w:val="center"/>
      </w:pPr>
      <w:r w:rsidRPr="007B2F6E">
        <w:t>Supplementary figure</w:t>
      </w:r>
      <w:r w:rsidR="00BF1836" w:rsidRPr="007B2F6E">
        <w:t xml:space="preserve"> </w:t>
      </w:r>
      <w:r w:rsidR="007B2F6E" w:rsidRPr="007B2F6E">
        <w:t>8</w:t>
      </w:r>
      <w:r w:rsidR="005F7275">
        <w:t xml:space="preserve"> </w:t>
      </w:r>
      <w:r w:rsidR="00BF1836">
        <w:t xml:space="preserve">– predominately </w:t>
      </w:r>
      <w:r w:rsidR="00986BFA">
        <w:t>i</w:t>
      </w:r>
      <w:r w:rsidR="00BF1836">
        <w:t xml:space="preserve">ntegrated </w:t>
      </w:r>
      <w:r w:rsidR="00986BFA" w:rsidRPr="007B2F6E">
        <w:rPr>
          <w:b w:val="0"/>
          <w:bCs w:val="0"/>
        </w:rPr>
        <w:t>FCG</w:t>
      </w:r>
      <w:r w:rsidR="00986BFA">
        <w:t xml:space="preserve"> (left)</w:t>
      </w:r>
      <w:r>
        <w:t xml:space="preserve">, </w:t>
      </w:r>
      <w:r w:rsidR="00986BFA">
        <w:t>segregated (right)</w:t>
      </w:r>
    </w:p>
    <w:p w14:paraId="22D2DDAE" w14:textId="77777777" w:rsidR="00603135" w:rsidRDefault="00603135" w:rsidP="00777A99">
      <w:pPr>
        <w:rPr>
          <w:lang w:val="en-US"/>
        </w:rPr>
      </w:pPr>
    </w:p>
    <w:p w14:paraId="22119C56" w14:textId="2D9ABC79" w:rsidR="00603135" w:rsidRDefault="00603135" w:rsidP="00777A99">
      <w:pPr>
        <w:pStyle w:val="Heading2"/>
      </w:pPr>
      <w:r>
        <w:t>Machine Learning</w:t>
      </w:r>
    </w:p>
    <w:p w14:paraId="0AB8E0B1" w14:textId="11BFBC73" w:rsidR="00603135" w:rsidRPr="00C025DA" w:rsidRDefault="00603135" w:rsidP="00C025DA">
      <w:pPr>
        <w:spacing w:line="360" w:lineRule="auto"/>
        <w:rPr>
          <w:rFonts w:cs="Times New Roman"/>
          <w:lang w:val="en-US"/>
        </w:rPr>
      </w:pPr>
      <w:r w:rsidRPr="00C025DA">
        <w:rPr>
          <w:rFonts w:cs="Times New Roman"/>
          <w:lang w:val="en-US"/>
        </w:rPr>
        <w:t xml:space="preserve">The XGBoost classification model was utilized for all five internal estimators of the decision-level fusion machine learning model as well as for the calculation of feature importance rankings in the nested CV feature selection process. XGBoost is an ensemble-type model producing final models similar in structure and operation to Random Forests but with an improved training scheme based on gradient boosting and regularization. For feature selection purposes, the recommended feature importance metric of “gain” was selected as a relatively simple and robust measure, similar to the impurity-based (using the gini metric) feature importance produced by Random Forest models. Very similar model performance and results in terms of selected features were obtained with the Random Forest ensemble classification model. XGBoost was selected mostly due to implementation optimizations that allow for parallel execution and </w:t>
      </w:r>
      <w:r w:rsidR="00117484" w:rsidRPr="00C025DA">
        <w:rPr>
          <w:rFonts w:cs="Times New Roman"/>
          <w:lang w:val="en-US"/>
        </w:rPr>
        <w:t xml:space="preserve">thus </w:t>
      </w:r>
      <w:r w:rsidRPr="00C025DA">
        <w:rPr>
          <w:rFonts w:cs="Times New Roman"/>
          <w:lang w:val="en-US"/>
        </w:rPr>
        <w:t>significantly improved model training speeds.</w:t>
      </w:r>
    </w:p>
    <w:p w14:paraId="0C887F72" w14:textId="56765F4B" w:rsidR="00DB2B36" w:rsidRDefault="006158D4" w:rsidP="00777A99">
      <w:pPr>
        <w:pStyle w:val="Heading2"/>
      </w:pPr>
      <w:r>
        <w:lastRenderedPageBreak/>
        <w:t>Software and code</w:t>
      </w:r>
    </w:p>
    <w:p w14:paraId="7802C2F9" w14:textId="0D7626CE" w:rsidR="004D6A83" w:rsidRPr="00C025DA" w:rsidRDefault="008B2B27" w:rsidP="00C025DA">
      <w:pPr>
        <w:spacing w:line="360" w:lineRule="auto"/>
        <w:rPr>
          <w:rFonts w:cs="Times New Roman"/>
        </w:rPr>
      </w:pPr>
      <w:r w:rsidRPr="00C025DA">
        <w:rPr>
          <w:rFonts w:cs="Times New Roman"/>
          <w:lang w:val="en-US"/>
        </w:rPr>
        <w:t xml:space="preserve">MATLAB version 9.8 (R2020a) and Python version 3.6.8 were used for the various analysis parts. </w:t>
      </w:r>
      <w:r w:rsidR="006158D4" w:rsidRPr="00C025DA">
        <w:rPr>
          <w:rFonts w:cs="Times New Roman"/>
        </w:rPr>
        <w:t>Main preprocessing steps were completed in the MATLAB-based toolbox SPM12 (fil.ion.ucl.ac.uk/spm/) and denoising steps were carried out in the SPM-based toolbox CONN (web.conn-toolbox.org/). BrainNet Viewer</w:t>
      </w:r>
      <w:r w:rsidR="008B2955" w:rsidRPr="00C025DA">
        <w:rPr>
          <w:rFonts w:cs="Times New Roman"/>
        </w:rPr>
        <w:t xml:space="preserve"> </w:t>
      </w:r>
      <w:r w:rsidR="006158D4" w:rsidRPr="00C025DA">
        <w:rPr>
          <w:rFonts w:cs="Times New Roman"/>
        </w:rPr>
        <w:fldChar w:fldCharType="begin" w:fldLock="1"/>
      </w:r>
      <w:r w:rsidR="00EA2DE3">
        <w:rPr>
          <w:rFonts w:cs="Times New Roman"/>
        </w:rPr>
        <w:instrText>ADDIN CSL_CITATION {"citationItems":[{"id":"ITEM-1","itemData":{"DOI":"10.1371/journal.pone.0068910","ISSN":"19326203","PMID":"23861951","abstract":"The human brain is a complex system whose topological organization can be represented using connectomics. Recent studies have shown that human connectomes can be constructed using various neuroimaging technologies and further characterized using sophisticated analytic strategies, such as graph theory. These methods reveal the intriguing topological architectures of human brain networks in healthy populations and explore the changes throughout normal development and aging and under various pathological conditions. However, given the huge complexity of this methodology, toolboxes for graph-based network visualization are still lacking. Here, using MATLAB with a graphical user interface (GUI), we developed a graph-theoretical network visualization toolbox, called BrainNet Viewer, to illustrate human connectomes as ball-and-stick models. Within this toolbox, several combinations of defined files with connectome information can be loaded to display different combinations of brain surface, nodes and edges. In addition, display properties, such as the color and size of network elements or the layout of the figure, can be adjusted within a comprehensive but easy-to-use settings panel. Moreover, BrainNet Viewer draws the brain surface, nodes and edges in sequence and displays brain networks in multiple views, as required by the user. The figure can be manipulated with certain interaction functions to display more detailed information. Furthermore, the figures can be exported as commonly used image file formats or demonstration video for further use. BrainNet Viewer helps researchers to visualize brain networks in an easy, flexible and quick manner, and this software is freely available on the NITRC website (www.nitrc.org/projects/bnv/). © 2013 Xia et al.","author":[{"dropping-particle":"","family":"Xia","given":"Mingrui","non-dropping-particle":"","parse-names":false,"suffix":""},{"dropping-particle":"","family":"Wang","given":"Jinhui","non-dropping-particle":"","parse-names":false,"suffix":""},{"dropping-particle":"","family":"He","given":"Yong","non-dropping-particle":"","parse-names":false,"suffix":""}],"container-title":"PLoS ONE","id":"ITEM-1","issue":"7","issued":{"date-parts":[["2013"]]},"title":"BrainNet Viewer: A Network Visualization Tool for Human Brain Connectomics","type":"article-journal","volume":"8"},"uris":["http://www.mendeley.com/documents/?uuid=ad61fec6-16a2-4766-a05e-1cb6c4cde61a"]}],"mendeley":{"formattedCitation":"(Xia, Wang, and He 2013)","plainTextFormattedCitation":"(Xia, Wang, and He 2013)","previouslyFormattedCitation":"[22]"},"properties":{"noteIndex":0},"schema":"https://github.com/citation-style-language/schema/raw/master/csl-citation.json"}</w:instrText>
      </w:r>
      <w:r w:rsidR="006158D4" w:rsidRPr="00C025DA">
        <w:rPr>
          <w:rFonts w:cs="Times New Roman"/>
        </w:rPr>
        <w:fldChar w:fldCharType="separate"/>
      </w:r>
      <w:r w:rsidR="00EA2DE3" w:rsidRPr="00EA2DE3">
        <w:rPr>
          <w:rFonts w:cs="Times New Roman"/>
          <w:noProof/>
        </w:rPr>
        <w:t>(Xia, Wang, and He 2013)</w:t>
      </w:r>
      <w:r w:rsidR="006158D4" w:rsidRPr="00C025DA">
        <w:rPr>
          <w:rFonts w:cs="Times New Roman"/>
        </w:rPr>
        <w:fldChar w:fldCharType="end"/>
      </w:r>
      <w:r w:rsidR="006158D4" w:rsidRPr="00C025DA">
        <w:rPr>
          <w:rFonts w:cs="Times New Roman"/>
        </w:rPr>
        <w:t xml:space="preserve"> was used for brain region and connection visualization purposes (freely distributed in nitrc.org/projects/bnv/). Connectivity-related computations were performed using custom MATLAB scripts. The BCT or </w:t>
      </w:r>
      <w:r w:rsidR="006158D4" w:rsidRPr="00C025DA">
        <w:rPr>
          <w:rFonts w:cs="Times New Roman"/>
          <w:i/>
          <w:iCs/>
        </w:rPr>
        <w:t>Brain Connectivity Toolbox</w:t>
      </w:r>
      <w:r w:rsidR="006158D4" w:rsidRPr="00C025DA">
        <w:rPr>
          <w:rFonts w:cs="Times New Roman"/>
        </w:rPr>
        <w:t xml:space="preserve"> (sites.google.com/site/bctnet/;</w:t>
      </w:r>
      <w:r w:rsidR="006158D4" w:rsidRPr="00C025DA">
        <w:rPr>
          <w:rFonts w:cs="Times New Roman"/>
        </w:rPr>
        <w:fldChar w:fldCharType="begin" w:fldLock="1"/>
      </w:r>
      <w:r w:rsidR="00EA2DE3">
        <w:rPr>
          <w:rFonts w:cs="Times New Roman"/>
        </w:rPr>
        <w:instrText>ADDIN CSL_CITATION {"citationItems":[{"id":"ITEM-1","itemData":{"DOI":"10.1016/j.neuroimage.2009.10.003","ISSN":"10538119","PMID":"19819337","abstract":"Brain connectivity datasets comprise networks of brain regions connected by anatomical tracts or by functional associations. Complex network analysis-a new multidisciplinary approach to the study of complex systems-aims to characterize these brain networks with a small number of neurobiologically meaningful and easily computable measures. In this article, we discuss construction of brain networks from connectivity data and describe the most commonly used network measures of structural and functional connectivity. We describe measures that variously detect functional integration and segregation, quantify centrality of individual brain regions or pathways, characterize patterns of local anatomical circuitry, and test resilience of networks to insult. We discuss the issues surrounding comparison of structural and functional network connectivity, as well as comparison of networks across subjects. Finally, we describe a Matlab toolbox (http://www.brain-connectivity-toolbox.net) accompanying this article and containing a collection of complex network measures and large-scale neuroanatomical connectivity datasets. © 2009 Elsevier Inc.","author":[{"dropping-particle":"","family":"Rubinov","given":"Mikail","non-dropping-particle":"","parse-names":false,"suffix":""},{"dropping-particle":"","family":"Sporns","given":"Olaf","non-dropping-particle":"","parse-names":false,"suffix":""}],"container-title":"NeuroImage","id":"ITEM-1","issue":"3","issued":{"date-parts":[["2010"]]},"page":"1059-1069","publisher":"Elsevier Inc.","title":"Complex network measures of brain connectivity: Uses and interpretations","type":"article-journal","volume":"52"},"uris":["http://www.mendeley.com/documents/?uuid=c52bce08-0fe8-4890-9376-3b928fe50240"]}],"mendeley":{"formattedCitation":"(Rubinov and Sporns 2010)","plainTextFormattedCitation":"(Rubinov and Sporns 2010)","previouslyFormattedCitation":"[1]"},"properties":{"noteIndex":0},"schema":"https://github.com/citation-style-language/schema/raw/master/csl-citation.json"}</w:instrText>
      </w:r>
      <w:r w:rsidR="006158D4" w:rsidRPr="00C025DA">
        <w:rPr>
          <w:rFonts w:cs="Times New Roman"/>
        </w:rPr>
        <w:fldChar w:fldCharType="separate"/>
      </w:r>
      <w:r w:rsidR="00EA2DE3" w:rsidRPr="00EA2DE3">
        <w:rPr>
          <w:rFonts w:cs="Times New Roman"/>
          <w:noProof/>
        </w:rPr>
        <w:t>(Rubinov and Sporns 2010)</w:t>
      </w:r>
      <w:r w:rsidR="006158D4" w:rsidRPr="00C025DA">
        <w:rPr>
          <w:rFonts w:cs="Times New Roman"/>
        </w:rPr>
        <w:fldChar w:fldCharType="end"/>
      </w:r>
      <w:r w:rsidR="006158D4" w:rsidRPr="00C025DA">
        <w:rPr>
          <w:rFonts w:cs="Times New Roman"/>
        </w:rPr>
        <w:t xml:space="preserve"> was employed to calculate most graph measures. An implementation of the Small-World Propensity measure </w:t>
      </w:r>
      <w:r w:rsidR="006158D4" w:rsidRPr="00C025DA">
        <w:rPr>
          <w:rFonts w:cs="Times New Roman"/>
        </w:rPr>
        <w:fldChar w:fldCharType="begin" w:fldLock="1"/>
      </w:r>
      <w:r w:rsidR="00EA2DE3">
        <w:rPr>
          <w:rFonts w:cs="Times New Roman"/>
        </w:rPr>
        <w:instrText>ADDIN CSL_CITATION {"citationItems":[{"id":"ITEM-1","itemData":{"DOI":"10.1038/srep22057","ISSN":"20452322","PMID":"26912196","abstract":"Quantitative descriptions of network structure can provide fundamental insights into the function of interconnected complex systems. Small-world structure, diagnosed by high local clustering yet short average path length between any two nodes, promotes information flow in coupled systems, a key function that can differ across conditions or between groups. However, current techniques to quantify small-worldness are density dependent and neglect important features such as the strength of network connections, limiting their application in real-world systems. Here, we address both limitations with a novel metric called the Small-World Propensity (SWP). In its binary instantiation, the SWP provides an unbiased assessment of small-world structure in networks of varying densities. We extend this concept to the case of weighted brain networks by developing (i) a standardized procedure for generating weighted small-world networks, (ii) a weighted extension of the SWP, and (iii) a method for mapping observed brain network data onto the theoretical model. In applying these techniques to compare real-world brain networks, we uncover the surprising fact that the canonical biological small-world network, the C. elegans neuronal network, has strikingly low SWP. These metrics, models, and maps form a coherent toolbox for the assessment and comparison of architectural properties in brain networks.","author":[{"dropping-particle":"","family":"Muldoon","given":"Sarah Feldt","non-dropping-particle":"","parse-names":false,"suffix":""},{"dropping-particle":"","family":"Bridgeford","given":"Eric W.","non-dropping-particle":"","parse-names":false,"suffix":""},{"dropping-particle":"","family":"Bassett","given":"Danielle S.","non-dropping-particle":"","parse-names":false,"suffix":""}],"container-title":"Scientific Reports","id":"ITEM-1","issue":"February","issued":{"date-parts":[["2016"]]},"page":"1-13","publisher":"Nature Publishing Group","title":"Small-world propensity and weighted brain networks","type":"article-journal","volume":"6"},"uris":["http://www.mendeley.com/documents/?uuid=46841a0f-38c6-463e-af58-b28e1290a32a"]}],"mendeley":{"formattedCitation":"(Muldoon, Bridgeford, and Bassett 2016)","plainTextFormattedCitation":"(Muldoon, Bridgeford, and Bassett 2016)","previouslyFormattedCitation":"[5]"},"properties":{"noteIndex":0},"schema":"https://github.com/citation-style-language/schema/raw/master/csl-citation.json"}</w:instrText>
      </w:r>
      <w:r w:rsidR="006158D4" w:rsidRPr="00C025DA">
        <w:rPr>
          <w:rFonts w:cs="Times New Roman"/>
        </w:rPr>
        <w:fldChar w:fldCharType="separate"/>
      </w:r>
      <w:r w:rsidR="00EA2DE3" w:rsidRPr="00EA2DE3">
        <w:rPr>
          <w:rFonts w:cs="Times New Roman"/>
          <w:noProof/>
        </w:rPr>
        <w:t>(Muldoon, Bridgeford, and Bassett 2016)</w:t>
      </w:r>
      <w:r w:rsidR="006158D4" w:rsidRPr="00C025DA">
        <w:rPr>
          <w:rFonts w:cs="Times New Roman"/>
        </w:rPr>
        <w:fldChar w:fldCharType="end"/>
      </w:r>
      <w:r w:rsidR="006158D4" w:rsidRPr="00C025DA">
        <w:rPr>
          <w:rFonts w:cs="Times New Roman"/>
        </w:rPr>
        <w:t xml:space="preserve"> can be found in (complexsystemsupenn.com). Code for topological network filtering with OMST (and several other algorithms) can be found in Dr. Stavros Dimitriadi’s GitHub repository (github.com/stdimitr). Included ML experiments were set up using the python programming language. A python implementation of XGBoost can be found in (xgboost.readthedocs.io/en/latest/python/index.html). Several other ML or data transformation-related operations utilized the NumPy (numpy.org) and sklearn (scikit-learn.org) libraries (as well as pandas and SciPy). </w:t>
      </w:r>
    </w:p>
    <w:p w14:paraId="7C6A733E" w14:textId="77777777" w:rsidR="004D6A83" w:rsidRDefault="004D6A83" w:rsidP="004D6A83">
      <w:pPr>
        <w:spacing w:line="360" w:lineRule="auto"/>
      </w:pPr>
    </w:p>
    <w:p w14:paraId="264BAEF5" w14:textId="77777777" w:rsidR="004D334C" w:rsidRDefault="004D334C" w:rsidP="004D6A83">
      <w:pPr>
        <w:spacing w:line="360" w:lineRule="auto"/>
      </w:pPr>
    </w:p>
    <w:p w14:paraId="78069F6D" w14:textId="77777777" w:rsidR="001C40F0" w:rsidRDefault="001C40F0" w:rsidP="000D273B">
      <w:pPr>
        <w:spacing w:line="240" w:lineRule="auto"/>
        <w:ind w:left="-851" w:right="-477"/>
        <w:rPr>
          <w:rFonts w:cs="Times New Roman"/>
          <w:szCs w:val="24"/>
          <w:lang w:val="en-US"/>
        </w:rPr>
      </w:pPr>
      <w:r>
        <w:rPr>
          <w:rFonts w:cs="Times New Roman"/>
          <w:b/>
          <w:szCs w:val="24"/>
          <w:lang w:val="en-US"/>
        </w:rPr>
        <w:t>Supplementary Table 1.</w:t>
      </w:r>
      <w:r>
        <w:rPr>
          <w:rFonts w:cs="Times New Roman"/>
          <w:szCs w:val="24"/>
          <w:lang w:val="en-US"/>
        </w:rPr>
        <w:t xml:space="preserve"> Individual demographic and clinical data, conventional MRI and neuropsychiatric manifestations in mTBI patients. </w:t>
      </w:r>
    </w:p>
    <w:tbl>
      <w:tblPr>
        <w:tblStyle w:val="TableGrid"/>
        <w:tblW w:w="10632" w:type="dxa"/>
        <w:tblInd w:w="-743" w:type="dxa"/>
        <w:tblLayout w:type="fixed"/>
        <w:tblLook w:val="04A0" w:firstRow="1" w:lastRow="0" w:firstColumn="1" w:lastColumn="0" w:noHBand="0" w:noVBand="1"/>
      </w:tblPr>
      <w:tblGrid>
        <w:gridCol w:w="553"/>
        <w:gridCol w:w="845"/>
        <w:gridCol w:w="729"/>
        <w:gridCol w:w="709"/>
        <w:gridCol w:w="850"/>
        <w:gridCol w:w="2835"/>
        <w:gridCol w:w="851"/>
        <w:gridCol w:w="996"/>
        <w:gridCol w:w="1112"/>
        <w:gridCol w:w="1152"/>
      </w:tblGrid>
      <w:tr w:rsidR="000D273B" w:rsidRPr="000D273B" w14:paraId="27C82196"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hideMark/>
          </w:tcPr>
          <w:p w14:paraId="311F1EDF" w14:textId="77777777" w:rsidR="001C40F0" w:rsidRPr="000D273B" w:rsidRDefault="001C40F0">
            <w:pPr>
              <w:spacing w:after="0" w:line="240" w:lineRule="auto"/>
              <w:jc w:val="center"/>
              <w:rPr>
                <w:rFonts w:cs="Times New Roman"/>
                <w:b/>
                <w:sz w:val="20"/>
                <w:szCs w:val="20"/>
                <w:lang w:val="en-US" w:eastAsia="en-GB"/>
              </w:rPr>
            </w:pPr>
            <w:r w:rsidRPr="000D273B">
              <w:rPr>
                <w:rFonts w:cs="Times New Roman"/>
                <w:b/>
                <w:sz w:val="20"/>
                <w:szCs w:val="20"/>
                <w:lang w:val="en-US" w:eastAsia="en-GB"/>
              </w:rPr>
              <w:t>ID</w:t>
            </w:r>
          </w:p>
        </w:tc>
        <w:tc>
          <w:tcPr>
            <w:tcW w:w="845" w:type="dxa"/>
            <w:tcBorders>
              <w:top w:val="single" w:sz="4" w:space="0" w:color="auto"/>
              <w:left w:val="single" w:sz="4" w:space="0" w:color="auto"/>
              <w:bottom w:val="single" w:sz="4" w:space="0" w:color="auto"/>
              <w:right w:val="single" w:sz="4" w:space="0" w:color="auto"/>
            </w:tcBorders>
            <w:vAlign w:val="center"/>
            <w:hideMark/>
          </w:tcPr>
          <w:p w14:paraId="11F017AC" w14:textId="77777777" w:rsidR="001C40F0" w:rsidRPr="000D273B" w:rsidRDefault="001C40F0">
            <w:pPr>
              <w:spacing w:after="0" w:line="240" w:lineRule="auto"/>
              <w:jc w:val="center"/>
              <w:rPr>
                <w:rFonts w:cs="Times New Roman"/>
                <w:b/>
                <w:sz w:val="20"/>
                <w:szCs w:val="20"/>
                <w:lang w:val="en-US" w:eastAsia="en-GB"/>
              </w:rPr>
            </w:pPr>
            <w:r w:rsidRPr="000D273B">
              <w:rPr>
                <w:rFonts w:cs="Times New Roman"/>
                <w:b/>
                <w:sz w:val="20"/>
                <w:szCs w:val="20"/>
                <w:lang w:val="en-US" w:eastAsia="en-GB"/>
              </w:rPr>
              <w:t>Age (years)</w:t>
            </w:r>
          </w:p>
        </w:tc>
        <w:tc>
          <w:tcPr>
            <w:tcW w:w="729" w:type="dxa"/>
            <w:tcBorders>
              <w:top w:val="single" w:sz="4" w:space="0" w:color="auto"/>
              <w:left w:val="single" w:sz="4" w:space="0" w:color="auto"/>
              <w:bottom w:val="single" w:sz="4" w:space="0" w:color="auto"/>
              <w:right w:val="single" w:sz="4" w:space="0" w:color="auto"/>
            </w:tcBorders>
            <w:noWrap/>
            <w:vAlign w:val="center"/>
            <w:hideMark/>
          </w:tcPr>
          <w:p w14:paraId="42C8DFFA" w14:textId="4A11BE3C" w:rsidR="001C40F0" w:rsidRPr="000D273B" w:rsidRDefault="001C40F0">
            <w:pPr>
              <w:spacing w:after="0" w:line="240" w:lineRule="auto"/>
              <w:jc w:val="center"/>
              <w:rPr>
                <w:rFonts w:cs="Times New Roman"/>
                <w:b/>
                <w:sz w:val="20"/>
                <w:szCs w:val="20"/>
                <w:lang w:val="en-US" w:eastAsia="en-GB"/>
              </w:rPr>
            </w:pPr>
            <w:r w:rsidRPr="000D273B">
              <w:rPr>
                <w:rFonts w:cs="Times New Roman"/>
                <w:b/>
                <w:sz w:val="20"/>
                <w:szCs w:val="20"/>
                <w:lang w:val="en-US" w:eastAsia="en-GB"/>
              </w:rPr>
              <w:t>Edu</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F454008" w14:textId="77777777" w:rsidR="001C40F0" w:rsidRPr="000D273B" w:rsidRDefault="001C40F0">
            <w:pPr>
              <w:spacing w:after="0" w:line="240" w:lineRule="auto"/>
              <w:jc w:val="center"/>
              <w:rPr>
                <w:rFonts w:cs="Times New Roman"/>
                <w:b/>
                <w:sz w:val="20"/>
                <w:szCs w:val="20"/>
                <w:lang w:val="en-US" w:eastAsia="en-GB"/>
              </w:rPr>
            </w:pPr>
            <w:r w:rsidRPr="000D273B">
              <w:rPr>
                <w:rFonts w:cs="Times New Roman"/>
                <w:b/>
                <w:sz w:val="20"/>
                <w:szCs w:val="20"/>
                <w:lang w:val="en-US" w:eastAsia="en-GB"/>
              </w:rPr>
              <w:t>GCS</w:t>
            </w:r>
          </w:p>
        </w:tc>
        <w:tc>
          <w:tcPr>
            <w:tcW w:w="850" w:type="dxa"/>
            <w:tcBorders>
              <w:top w:val="single" w:sz="4" w:space="0" w:color="auto"/>
              <w:left w:val="single" w:sz="4" w:space="0" w:color="auto"/>
              <w:bottom w:val="single" w:sz="4" w:space="0" w:color="auto"/>
              <w:right w:val="single" w:sz="4" w:space="0" w:color="auto"/>
            </w:tcBorders>
            <w:noWrap/>
            <w:vAlign w:val="center"/>
            <w:hideMark/>
          </w:tcPr>
          <w:p w14:paraId="0EB62DF4" w14:textId="476F9192" w:rsidR="001C40F0" w:rsidRPr="000D273B" w:rsidRDefault="00E15F87">
            <w:pPr>
              <w:spacing w:after="0" w:line="240" w:lineRule="auto"/>
              <w:jc w:val="center"/>
              <w:rPr>
                <w:rFonts w:cs="Times New Roman"/>
                <w:b/>
                <w:sz w:val="20"/>
                <w:szCs w:val="20"/>
                <w:lang w:val="en-US" w:eastAsia="en-GB"/>
              </w:rPr>
            </w:pPr>
            <w:r>
              <w:rPr>
                <w:rFonts w:cs="Times New Roman"/>
                <w:b/>
                <w:sz w:val="20"/>
                <w:szCs w:val="20"/>
                <w:lang w:val="en-US" w:eastAsia="en-GB"/>
              </w:rPr>
              <w:t>TPI</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E0DA235" w14:textId="77777777" w:rsidR="001C40F0" w:rsidRPr="000D273B" w:rsidRDefault="001C40F0">
            <w:pPr>
              <w:spacing w:after="0" w:line="240" w:lineRule="auto"/>
              <w:jc w:val="center"/>
              <w:rPr>
                <w:rFonts w:cs="Times New Roman"/>
                <w:b/>
                <w:sz w:val="20"/>
                <w:szCs w:val="20"/>
                <w:lang w:eastAsia="en-GB"/>
              </w:rPr>
            </w:pPr>
            <w:r w:rsidRPr="000D273B">
              <w:rPr>
                <w:rFonts w:cs="Times New Roman"/>
                <w:b/>
                <w:sz w:val="20"/>
                <w:szCs w:val="20"/>
                <w:lang w:eastAsia="en-GB"/>
              </w:rPr>
              <w:t>Lesion</w:t>
            </w:r>
          </w:p>
        </w:tc>
        <w:tc>
          <w:tcPr>
            <w:tcW w:w="851" w:type="dxa"/>
            <w:tcBorders>
              <w:top w:val="single" w:sz="4" w:space="0" w:color="auto"/>
              <w:left w:val="single" w:sz="4" w:space="0" w:color="auto"/>
              <w:bottom w:val="single" w:sz="4" w:space="0" w:color="auto"/>
              <w:right w:val="single" w:sz="4" w:space="0" w:color="auto"/>
            </w:tcBorders>
            <w:noWrap/>
            <w:vAlign w:val="center"/>
            <w:hideMark/>
          </w:tcPr>
          <w:p w14:paraId="6C14D0C6" w14:textId="086460FF" w:rsidR="001C40F0" w:rsidRPr="000D273B" w:rsidRDefault="001C40F0">
            <w:pPr>
              <w:spacing w:after="0" w:line="240" w:lineRule="auto"/>
              <w:jc w:val="center"/>
              <w:rPr>
                <w:rFonts w:cs="Times New Roman"/>
                <w:b/>
                <w:sz w:val="20"/>
                <w:szCs w:val="20"/>
                <w:lang w:val="en-US" w:eastAsia="en-GB"/>
              </w:rPr>
            </w:pPr>
            <w:r w:rsidRPr="000D273B">
              <w:rPr>
                <w:rFonts w:cs="Times New Roman"/>
                <w:b/>
                <w:sz w:val="20"/>
                <w:szCs w:val="20"/>
                <w:lang w:val="en-US" w:eastAsia="en-GB"/>
              </w:rPr>
              <w:t>Depre</w:t>
            </w:r>
            <w:r w:rsidR="000D273B">
              <w:rPr>
                <w:rFonts w:cs="Times New Roman"/>
                <w:b/>
                <w:sz w:val="20"/>
                <w:szCs w:val="20"/>
                <w:lang w:val="en-US" w:eastAsia="en-GB"/>
              </w:rPr>
              <w:t>-</w:t>
            </w:r>
            <w:r w:rsidRPr="000D273B">
              <w:rPr>
                <w:rFonts w:cs="Times New Roman"/>
                <w:b/>
                <w:sz w:val="20"/>
                <w:szCs w:val="20"/>
                <w:lang w:val="en-US" w:eastAsia="en-GB"/>
              </w:rPr>
              <w:t>ssion</w:t>
            </w:r>
          </w:p>
        </w:tc>
        <w:tc>
          <w:tcPr>
            <w:tcW w:w="996" w:type="dxa"/>
            <w:tcBorders>
              <w:top w:val="single" w:sz="4" w:space="0" w:color="auto"/>
              <w:left w:val="single" w:sz="4" w:space="0" w:color="auto"/>
              <w:bottom w:val="single" w:sz="4" w:space="0" w:color="auto"/>
              <w:right w:val="single" w:sz="4" w:space="0" w:color="auto"/>
            </w:tcBorders>
            <w:vAlign w:val="center"/>
            <w:hideMark/>
          </w:tcPr>
          <w:p w14:paraId="759A3024" w14:textId="77777777" w:rsidR="001C40F0" w:rsidRPr="000D273B" w:rsidRDefault="001C40F0">
            <w:pPr>
              <w:spacing w:after="0" w:line="240" w:lineRule="auto"/>
              <w:jc w:val="center"/>
              <w:rPr>
                <w:rFonts w:cs="Times New Roman"/>
                <w:b/>
                <w:sz w:val="20"/>
                <w:szCs w:val="20"/>
                <w:lang w:val="en-US" w:eastAsia="en-GB"/>
              </w:rPr>
            </w:pPr>
            <w:r w:rsidRPr="000D273B">
              <w:rPr>
                <w:rFonts w:cs="Times New Roman"/>
                <w:b/>
                <w:sz w:val="20"/>
                <w:szCs w:val="20"/>
                <w:lang w:val="en-US" w:eastAsia="en-GB"/>
              </w:rPr>
              <w:t>Anxiety</w:t>
            </w:r>
          </w:p>
        </w:tc>
        <w:tc>
          <w:tcPr>
            <w:tcW w:w="1112" w:type="dxa"/>
            <w:tcBorders>
              <w:top w:val="single" w:sz="4" w:space="0" w:color="auto"/>
              <w:left w:val="single" w:sz="4" w:space="0" w:color="auto"/>
              <w:bottom w:val="single" w:sz="4" w:space="0" w:color="auto"/>
              <w:right w:val="single" w:sz="4" w:space="0" w:color="auto"/>
            </w:tcBorders>
            <w:vAlign w:val="center"/>
            <w:hideMark/>
          </w:tcPr>
          <w:p w14:paraId="3735CACB" w14:textId="77777777" w:rsidR="001C40F0" w:rsidRPr="000D273B" w:rsidRDefault="001C40F0">
            <w:pPr>
              <w:spacing w:after="0" w:line="240" w:lineRule="auto"/>
              <w:jc w:val="center"/>
              <w:rPr>
                <w:rFonts w:cs="Times New Roman"/>
                <w:b/>
                <w:sz w:val="20"/>
                <w:szCs w:val="20"/>
                <w:lang w:val="en-US" w:eastAsia="en-GB"/>
              </w:rPr>
            </w:pPr>
            <w:r w:rsidRPr="000D273B">
              <w:rPr>
                <w:rFonts w:cs="Times New Roman"/>
                <w:b/>
                <w:sz w:val="20"/>
                <w:szCs w:val="20"/>
                <w:lang w:val="en-US" w:eastAsia="en-GB"/>
              </w:rPr>
              <w:t>Episodic Memory</w:t>
            </w:r>
          </w:p>
        </w:tc>
        <w:tc>
          <w:tcPr>
            <w:tcW w:w="1152" w:type="dxa"/>
            <w:tcBorders>
              <w:top w:val="single" w:sz="4" w:space="0" w:color="auto"/>
              <w:left w:val="single" w:sz="4" w:space="0" w:color="auto"/>
              <w:bottom w:val="single" w:sz="4" w:space="0" w:color="auto"/>
              <w:right w:val="single" w:sz="4" w:space="0" w:color="auto"/>
            </w:tcBorders>
            <w:vAlign w:val="center"/>
            <w:hideMark/>
          </w:tcPr>
          <w:p w14:paraId="25B18F03" w14:textId="77777777" w:rsidR="001C40F0" w:rsidRPr="000D273B" w:rsidRDefault="001C40F0">
            <w:pPr>
              <w:spacing w:after="0" w:line="240" w:lineRule="auto"/>
              <w:jc w:val="center"/>
              <w:rPr>
                <w:rFonts w:cs="Times New Roman"/>
                <w:b/>
                <w:sz w:val="20"/>
                <w:szCs w:val="20"/>
                <w:lang w:val="en-US" w:eastAsia="en-GB"/>
              </w:rPr>
            </w:pPr>
            <w:r w:rsidRPr="000D273B">
              <w:rPr>
                <w:rFonts w:cs="Times New Roman"/>
                <w:b/>
                <w:sz w:val="20"/>
                <w:szCs w:val="20"/>
                <w:lang w:val="en-US" w:eastAsia="en-GB"/>
              </w:rPr>
              <w:t>Executive/ Attention</w:t>
            </w:r>
          </w:p>
        </w:tc>
      </w:tr>
      <w:tr w:rsidR="00D5410F" w:rsidRPr="000D273B" w14:paraId="3D87383D"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43BD3383" w14:textId="2D4A05E3"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1</w:t>
            </w:r>
          </w:p>
        </w:tc>
        <w:tc>
          <w:tcPr>
            <w:tcW w:w="845" w:type="dxa"/>
            <w:tcBorders>
              <w:top w:val="single" w:sz="4" w:space="0" w:color="auto"/>
              <w:left w:val="single" w:sz="4" w:space="0" w:color="auto"/>
              <w:bottom w:val="single" w:sz="4" w:space="0" w:color="auto"/>
              <w:right w:val="single" w:sz="4" w:space="0" w:color="auto"/>
            </w:tcBorders>
            <w:vAlign w:val="center"/>
          </w:tcPr>
          <w:p w14:paraId="4C6DEF06" w14:textId="59920113" w:rsidR="00D5410F" w:rsidRPr="00984321" w:rsidRDefault="00D5410F" w:rsidP="00E15F87">
            <w:pPr>
              <w:spacing w:after="0" w:line="240" w:lineRule="auto"/>
              <w:jc w:val="center"/>
              <w:rPr>
                <w:rFonts w:cs="Times New Roman"/>
                <w:sz w:val="20"/>
                <w:szCs w:val="20"/>
                <w:lang w:eastAsia="en-GB"/>
              </w:rPr>
            </w:pPr>
            <w:r w:rsidRPr="00984321">
              <w:rPr>
                <w:sz w:val="20"/>
                <w:szCs w:val="20"/>
              </w:rPr>
              <w:t>47</w:t>
            </w:r>
          </w:p>
        </w:tc>
        <w:tc>
          <w:tcPr>
            <w:tcW w:w="729" w:type="dxa"/>
            <w:tcBorders>
              <w:top w:val="single" w:sz="4" w:space="0" w:color="auto"/>
              <w:left w:val="single" w:sz="4" w:space="0" w:color="auto"/>
              <w:bottom w:val="single" w:sz="4" w:space="0" w:color="auto"/>
              <w:right w:val="single" w:sz="4" w:space="0" w:color="auto"/>
            </w:tcBorders>
            <w:noWrap/>
            <w:vAlign w:val="center"/>
          </w:tcPr>
          <w:p w14:paraId="30778921" w14:textId="51402A91" w:rsidR="00D5410F" w:rsidRPr="00984321" w:rsidRDefault="00D5410F" w:rsidP="00E15F87">
            <w:pPr>
              <w:spacing w:after="0" w:line="240" w:lineRule="auto"/>
              <w:jc w:val="center"/>
              <w:rPr>
                <w:rFonts w:cs="Times New Roman"/>
                <w:sz w:val="20"/>
                <w:szCs w:val="20"/>
                <w:lang w:eastAsia="en-GB"/>
              </w:rPr>
            </w:pPr>
            <w:r w:rsidRPr="00984321">
              <w:rPr>
                <w:sz w:val="20"/>
                <w:szCs w:val="20"/>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74D4898E" w14:textId="25ADCF66" w:rsidR="00D5410F" w:rsidRPr="00984321" w:rsidRDefault="00D5410F" w:rsidP="00E15F87">
            <w:pPr>
              <w:spacing w:after="0" w:line="240" w:lineRule="auto"/>
              <w:jc w:val="center"/>
              <w:rPr>
                <w:rFonts w:cs="Times New Roman"/>
                <w:sz w:val="20"/>
                <w:szCs w:val="20"/>
                <w:lang w:eastAsia="en-GB"/>
              </w:rPr>
            </w:pPr>
            <w:r w:rsidRPr="00984321">
              <w:rPr>
                <w:sz w:val="20"/>
                <w:szCs w:val="20"/>
              </w:rPr>
              <w:t>13</w:t>
            </w:r>
          </w:p>
        </w:tc>
        <w:tc>
          <w:tcPr>
            <w:tcW w:w="850" w:type="dxa"/>
            <w:tcBorders>
              <w:top w:val="single" w:sz="4" w:space="0" w:color="auto"/>
              <w:left w:val="single" w:sz="4" w:space="0" w:color="auto"/>
              <w:bottom w:val="single" w:sz="4" w:space="0" w:color="auto"/>
              <w:right w:val="single" w:sz="4" w:space="0" w:color="auto"/>
            </w:tcBorders>
            <w:noWrap/>
            <w:vAlign w:val="center"/>
          </w:tcPr>
          <w:p w14:paraId="18AE133C" w14:textId="55A181FB" w:rsidR="00D5410F" w:rsidRPr="00984321" w:rsidRDefault="00D5410F" w:rsidP="00E15F87">
            <w:pPr>
              <w:spacing w:after="0" w:line="240" w:lineRule="auto"/>
              <w:jc w:val="center"/>
              <w:rPr>
                <w:rFonts w:cs="Times New Roman"/>
                <w:sz w:val="20"/>
                <w:szCs w:val="20"/>
                <w:lang w:eastAsia="en-GB"/>
              </w:rPr>
            </w:pPr>
            <w:r w:rsidRPr="00984321">
              <w:rPr>
                <w:sz w:val="20"/>
                <w:szCs w:val="20"/>
              </w:rPr>
              <w:t>18</w:t>
            </w:r>
          </w:p>
        </w:tc>
        <w:tc>
          <w:tcPr>
            <w:tcW w:w="2835" w:type="dxa"/>
            <w:tcBorders>
              <w:top w:val="single" w:sz="4" w:space="0" w:color="auto"/>
              <w:left w:val="single" w:sz="4" w:space="0" w:color="auto"/>
              <w:bottom w:val="single" w:sz="4" w:space="0" w:color="auto"/>
              <w:right w:val="single" w:sz="4" w:space="0" w:color="auto"/>
            </w:tcBorders>
            <w:vAlign w:val="center"/>
          </w:tcPr>
          <w:p w14:paraId="6924A801" w14:textId="6C011862" w:rsidR="00D5410F" w:rsidRPr="00984321" w:rsidRDefault="00D5410F" w:rsidP="00E15F87">
            <w:pPr>
              <w:spacing w:after="0" w:line="240" w:lineRule="auto"/>
              <w:jc w:val="center"/>
              <w:rPr>
                <w:rFonts w:cs="Times New Roman"/>
                <w:sz w:val="20"/>
                <w:szCs w:val="20"/>
                <w:lang w:eastAsia="en-GB"/>
              </w:rPr>
            </w:pPr>
            <w:r w:rsidRPr="00984321">
              <w:rPr>
                <w:rFonts w:cs="Times New Roman"/>
                <w:sz w:val="20"/>
                <w:szCs w:val="20"/>
                <w:lang w:eastAsia="en-GB"/>
              </w:rPr>
              <w:t>C (L/RT, L/RF)</w:t>
            </w:r>
            <w:r w:rsidR="00E15F87">
              <w:rPr>
                <w:rFonts w:cs="Times New Roman"/>
                <w:sz w:val="20"/>
                <w:szCs w:val="20"/>
                <w:lang w:eastAsia="en-GB"/>
              </w:rPr>
              <w:t>, DAI (RF)</w:t>
            </w:r>
          </w:p>
        </w:tc>
        <w:tc>
          <w:tcPr>
            <w:tcW w:w="851" w:type="dxa"/>
            <w:tcBorders>
              <w:top w:val="single" w:sz="4" w:space="0" w:color="auto"/>
              <w:left w:val="single" w:sz="4" w:space="0" w:color="auto"/>
              <w:bottom w:val="single" w:sz="4" w:space="0" w:color="auto"/>
              <w:right w:val="single" w:sz="4" w:space="0" w:color="auto"/>
            </w:tcBorders>
            <w:noWrap/>
            <w:vAlign w:val="center"/>
          </w:tcPr>
          <w:p w14:paraId="3E4E2BF2" w14:textId="7F5C002D"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57F8A6DF" w14:textId="4AB2797D"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12" w:type="dxa"/>
            <w:tcBorders>
              <w:top w:val="single" w:sz="4" w:space="0" w:color="auto"/>
              <w:left w:val="single" w:sz="4" w:space="0" w:color="auto"/>
              <w:bottom w:val="single" w:sz="4" w:space="0" w:color="auto"/>
              <w:right w:val="single" w:sz="4" w:space="0" w:color="auto"/>
            </w:tcBorders>
            <w:vAlign w:val="center"/>
          </w:tcPr>
          <w:p w14:paraId="7926AF8C" w14:textId="53D6456F"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5C297555" w14:textId="546CB548"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r>
      <w:tr w:rsidR="00D5410F" w:rsidRPr="000D273B" w14:paraId="36D8C4A4"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07854764" w14:textId="0BD09AED"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2</w:t>
            </w:r>
          </w:p>
        </w:tc>
        <w:tc>
          <w:tcPr>
            <w:tcW w:w="845" w:type="dxa"/>
            <w:tcBorders>
              <w:top w:val="single" w:sz="4" w:space="0" w:color="auto"/>
              <w:left w:val="single" w:sz="4" w:space="0" w:color="auto"/>
              <w:bottom w:val="single" w:sz="4" w:space="0" w:color="auto"/>
              <w:right w:val="single" w:sz="4" w:space="0" w:color="auto"/>
            </w:tcBorders>
            <w:vAlign w:val="center"/>
          </w:tcPr>
          <w:p w14:paraId="1F1088E5" w14:textId="17FA43EA" w:rsidR="00D5410F" w:rsidRPr="00984321" w:rsidRDefault="00D5410F" w:rsidP="00E15F87">
            <w:pPr>
              <w:spacing w:after="0" w:line="240" w:lineRule="auto"/>
              <w:jc w:val="center"/>
              <w:rPr>
                <w:rFonts w:cs="Times New Roman"/>
                <w:sz w:val="20"/>
                <w:szCs w:val="20"/>
                <w:lang w:eastAsia="en-GB"/>
              </w:rPr>
            </w:pPr>
            <w:r w:rsidRPr="00984321">
              <w:rPr>
                <w:sz w:val="20"/>
                <w:szCs w:val="20"/>
              </w:rPr>
              <w:t>43</w:t>
            </w:r>
          </w:p>
        </w:tc>
        <w:tc>
          <w:tcPr>
            <w:tcW w:w="729" w:type="dxa"/>
            <w:tcBorders>
              <w:top w:val="single" w:sz="4" w:space="0" w:color="auto"/>
              <w:left w:val="single" w:sz="4" w:space="0" w:color="auto"/>
              <w:bottom w:val="single" w:sz="4" w:space="0" w:color="auto"/>
              <w:right w:val="single" w:sz="4" w:space="0" w:color="auto"/>
            </w:tcBorders>
            <w:noWrap/>
            <w:vAlign w:val="center"/>
          </w:tcPr>
          <w:p w14:paraId="58606A31" w14:textId="770C22E6" w:rsidR="00D5410F" w:rsidRPr="00984321" w:rsidRDefault="00D5410F" w:rsidP="00E15F87">
            <w:pPr>
              <w:spacing w:after="0" w:line="240" w:lineRule="auto"/>
              <w:jc w:val="center"/>
              <w:rPr>
                <w:rFonts w:cs="Times New Roman"/>
                <w:sz w:val="20"/>
                <w:szCs w:val="20"/>
                <w:lang w:eastAsia="en-GB"/>
              </w:rPr>
            </w:pPr>
            <w:r w:rsidRPr="00984321">
              <w:rPr>
                <w:sz w:val="20"/>
                <w:szCs w:val="20"/>
              </w:rPr>
              <w:t>6</w:t>
            </w:r>
          </w:p>
        </w:tc>
        <w:tc>
          <w:tcPr>
            <w:tcW w:w="709" w:type="dxa"/>
            <w:tcBorders>
              <w:top w:val="single" w:sz="4" w:space="0" w:color="auto"/>
              <w:left w:val="single" w:sz="4" w:space="0" w:color="auto"/>
              <w:bottom w:val="single" w:sz="4" w:space="0" w:color="auto"/>
              <w:right w:val="single" w:sz="4" w:space="0" w:color="auto"/>
            </w:tcBorders>
            <w:noWrap/>
            <w:vAlign w:val="center"/>
          </w:tcPr>
          <w:p w14:paraId="05D6D211" w14:textId="27A3C8EB"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850" w:type="dxa"/>
            <w:tcBorders>
              <w:top w:val="single" w:sz="4" w:space="0" w:color="auto"/>
              <w:left w:val="single" w:sz="4" w:space="0" w:color="auto"/>
              <w:bottom w:val="single" w:sz="4" w:space="0" w:color="auto"/>
              <w:right w:val="single" w:sz="4" w:space="0" w:color="auto"/>
            </w:tcBorders>
            <w:noWrap/>
            <w:vAlign w:val="center"/>
          </w:tcPr>
          <w:p w14:paraId="1D4577BF" w14:textId="300451DA" w:rsidR="00D5410F" w:rsidRPr="00984321" w:rsidRDefault="00D5410F" w:rsidP="00E15F87">
            <w:pPr>
              <w:spacing w:after="0" w:line="240" w:lineRule="auto"/>
              <w:jc w:val="center"/>
              <w:rPr>
                <w:rFonts w:cs="Times New Roman"/>
                <w:sz w:val="20"/>
                <w:szCs w:val="20"/>
                <w:lang w:eastAsia="en-GB"/>
              </w:rPr>
            </w:pPr>
            <w:r w:rsidRPr="00984321">
              <w:rPr>
                <w:sz w:val="20"/>
                <w:szCs w:val="20"/>
              </w:rPr>
              <w:t>6</w:t>
            </w:r>
          </w:p>
        </w:tc>
        <w:tc>
          <w:tcPr>
            <w:tcW w:w="2835" w:type="dxa"/>
            <w:tcBorders>
              <w:top w:val="single" w:sz="4" w:space="0" w:color="auto"/>
              <w:left w:val="single" w:sz="4" w:space="0" w:color="auto"/>
              <w:bottom w:val="single" w:sz="4" w:space="0" w:color="auto"/>
              <w:right w:val="single" w:sz="4" w:space="0" w:color="auto"/>
            </w:tcBorders>
            <w:vAlign w:val="center"/>
          </w:tcPr>
          <w:p w14:paraId="0D0F9C41" w14:textId="37E3A7BF" w:rsidR="00D5410F" w:rsidRPr="00984321" w:rsidRDefault="00D5410F" w:rsidP="00E15F87">
            <w:pPr>
              <w:spacing w:after="0" w:line="240" w:lineRule="auto"/>
              <w:jc w:val="center"/>
              <w:rPr>
                <w:rFonts w:cs="Times New Roman"/>
                <w:sz w:val="20"/>
                <w:szCs w:val="20"/>
                <w:lang w:val="en-US" w:eastAsia="en-GB"/>
              </w:rPr>
            </w:pPr>
            <w:r w:rsidRPr="00984321">
              <w:rPr>
                <w:rFonts w:cs="Times New Roman"/>
                <w:sz w:val="20"/>
                <w:szCs w:val="20"/>
                <w:lang w:val="en-US" w:eastAsia="en-GB"/>
              </w:rPr>
              <w:t>--</w:t>
            </w:r>
          </w:p>
        </w:tc>
        <w:tc>
          <w:tcPr>
            <w:tcW w:w="851" w:type="dxa"/>
            <w:tcBorders>
              <w:top w:val="single" w:sz="4" w:space="0" w:color="auto"/>
              <w:left w:val="single" w:sz="4" w:space="0" w:color="auto"/>
              <w:bottom w:val="single" w:sz="4" w:space="0" w:color="auto"/>
              <w:right w:val="single" w:sz="4" w:space="0" w:color="auto"/>
            </w:tcBorders>
            <w:vAlign w:val="center"/>
          </w:tcPr>
          <w:p w14:paraId="2AEA1021" w14:textId="0D8E5E70"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70798366" w14:textId="385ECB6C"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12" w:type="dxa"/>
            <w:tcBorders>
              <w:top w:val="single" w:sz="4" w:space="0" w:color="auto"/>
              <w:left w:val="single" w:sz="4" w:space="0" w:color="auto"/>
              <w:bottom w:val="single" w:sz="4" w:space="0" w:color="auto"/>
              <w:right w:val="single" w:sz="4" w:space="0" w:color="auto"/>
            </w:tcBorders>
            <w:vAlign w:val="center"/>
          </w:tcPr>
          <w:p w14:paraId="00B2CFDA" w14:textId="73F41877"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66DC91F8" w14:textId="2E373090"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r>
      <w:tr w:rsidR="00D5410F" w:rsidRPr="000D273B" w14:paraId="0C5DAF47"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34FC9BF3" w14:textId="5CD4382F"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3</w:t>
            </w:r>
          </w:p>
        </w:tc>
        <w:tc>
          <w:tcPr>
            <w:tcW w:w="845" w:type="dxa"/>
            <w:tcBorders>
              <w:top w:val="single" w:sz="4" w:space="0" w:color="auto"/>
              <w:left w:val="single" w:sz="4" w:space="0" w:color="auto"/>
              <w:bottom w:val="single" w:sz="4" w:space="0" w:color="auto"/>
              <w:right w:val="single" w:sz="4" w:space="0" w:color="auto"/>
            </w:tcBorders>
            <w:vAlign w:val="center"/>
          </w:tcPr>
          <w:p w14:paraId="59F780FC" w14:textId="515FA07C" w:rsidR="00D5410F" w:rsidRPr="00984321" w:rsidRDefault="00D5410F" w:rsidP="00E15F87">
            <w:pPr>
              <w:spacing w:after="0" w:line="240" w:lineRule="auto"/>
              <w:jc w:val="center"/>
              <w:rPr>
                <w:rFonts w:cs="Times New Roman"/>
                <w:sz w:val="20"/>
                <w:szCs w:val="20"/>
                <w:lang w:eastAsia="en-GB"/>
              </w:rPr>
            </w:pPr>
            <w:r w:rsidRPr="00984321">
              <w:rPr>
                <w:sz w:val="20"/>
                <w:szCs w:val="20"/>
              </w:rPr>
              <w:t>45</w:t>
            </w:r>
          </w:p>
        </w:tc>
        <w:tc>
          <w:tcPr>
            <w:tcW w:w="729" w:type="dxa"/>
            <w:tcBorders>
              <w:top w:val="single" w:sz="4" w:space="0" w:color="auto"/>
              <w:left w:val="single" w:sz="4" w:space="0" w:color="auto"/>
              <w:bottom w:val="single" w:sz="4" w:space="0" w:color="auto"/>
              <w:right w:val="single" w:sz="4" w:space="0" w:color="auto"/>
            </w:tcBorders>
            <w:noWrap/>
            <w:vAlign w:val="center"/>
          </w:tcPr>
          <w:p w14:paraId="071C16DF" w14:textId="5C9C88F7" w:rsidR="00D5410F" w:rsidRPr="00984321" w:rsidRDefault="00D5410F" w:rsidP="00E15F87">
            <w:pPr>
              <w:spacing w:after="0" w:line="240" w:lineRule="auto"/>
              <w:jc w:val="center"/>
              <w:rPr>
                <w:rFonts w:cs="Times New Roman"/>
                <w:sz w:val="20"/>
                <w:szCs w:val="20"/>
                <w:lang w:eastAsia="en-GB"/>
              </w:rPr>
            </w:pPr>
            <w:r w:rsidRPr="00984321">
              <w:rPr>
                <w:sz w:val="20"/>
                <w:szCs w:val="20"/>
              </w:rPr>
              <w:t>6</w:t>
            </w:r>
          </w:p>
        </w:tc>
        <w:tc>
          <w:tcPr>
            <w:tcW w:w="709" w:type="dxa"/>
            <w:tcBorders>
              <w:top w:val="single" w:sz="4" w:space="0" w:color="auto"/>
              <w:left w:val="single" w:sz="4" w:space="0" w:color="auto"/>
              <w:bottom w:val="single" w:sz="4" w:space="0" w:color="auto"/>
              <w:right w:val="single" w:sz="4" w:space="0" w:color="auto"/>
            </w:tcBorders>
            <w:noWrap/>
            <w:vAlign w:val="center"/>
          </w:tcPr>
          <w:p w14:paraId="5BA61BE3" w14:textId="7C3F565A" w:rsidR="00D5410F" w:rsidRPr="00984321" w:rsidRDefault="00D5410F" w:rsidP="00E15F87">
            <w:pPr>
              <w:spacing w:after="0" w:line="240" w:lineRule="auto"/>
              <w:jc w:val="center"/>
              <w:rPr>
                <w:rFonts w:cs="Times New Roman"/>
                <w:sz w:val="20"/>
                <w:szCs w:val="20"/>
                <w:lang w:eastAsia="en-GB"/>
              </w:rPr>
            </w:pPr>
            <w:r w:rsidRPr="00984321">
              <w:rPr>
                <w:sz w:val="20"/>
                <w:szCs w:val="20"/>
              </w:rPr>
              <w:t>13</w:t>
            </w:r>
          </w:p>
        </w:tc>
        <w:tc>
          <w:tcPr>
            <w:tcW w:w="850" w:type="dxa"/>
            <w:tcBorders>
              <w:top w:val="single" w:sz="4" w:space="0" w:color="auto"/>
              <w:left w:val="single" w:sz="4" w:space="0" w:color="auto"/>
              <w:bottom w:val="single" w:sz="4" w:space="0" w:color="auto"/>
              <w:right w:val="single" w:sz="4" w:space="0" w:color="auto"/>
            </w:tcBorders>
            <w:noWrap/>
            <w:vAlign w:val="center"/>
          </w:tcPr>
          <w:p w14:paraId="0E88BA1F" w14:textId="30C4DF9A" w:rsidR="00D5410F" w:rsidRPr="00984321" w:rsidRDefault="00D5410F" w:rsidP="00E15F87">
            <w:pPr>
              <w:spacing w:after="0" w:line="240" w:lineRule="auto"/>
              <w:jc w:val="center"/>
              <w:rPr>
                <w:rFonts w:cs="Times New Roman"/>
                <w:sz w:val="20"/>
                <w:szCs w:val="20"/>
                <w:lang w:eastAsia="en-GB"/>
              </w:rPr>
            </w:pPr>
            <w:r w:rsidRPr="00984321">
              <w:rPr>
                <w:sz w:val="20"/>
                <w:szCs w:val="20"/>
              </w:rPr>
              <w:t>5</w:t>
            </w:r>
          </w:p>
        </w:tc>
        <w:tc>
          <w:tcPr>
            <w:tcW w:w="2835" w:type="dxa"/>
            <w:tcBorders>
              <w:top w:val="single" w:sz="4" w:space="0" w:color="auto"/>
              <w:left w:val="single" w:sz="4" w:space="0" w:color="auto"/>
              <w:bottom w:val="single" w:sz="4" w:space="0" w:color="auto"/>
              <w:right w:val="single" w:sz="4" w:space="0" w:color="auto"/>
            </w:tcBorders>
            <w:vAlign w:val="center"/>
          </w:tcPr>
          <w:p w14:paraId="2E58E4E5" w14:textId="35CE7687" w:rsidR="00D5410F" w:rsidRPr="00984321" w:rsidRDefault="00D5410F" w:rsidP="00E15F87">
            <w:pPr>
              <w:spacing w:after="0" w:line="240" w:lineRule="auto"/>
              <w:jc w:val="center"/>
              <w:rPr>
                <w:rFonts w:cs="Times New Roman"/>
                <w:sz w:val="20"/>
                <w:szCs w:val="20"/>
                <w:lang w:eastAsia="en-GB"/>
              </w:rPr>
            </w:pPr>
            <w:r w:rsidRPr="00984321">
              <w:rPr>
                <w:rFonts w:cs="Times New Roman"/>
                <w:sz w:val="20"/>
                <w:szCs w:val="20"/>
                <w:lang w:eastAsia="en-GB"/>
              </w:rPr>
              <w:t>C (L/RT, LF)</w:t>
            </w:r>
          </w:p>
        </w:tc>
        <w:tc>
          <w:tcPr>
            <w:tcW w:w="851" w:type="dxa"/>
            <w:tcBorders>
              <w:top w:val="single" w:sz="4" w:space="0" w:color="auto"/>
              <w:left w:val="single" w:sz="4" w:space="0" w:color="auto"/>
              <w:bottom w:val="single" w:sz="4" w:space="0" w:color="auto"/>
              <w:right w:val="single" w:sz="4" w:space="0" w:color="auto"/>
            </w:tcBorders>
            <w:noWrap/>
            <w:vAlign w:val="center"/>
          </w:tcPr>
          <w:p w14:paraId="2351F06C" w14:textId="1626F009" w:rsidR="00D5410F" w:rsidRPr="00984321" w:rsidRDefault="00D5410F" w:rsidP="00E15F87">
            <w:pPr>
              <w:spacing w:after="0" w:line="240" w:lineRule="auto"/>
              <w:jc w:val="center"/>
              <w:rPr>
                <w:rFonts w:cs="Times New Roman"/>
                <w:sz w:val="20"/>
                <w:szCs w:val="20"/>
                <w:lang w:eastAsia="en-GB"/>
              </w:rPr>
            </w:pPr>
            <w:r w:rsidRPr="00984321">
              <w:rPr>
                <w:sz w:val="20"/>
                <w:szCs w:val="20"/>
              </w:rPr>
              <w:t>yes</w:t>
            </w:r>
          </w:p>
        </w:tc>
        <w:tc>
          <w:tcPr>
            <w:tcW w:w="996" w:type="dxa"/>
            <w:tcBorders>
              <w:top w:val="single" w:sz="4" w:space="0" w:color="auto"/>
              <w:left w:val="single" w:sz="4" w:space="0" w:color="auto"/>
              <w:bottom w:val="single" w:sz="4" w:space="0" w:color="auto"/>
              <w:right w:val="single" w:sz="4" w:space="0" w:color="auto"/>
            </w:tcBorders>
            <w:vAlign w:val="center"/>
          </w:tcPr>
          <w:p w14:paraId="198120CD" w14:textId="67FB6EE0"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12" w:type="dxa"/>
            <w:tcBorders>
              <w:top w:val="single" w:sz="4" w:space="0" w:color="auto"/>
              <w:left w:val="single" w:sz="4" w:space="0" w:color="auto"/>
              <w:bottom w:val="single" w:sz="4" w:space="0" w:color="auto"/>
              <w:right w:val="single" w:sz="4" w:space="0" w:color="auto"/>
            </w:tcBorders>
            <w:vAlign w:val="center"/>
          </w:tcPr>
          <w:p w14:paraId="09D4097B" w14:textId="39DFD9B3"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267C5F38" w14:textId="38C59D73"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r>
      <w:tr w:rsidR="00D5410F" w:rsidRPr="000D273B" w14:paraId="187CFA8E"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0119F8A9" w14:textId="547C44DB"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4</w:t>
            </w:r>
          </w:p>
        </w:tc>
        <w:tc>
          <w:tcPr>
            <w:tcW w:w="845" w:type="dxa"/>
            <w:tcBorders>
              <w:top w:val="single" w:sz="4" w:space="0" w:color="auto"/>
              <w:left w:val="single" w:sz="4" w:space="0" w:color="auto"/>
              <w:bottom w:val="single" w:sz="4" w:space="0" w:color="auto"/>
              <w:right w:val="single" w:sz="4" w:space="0" w:color="auto"/>
            </w:tcBorders>
            <w:vAlign w:val="center"/>
          </w:tcPr>
          <w:p w14:paraId="5C6511E8" w14:textId="24E0A6BE" w:rsidR="00D5410F" w:rsidRPr="00984321" w:rsidRDefault="00D5410F" w:rsidP="00E15F87">
            <w:pPr>
              <w:spacing w:after="0" w:line="240" w:lineRule="auto"/>
              <w:jc w:val="center"/>
              <w:rPr>
                <w:rFonts w:cs="Times New Roman"/>
                <w:sz w:val="20"/>
                <w:szCs w:val="20"/>
                <w:lang w:eastAsia="en-GB"/>
              </w:rPr>
            </w:pPr>
            <w:r w:rsidRPr="00984321">
              <w:rPr>
                <w:sz w:val="20"/>
                <w:szCs w:val="20"/>
              </w:rPr>
              <w:t>19</w:t>
            </w:r>
          </w:p>
        </w:tc>
        <w:tc>
          <w:tcPr>
            <w:tcW w:w="729" w:type="dxa"/>
            <w:tcBorders>
              <w:top w:val="single" w:sz="4" w:space="0" w:color="auto"/>
              <w:left w:val="single" w:sz="4" w:space="0" w:color="auto"/>
              <w:bottom w:val="single" w:sz="4" w:space="0" w:color="auto"/>
              <w:right w:val="single" w:sz="4" w:space="0" w:color="auto"/>
            </w:tcBorders>
            <w:noWrap/>
            <w:vAlign w:val="center"/>
          </w:tcPr>
          <w:p w14:paraId="2C6CD90F" w14:textId="59699E2A" w:rsidR="00D5410F" w:rsidRPr="00984321" w:rsidRDefault="00D5410F" w:rsidP="00E15F87">
            <w:pPr>
              <w:spacing w:after="0" w:line="240" w:lineRule="auto"/>
              <w:jc w:val="center"/>
              <w:rPr>
                <w:rFonts w:cs="Times New Roman"/>
                <w:sz w:val="20"/>
                <w:szCs w:val="20"/>
                <w:lang w:eastAsia="en-GB"/>
              </w:rPr>
            </w:pPr>
            <w:r w:rsidRPr="00984321">
              <w:rPr>
                <w:sz w:val="20"/>
                <w:szCs w:val="20"/>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66CFE957" w14:textId="43E5949D"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850" w:type="dxa"/>
            <w:tcBorders>
              <w:top w:val="single" w:sz="4" w:space="0" w:color="auto"/>
              <w:left w:val="single" w:sz="4" w:space="0" w:color="auto"/>
              <w:bottom w:val="single" w:sz="4" w:space="0" w:color="auto"/>
              <w:right w:val="single" w:sz="4" w:space="0" w:color="auto"/>
            </w:tcBorders>
            <w:noWrap/>
            <w:vAlign w:val="center"/>
          </w:tcPr>
          <w:p w14:paraId="5137A717" w14:textId="0BC2F4C2" w:rsidR="00D5410F" w:rsidRPr="00984321" w:rsidRDefault="00D5410F" w:rsidP="00E15F87">
            <w:pPr>
              <w:spacing w:after="0" w:line="240" w:lineRule="auto"/>
              <w:jc w:val="center"/>
              <w:rPr>
                <w:rFonts w:cs="Times New Roman"/>
                <w:sz w:val="20"/>
                <w:szCs w:val="20"/>
                <w:lang w:eastAsia="en-GB"/>
              </w:rPr>
            </w:pPr>
            <w:r w:rsidRPr="00984321">
              <w:rPr>
                <w:sz w:val="20"/>
                <w:szCs w:val="20"/>
              </w:rPr>
              <w:t>36</w:t>
            </w:r>
          </w:p>
        </w:tc>
        <w:tc>
          <w:tcPr>
            <w:tcW w:w="2835" w:type="dxa"/>
            <w:tcBorders>
              <w:top w:val="single" w:sz="4" w:space="0" w:color="auto"/>
              <w:left w:val="single" w:sz="4" w:space="0" w:color="auto"/>
              <w:bottom w:val="single" w:sz="4" w:space="0" w:color="auto"/>
              <w:right w:val="single" w:sz="4" w:space="0" w:color="auto"/>
            </w:tcBorders>
            <w:vAlign w:val="center"/>
          </w:tcPr>
          <w:p w14:paraId="5F11FA31" w14:textId="12E581F3" w:rsidR="00D5410F" w:rsidRPr="00984321" w:rsidRDefault="00D5410F" w:rsidP="00E15F87">
            <w:pPr>
              <w:spacing w:after="0" w:line="240" w:lineRule="auto"/>
              <w:jc w:val="center"/>
              <w:rPr>
                <w:rFonts w:cs="Times New Roman"/>
                <w:sz w:val="20"/>
                <w:szCs w:val="20"/>
                <w:lang w:val="en-US" w:eastAsia="en-GB"/>
              </w:rPr>
            </w:pPr>
            <w:r w:rsidRPr="00984321">
              <w:rPr>
                <w:rFonts w:cs="Times New Roman"/>
                <w:sz w:val="20"/>
                <w:szCs w:val="20"/>
                <w:lang w:val="en-US" w:eastAsia="en-GB"/>
              </w:rPr>
              <w:t>--</w:t>
            </w:r>
          </w:p>
        </w:tc>
        <w:tc>
          <w:tcPr>
            <w:tcW w:w="851" w:type="dxa"/>
            <w:tcBorders>
              <w:top w:val="single" w:sz="4" w:space="0" w:color="auto"/>
              <w:left w:val="single" w:sz="4" w:space="0" w:color="auto"/>
              <w:bottom w:val="single" w:sz="4" w:space="0" w:color="auto"/>
              <w:right w:val="single" w:sz="4" w:space="0" w:color="auto"/>
            </w:tcBorders>
            <w:vAlign w:val="center"/>
          </w:tcPr>
          <w:p w14:paraId="4FB805AA" w14:textId="75278990"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61BE18C2" w14:textId="78C45222"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12" w:type="dxa"/>
            <w:tcBorders>
              <w:top w:val="single" w:sz="4" w:space="0" w:color="auto"/>
              <w:left w:val="single" w:sz="4" w:space="0" w:color="auto"/>
              <w:bottom w:val="single" w:sz="4" w:space="0" w:color="auto"/>
              <w:right w:val="single" w:sz="4" w:space="0" w:color="auto"/>
            </w:tcBorders>
            <w:vAlign w:val="center"/>
          </w:tcPr>
          <w:p w14:paraId="54C8A7B0" w14:textId="0EABAD84"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30D5E347" w14:textId="034D9299"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r>
      <w:tr w:rsidR="00D5410F" w:rsidRPr="000D273B" w14:paraId="4D6ECCC6"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0DA4D24F" w14:textId="3E6A60F9"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5</w:t>
            </w:r>
          </w:p>
        </w:tc>
        <w:tc>
          <w:tcPr>
            <w:tcW w:w="845" w:type="dxa"/>
            <w:tcBorders>
              <w:top w:val="single" w:sz="4" w:space="0" w:color="auto"/>
              <w:left w:val="single" w:sz="4" w:space="0" w:color="auto"/>
              <w:bottom w:val="single" w:sz="4" w:space="0" w:color="auto"/>
              <w:right w:val="single" w:sz="4" w:space="0" w:color="auto"/>
            </w:tcBorders>
            <w:vAlign w:val="center"/>
          </w:tcPr>
          <w:p w14:paraId="0724E76F" w14:textId="59831F54" w:rsidR="00D5410F" w:rsidRPr="00984321" w:rsidRDefault="00D5410F" w:rsidP="00E15F87">
            <w:pPr>
              <w:spacing w:after="0" w:line="240" w:lineRule="auto"/>
              <w:jc w:val="center"/>
              <w:rPr>
                <w:rFonts w:cs="Times New Roman"/>
                <w:sz w:val="20"/>
                <w:szCs w:val="20"/>
                <w:lang w:eastAsia="en-GB"/>
              </w:rPr>
            </w:pPr>
            <w:r w:rsidRPr="00984321">
              <w:rPr>
                <w:sz w:val="20"/>
                <w:szCs w:val="20"/>
              </w:rPr>
              <w:t>50</w:t>
            </w:r>
          </w:p>
        </w:tc>
        <w:tc>
          <w:tcPr>
            <w:tcW w:w="729" w:type="dxa"/>
            <w:tcBorders>
              <w:top w:val="single" w:sz="4" w:space="0" w:color="auto"/>
              <w:left w:val="single" w:sz="4" w:space="0" w:color="auto"/>
              <w:bottom w:val="single" w:sz="4" w:space="0" w:color="auto"/>
              <w:right w:val="single" w:sz="4" w:space="0" w:color="auto"/>
            </w:tcBorders>
            <w:noWrap/>
            <w:vAlign w:val="center"/>
          </w:tcPr>
          <w:p w14:paraId="2DCF52C9" w14:textId="1655C09F" w:rsidR="00D5410F" w:rsidRPr="00984321" w:rsidRDefault="00D5410F" w:rsidP="00E15F87">
            <w:pPr>
              <w:spacing w:after="0" w:line="240" w:lineRule="auto"/>
              <w:jc w:val="center"/>
              <w:rPr>
                <w:rFonts w:cs="Times New Roman"/>
                <w:sz w:val="20"/>
                <w:szCs w:val="20"/>
                <w:lang w:eastAsia="en-GB"/>
              </w:rPr>
            </w:pPr>
            <w:r w:rsidRPr="00984321">
              <w:rPr>
                <w:sz w:val="20"/>
                <w:szCs w:val="20"/>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05A7AB1C" w14:textId="72CB44D6"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850" w:type="dxa"/>
            <w:tcBorders>
              <w:top w:val="single" w:sz="4" w:space="0" w:color="auto"/>
              <w:left w:val="single" w:sz="4" w:space="0" w:color="auto"/>
              <w:bottom w:val="single" w:sz="4" w:space="0" w:color="auto"/>
              <w:right w:val="single" w:sz="4" w:space="0" w:color="auto"/>
            </w:tcBorders>
            <w:noWrap/>
            <w:vAlign w:val="center"/>
          </w:tcPr>
          <w:p w14:paraId="0C5C0C98" w14:textId="513479D6" w:rsidR="00D5410F" w:rsidRPr="00984321" w:rsidRDefault="00D5410F" w:rsidP="00E15F87">
            <w:pPr>
              <w:spacing w:after="0" w:line="240" w:lineRule="auto"/>
              <w:jc w:val="center"/>
              <w:rPr>
                <w:rFonts w:cs="Times New Roman"/>
                <w:sz w:val="20"/>
                <w:szCs w:val="20"/>
                <w:lang w:eastAsia="en-GB"/>
              </w:rPr>
            </w:pPr>
            <w:r w:rsidRPr="00984321">
              <w:rPr>
                <w:sz w:val="20"/>
                <w:szCs w:val="20"/>
              </w:rPr>
              <w:t>11</w:t>
            </w:r>
          </w:p>
        </w:tc>
        <w:tc>
          <w:tcPr>
            <w:tcW w:w="2835" w:type="dxa"/>
            <w:tcBorders>
              <w:top w:val="single" w:sz="4" w:space="0" w:color="auto"/>
              <w:left w:val="single" w:sz="4" w:space="0" w:color="auto"/>
              <w:bottom w:val="single" w:sz="4" w:space="0" w:color="auto"/>
              <w:right w:val="single" w:sz="4" w:space="0" w:color="auto"/>
            </w:tcBorders>
            <w:vAlign w:val="center"/>
          </w:tcPr>
          <w:p w14:paraId="425BD845" w14:textId="2EE9B250" w:rsidR="00D5410F" w:rsidRPr="00984321" w:rsidRDefault="00D5410F" w:rsidP="00E15F87">
            <w:pPr>
              <w:spacing w:after="0" w:line="240" w:lineRule="auto"/>
              <w:jc w:val="center"/>
              <w:rPr>
                <w:rFonts w:cs="Times New Roman"/>
                <w:sz w:val="20"/>
                <w:szCs w:val="20"/>
                <w:lang w:val="en-US" w:eastAsia="en-GB"/>
              </w:rPr>
            </w:pPr>
            <w:r w:rsidRPr="00984321">
              <w:rPr>
                <w:rFonts w:cs="Times New Roman"/>
                <w:sz w:val="20"/>
                <w:szCs w:val="20"/>
                <w:lang w:eastAsia="en-GB"/>
              </w:rPr>
              <w:t>C (L/RT, L/RF)</w:t>
            </w:r>
          </w:p>
        </w:tc>
        <w:tc>
          <w:tcPr>
            <w:tcW w:w="851" w:type="dxa"/>
            <w:tcBorders>
              <w:top w:val="single" w:sz="4" w:space="0" w:color="auto"/>
              <w:left w:val="single" w:sz="4" w:space="0" w:color="auto"/>
              <w:bottom w:val="single" w:sz="4" w:space="0" w:color="auto"/>
              <w:right w:val="single" w:sz="4" w:space="0" w:color="auto"/>
            </w:tcBorders>
            <w:noWrap/>
            <w:vAlign w:val="center"/>
          </w:tcPr>
          <w:p w14:paraId="5884999E" w14:textId="1D81FF37" w:rsidR="00D5410F" w:rsidRPr="00984321" w:rsidRDefault="00D5410F" w:rsidP="00E15F87">
            <w:pPr>
              <w:spacing w:after="0" w:line="240" w:lineRule="auto"/>
              <w:jc w:val="center"/>
              <w:rPr>
                <w:rFonts w:cs="Times New Roman"/>
                <w:sz w:val="20"/>
                <w:szCs w:val="20"/>
                <w:lang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72063855" w14:textId="0A72FD51"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12" w:type="dxa"/>
            <w:tcBorders>
              <w:top w:val="single" w:sz="4" w:space="0" w:color="auto"/>
              <w:left w:val="single" w:sz="4" w:space="0" w:color="auto"/>
              <w:bottom w:val="single" w:sz="4" w:space="0" w:color="auto"/>
              <w:right w:val="single" w:sz="4" w:space="0" w:color="auto"/>
            </w:tcBorders>
            <w:vAlign w:val="center"/>
          </w:tcPr>
          <w:p w14:paraId="73AC1155" w14:textId="7460CC53"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2B21DED8" w14:textId="4585C5F1"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r>
      <w:tr w:rsidR="00D5410F" w:rsidRPr="000D273B" w14:paraId="2E23E4E6"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2EB2ACA2" w14:textId="1216FB04"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6</w:t>
            </w:r>
          </w:p>
        </w:tc>
        <w:tc>
          <w:tcPr>
            <w:tcW w:w="845" w:type="dxa"/>
            <w:tcBorders>
              <w:top w:val="single" w:sz="4" w:space="0" w:color="auto"/>
              <w:left w:val="single" w:sz="4" w:space="0" w:color="auto"/>
              <w:bottom w:val="single" w:sz="4" w:space="0" w:color="auto"/>
              <w:right w:val="single" w:sz="4" w:space="0" w:color="auto"/>
            </w:tcBorders>
            <w:vAlign w:val="center"/>
          </w:tcPr>
          <w:p w14:paraId="1795A17D" w14:textId="7B1CC4F8" w:rsidR="00D5410F" w:rsidRPr="00984321" w:rsidRDefault="00D5410F" w:rsidP="00E15F87">
            <w:pPr>
              <w:spacing w:after="0" w:line="240" w:lineRule="auto"/>
              <w:jc w:val="center"/>
              <w:rPr>
                <w:rFonts w:cs="Times New Roman"/>
                <w:sz w:val="20"/>
                <w:szCs w:val="20"/>
                <w:lang w:eastAsia="en-GB"/>
              </w:rPr>
            </w:pPr>
            <w:r w:rsidRPr="00984321">
              <w:rPr>
                <w:sz w:val="20"/>
                <w:szCs w:val="20"/>
              </w:rPr>
              <w:t>64</w:t>
            </w:r>
          </w:p>
        </w:tc>
        <w:tc>
          <w:tcPr>
            <w:tcW w:w="729" w:type="dxa"/>
            <w:tcBorders>
              <w:top w:val="single" w:sz="4" w:space="0" w:color="auto"/>
              <w:left w:val="single" w:sz="4" w:space="0" w:color="auto"/>
              <w:bottom w:val="single" w:sz="4" w:space="0" w:color="auto"/>
              <w:right w:val="single" w:sz="4" w:space="0" w:color="auto"/>
            </w:tcBorders>
            <w:noWrap/>
            <w:vAlign w:val="center"/>
          </w:tcPr>
          <w:p w14:paraId="6260FBB2" w14:textId="19BD486B" w:rsidR="00D5410F" w:rsidRPr="00984321" w:rsidRDefault="00D5410F" w:rsidP="00E15F87">
            <w:pPr>
              <w:spacing w:after="0" w:line="240" w:lineRule="auto"/>
              <w:jc w:val="center"/>
              <w:rPr>
                <w:rFonts w:cs="Times New Roman"/>
                <w:sz w:val="20"/>
                <w:szCs w:val="20"/>
                <w:lang w:eastAsia="en-GB"/>
              </w:rPr>
            </w:pPr>
            <w:r w:rsidRPr="00984321">
              <w:rPr>
                <w:sz w:val="20"/>
                <w:szCs w:val="20"/>
              </w:rPr>
              <w:t>6</w:t>
            </w:r>
          </w:p>
        </w:tc>
        <w:tc>
          <w:tcPr>
            <w:tcW w:w="709" w:type="dxa"/>
            <w:tcBorders>
              <w:top w:val="single" w:sz="4" w:space="0" w:color="auto"/>
              <w:left w:val="single" w:sz="4" w:space="0" w:color="auto"/>
              <w:bottom w:val="single" w:sz="4" w:space="0" w:color="auto"/>
              <w:right w:val="single" w:sz="4" w:space="0" w:color="auto"/>
            </w:tcBorders>
            <w:noWrap/>
            <w:vAlign w:val="center"/>
          </w:tcPr>
          <w:p w14:paraId="3DA4B9D9" w14:textId="0D90011F" w:rsidR="00D5410F" w:rsidRPr="00984321" w:rsidRDefault="00D5410F" w:rsidP="00E15F87">
            <w:pPr>
              <w:spacing w:after="0" w:line="240" w:lineRule="auto"/>
              <w:jc w:val="center"/>
              <w:rPr>
                <w:rFonts w:cs="Times New Roman"/>
                <w:sz w:val="20"/>
                <w:szCs w:val="20"/>
                <w:lang w:eastAsia="en-GB"/>
              </w:rPr>
            </w:pPr>
            <w:r w:rsidRPr="00984321">
              <w:rPr>
                <w:sz w:val="20"/>
                <w:szCs w:val="20"/>
              </w:rPr>
              <w:t>14</w:t>
            </w:r>
          </w:p>
        </w:tc>
        <w:tc>
          <w:tcPr>
            <w:tcW w:w="850" w:type="dxa"/>
            <w:tcBorders>
              <w:top w:val="single" w:sz="4" w:space="0" w:color="auto"/>
              <w:left w:val="single" w:sz="4" w:space="0" w:color="auto"/>
              <w:bottom w:val="single" w:sz="4" w:space="0" w:color="auto"/>
              <w:right w:val="single" w:sz="4" w:space="0" w:color="auto"/>
            </w:tcBorders>
            <w:noWrap/>
            <w:vAlign w:val="center"/>
          </w:tcPr>
          <w:p w14:paraId="737AA008" w14:textId="6532EBE5"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2835" w:type="dxa"/>
            <w:tcBorders>
              <w:top w:val="single" w:sz="4" w:space="0" w:color="auto"/>
              <w:left w:val="single" w:sz="4" w:space="0" w:color="auto"/>
              <w:bottom w:val="single" w:sz="4" w:space="0" w:color="auto"/>
              <w:right w:val="single" w:sz="4" w:space="0" w:color="auto"/>
            </w:tcBorders>
            <w:vAlign w:val="center"/>
          </w:tcPr>
          <w:p w14:paraId="425A49D1" w14:textId="686CFAF0" w:rsidR="00D5410F" w:rsidRPr="00984321" w:rsidRDefault="00D5410F" w:rsidP="00E15F87">
            <w:pPr>
              <w:spacing w:after="0" w:line="240" w:lineRule="auto"/>
              <w:jc w:val="center"/>
              <w:rPr>
                <w:rFonts w:cs="Times New Roman"/>
                <w:sz w:val="20"/>
                <w:szCs w:val="20"/>
                <w:lang w:val="en-US" w:eastAsia="en-GB"/>
              </w:rPr>
            </w:pPr>
            <w:r w:rsidRPr="00984321">
              <w:rPr>
                <w:rFonts w:cs="Times New Roman"/>
                <w:sz w:val="20"/>
                <w:szCs w:val="20"/>
                <w:lang w:eastAsia="en-GB"/>
              </w:rPr>
              <w:t>C (RT, L/RF)</w:t>
            </w:r>
          </w:p>
        </w:tc>
        <w:tc>
          <w:tcPr>
            <w:tcW w:w="851" w:type="dxa"/>
            <w:tcBorders>
              <w:top w:val="single" w:sz="4" w:space="0" w:color="auto"/>
              <w:left w:val="single" w:sz="4" w:space="0" w:color="auto"/>
              <w:bottom w:val="single" w:sz="4" w:space="0" w:color="auto"/>
              <w:right w:val="single" w:sz="4" w:space="0" w:color="auto"/>
            </w:tcBorders>
            <w:noWrap/>
            <w:vAlign w:val="center"/>
          </w:tcPr>
          <w:p w14:paraId="1CCEBAF5" w14:textId="14DFCC4E"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41E70F49" w14:textId="62A884C2"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12" w:type="dxa"/>
            <w:tcBorders>
              <w:top w:val="single" w:sz="4" w:space="0" w:color="auto"/>
              <w:left w:val="single" w:sz="4" w:space="0" w:color="auto"/>
              <w:bottom w:val="single" w:sz="4" w:space="0" w:color="auto"/>
              <w:right w:val="single" w:sz="4" w:space="0" w:color="auto"/>
            </w:tcBorders>
            <w:vAlign w:val="center"/>
          </w:tcPr>
          <w:p w14:paraId="58424BE5" w14:textId="022CCE83"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52" w:type="dxa"/>
            <w:tcBorders>
              <w:top w:val="single" w:sz="4" w:space="0" w:color="auto"/>
              <w:left w:val="single" w:sz="4" w:space="0" w:color="auto"/>
              <w:bottom w:val="single" w:sz="4" w:space="0" w:color="auto"/>
              <w:right w:val="single" w:sz="4" w:space="0" w:color="auto"/>
            </w:tcBorders>
            <w:vAlign w:val="center"/>
          </w:tcPr>
          <w:p w14:paraId="02666B02" w14:textId="3DCCBB8F"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r>
      <w:tr w:rsidR="00D5410F" w:rsidRPr="000D273B" w14:paraId="12CFEBCE"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321115BD" w14:textId="16A871AB"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7</w:t>
            </w:r>
          </w:p>
        </w:tc>
        <w:tc>
          <w:tcPr>
            <w:tcW w:w="845" w:type="dxa"/>
            <w:tcBorders>
              <w:top w:val="single" w:sz="4" w:space="0" w:color="auto"/>
              <w:left w:val="single" w:sz="4" w:space="0" w:color="auto"/>
              <w:bottom w:val="single" w:sz="4" w:space="0" w:color="auto"/>
              <w:right w:val="single" w:sz="4" w:space="0" w:color="auto"/>
            </w:tcBorders>
            <w:vAlign w:val="center"/>
          </w:tcPr>
          <w:p w14:paraId="547BB765" w14:textId="6887CA57" w:rsidR="00D5410F" w:rsidRPr="00984321" w:rsidRDefault="00D5410F" w:rsidP="00E15F87">
            <w:pPr>
              <w:spacing w:after="0" w:line="240" w:lineRule="auto"/>
              <w:jc w:val="center"/>
              <w:rPr>
                <w:rFonts w:cs="Times New Roman"/>
                <w:sz w:val="20"/>
                <w:szCs w:val="20"/>
                <w:lang w:eastAsia="en-GB"/>
              </w:rPr>
            </w:pPr>
            <w:r w:rsidRPr="00984321">
              <w:rPr>
                <w:sz w:val="20"/>
                <w:szCs w:val="20"/>
              </w:rPr>
              <w:t>63</w:t>
            </w:r>
          </w:p>
        </w:tc>
        <w:tc>
          <w:tcPr>
            <w:tcW w:w="729" w:type="dxa"/>
            <w:tcBorders>
              <w:top w:val="single" w:sz="4" w:space="0" w:color="auto"/>
              <w:left w:val="single" w:sz="4" w:space="0" w:color="auto"/>
              <w:bottom w:val="single" w:sz="4" w:space="0" w:color="auto"/>
              <w:right w:val="single" w:sz="4" w:space="0" w:color="auto"/>
            </w:tcBorders>
            <w:noWrap/>
            <w:vAlign w:val="center"/>
          </w:tcPr>
          <w:p w14:paraId="29377F53" w14:textId="3C6A61C5" w:rsidR="00D5410F" w:rsidRPr="00984321" w:rsidRDefault="00D5410F" w:rsidP="00E15F87">
            <w:pPr>
              <w:spacing w:after="0" w:line="240" w:lineRule="auto"/>
              <w:jc w:val="center"/>
              <w:rPr>
                <w:rFonts w:cs="Times New Roman"/>
                <w:sz w:val="20"/>
                <w:szCs w:val="20"/>
                <w:lang w:eastAsia="en-GB"/>
              </w:rPr>
            </w:pPr>
            <w:r w:rsidRPr="00984321">
              <w:rPr>
                <w:sz w:val="20"/>
                <w:szCs w:val="20"/>
              </w:rPr>
              <w:t>6</w:t>
            </w:r>
          </w:p>
        </w:tc>
        <w:tc>
          <w:tcPr>
            <w:tcW w:w="709" w:type="dxa"/>
            <w:tcBorders>
              <w:top w:val="single" w:sz="4" w:space="0" w:color="auto"/>
              <w:left w:val="single" w:sz="4" w:space="0" w:color="auto"/>
              <w:bottom w:val="single" w:sz="4" w:space="0" w:color="auto"/>
              <w:right w:val="single" w:sz="4" w:space="0" w:color="auto"/>
            </w:tcBorders>
            <w:noWrap/>
            <w:vAlign w:val="center"/>
          </w:tcPr>
          <w:p w14:paraId="511C60A1" w14:textId="58358733"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850" w:type="dxa"/>
            <w:tcBorders>
              <w:top w:val="single" w:sz="4" w:space="0" w:color="auto"/>
              <w:left w:val="single" w:sz="4" w:space="0" w:color="auto"/>
              <w:bottom w:val="single" w:sz="4" w:space="0" w:color="auto"/>
              <w:right w:val="single" w:sz="4" w:space="0" w:color="auto"/>
            </w:tcBorders>
            <w:noWrap/>
            <w:vAlign w:val="center"/>
          </w:tcPr>
          <w:p w14:paraId="48B3D349" w14:textId="6D909245" w:rsidR="00D5410F" w:rsidRPr="00984321" w:rsidRDefault="00D5410F" w:rsidP="00E15F87">
            <w:pPr>
              <w:spacing w:after="0" w:line="240" w:lineRule="auto"/>
              <w:jc w:val="center"/>
              <w:rPr>
                <w:rFonts w:cs="Times New Roman"/>
                <w:sz w:val="20"/>
                <w:szCs w:val="20"/>
                <w:lang w:eastAsia="en-GB"/>
              </w:rPr>
            </w:pPr>
            <w:r w:rsidRPr="00984321">
              <w:rPr>
                <w:sz w:val="20"/>
                <w:szCs w:val="20"/>
              </w:rPr>
              <w:t>30</w:t>
            </w:r>
          </w:p>
        </w:tc>
        <w:tc>
          <w:tcPr>
            <w:tcW w:w="2835" w:type="dxa"/>
            <w:tcBorders>
              <w:top w:val="single" w:sz="4" w:space="0" w:color="auto"/>
              <w:left w:val="single" w:sz="4" w:space="0" w:color="auto"/>
              <w:bottom w:val="single" w:sz="4" w:space="0" w:color="auto"/>
              <w:right w:val="single" w:sz="4" w:space="0" w:color="auto"/>
            </w:tcBorders>
            <w:vAlign w:val="center"/>
          </w:tcPr>
          <w:p w14:paraId="35BD6658" w14:textId="3042E2FC" w:rsidR="00D5410F" w:rsidRPr="00984321" w:rsidRDefault="00E15F87" w:rsidP="00E15F87">
            <w:pPr>
              <w:spacing w:after="0" w:line="240" w:lineRule="auto"/>
              <w:jc w:val="center"/>
              <w:rPr>
                <w:rFonts w:cs="Times New Roman"/>
                <w:sz w:val="20"/>
                <w:szCs w:val="20"/>
                <w:lang w:val="en-US" w:eastAsia="en-GB"/>
              </w:rPr>
            </w:pPr>
            <w:r>
              <w:rPr>
                <w:rFonts w:cs="Times New Roman"/>
                <w:sz w:val="20"/>
                <w:szCs w:val="20"/>
                <w:lang w:val="en-US" w:eastAsia="en-GB"/>
              </w:rPr>
              <w:t>DAI (L/RF)</w:t>
            </w:r>
          </w:p>
        </w:tc>
        <w:tc>
          <w:tcPr>
            <w:tcW w:w="851" w:type="dxa"/>
            <w:tcBorders>
              <w:top w:val="single" w:sz="4" w:space="0" w:color="auto"/>
              <w:left w:val="single" w:sz="4" w:space="0" w:color="auto"/>
              <w:bottom w:val="single" w:sz="4" w:space="0" w:color="auto"/>
              <w:right w:val="single" w:sz="4" w:space="0" w:color="auto"/>
            </w:tcBorders>
            <w:vAlign w:val="center"/>
          </w:tcPr>
          <w:p w14:paraId="3E0C1B1B" w14:textId="126C4392"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7178AC2E" w14:textId="793FC2B6"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12" w:type="dxa"/>
            <w:tcBorders>
              <w:top w:val="single" w:sz="4" w:space="0" w:color="auto"/>
              <w:left w:val="single" w:sz="4" w:space="0" w:color="auto"/>
              <w:bottom w:val="single" w:sz="4" w:space="0" w:color="auto"/>
              <w:right w:val="single" w:sz="4" w:space="0" w:color="auto"/>
            </w:tcBorders>
            <w:vAlign w:val="center"/>
          </w:tcPr>
          <w:p w14:paraId="3D724497" w14:textId="72C4856F"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63BE33A3" w14:textId="4848F58C"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r>
      <w:tr w:rsidR="00D5410F" w:rsidRPr="000D273B" w14:paraId="534303A4"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4D95ED6A" w14:textId="571D5CD9"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8</w:t>
            </w:r>
          </w:p>
        </w:tc>
        <w:tc>
          <w:tcPr>
            <w:tcW w:w="845" w:type="dxa"/>
            <w:tcBorders>
              <w:top w:val="single" w:sz="4" w:space="0" w:color="auto"/>
              <w:left w:val="single" w:sz="4" w:space="0" w:color="auto"/>
              <w:bottom w:val="single" w:sz="4" w:space="0" w:color="auto"/>
              <w:right w:val="single" w:sz="4" w:space="0" w:color="auto"/>
            </w:tcBorders>
            <w:vAlign w:val="center"/>
          </w:tcPr>
          <w:p w14:paraId="0BC1E276" w14:textId="1890980E" w:rsidR="00D5410F" w:rsidRPr="00984321" w:rsidRDefault="00D5410F" w:rsidP="00E15F87">
            <w:pPr>
              <w:spacing w:after="0" w:line="240" w:lineRule="auto"/>
              <w:jc w:val="center"/>
              <w:rPr>
                <w:rFonts w:cs="Times New Roman"/>
                <w:sz w:val="20"/>
                <w:szCs w:val="20"/>
                <w:lang w:eastAsia="en-GB"/>
              </w:rPr>
            </w:pPr>
            <w:r w:rsidRPr="00984321">
              <w:rPr>
                <w:sz w:val="20"/>
                <w:szCs w:val="20"/>
              </w:rPr>
              <w:t>48</w:t>
            </w:r>
          </w:p>
        </w:tc>
        <w:tc>
          <w:tcPr>
            <w:tcW w:w="729" w:type="dxa"/>
            <w:tcBorders>
              <w:top w:val="single" w:sz="4" w:space="0" w:color="auto"/>
              <w:left w:val="single" w:sz="4" w:space="0" w:color="auto"/>
              <w:bottom w:val="single" w:sz="4" w:space="0" w:color="auto"/>
              <w:right w:val="single" w:sz="4" w:space="0" w:color="auto"/>
            </w:tcBorders>
            <w:noWrap/>
            <w:vAlign w:val="center"/>
          </w:tcPr>
          <w:p w14:paraId="28199260" w14:textId="7E261378" w:rsidR="00D5410F" w:rsidRPr="00984321" w:rsidRDefault="00D5410F" w:rsidP="00E15F87">
            <w:pPr>
              <w:spacing w:after="0" w:line="240" w:lineRule="auto"/>
              <w:jc w:val="center"/>
              <w:rPr>
                <w:rFonts w:cs="Times New Roman"/>
                <w:sz w:val="20"/>
                <w:szCs w:val="20"/>
                <w:lang w:eastAsia="en-GB"/>
              </w:rPr>
            </w:pPr>
            <w:r w:rsidRPr="00984321">
              <w:rPr>
                <w:sz w:val="20"/>
                <w:szCs w:val="20"/>
              </w:rPr>
              <w:t>7</w:t>
            </w:r>
          </w:p>
        </w:tc>
        <w:tc>
          <w:tcPr>
            <w:tcW w:w="709" w:type="dxa"/>
            <w:tcBorders>
              <w:top w:val="single" w:sz="4" w:space="0" w:color="auto"/>
              <w:left w:val="single" w:sz="4" w:space="0" w:color="auto"/>
              <w:bottom w:val="single" w:sz="4" w:space="0" w:color="auto"/>
              <w:right w:val="single" w:sz="4" w:space="0" w:color="auto"/>
            </w:tcBorders>
            <w:noWrap/>
            <w:vAlign w:val="center"/>
          </w:tcPr>
          <w:p w14:paraId="7811279E" w14:textId="15C5E040" w:rsidR="00D5410F" w:rsidRPr="00984321" w:rsidRDefault="00D5410F" w:rsidP="00E15F87">
            <w:pPr>
              <w:spacing w:after="0" w:line="240" w:lineRule="auto"/>
              <w:jc w:val="center"/>
              <w:rPr>
                <w:rFonts w:cs="Times New Roman"/>
                <w:sz w:val="20"/>
                <w:szCs w:val="20"/>
                <w:lang w:eastAsia="en-GB"/>
              </w:rPr>
            </w:pPr>
            <w:r w:rsidRPr="00984321">
              <w:rPr>
                <w:sz w:val="20"/>
                <w:szCs w:val="20"/>
              </w:rPr>
              <w:t>14</w:t>
            </w:r>
          </w:p>
        </w:tc>
        <w:tc>
          <w:tcPr>
            <w:tcW w:w="850" w:type="dxa"/>
            <w:tcBorders>
              <w:top w:val="single" w:sz="4" w:space="0" w:color="auto"/>
              <w:left w:val="single" w:sz="4" w:space="0" w:color="auto"/>
              <w:bottom w:val="single" w:sz="4" w:space="0" w:color="auto"/>
              <w:right w:val="single" w:sz="4" w:space="0" w:color="auto"/>
            </w:tcBorders>
            <w:noWrap/>
            <w:vAlign w:val="center"/>
          </w:tcPr>
          <w:p w14:paraId="4529C1D3" w14:textId="5E48585A" w:rsidR="00D5410F" w:rsidRPr="00984321" w:rsidRDefault="00D5410F" w:rsidP="00E15F87">
            <w:pPr>
              <w:spacing w:after="0" w:line="240" w:lineRule="auto"/>
              <w:jc w:val="center"/>
              <w:rPr>
                <w:rFonts w:cs="Times New Roman"/>
                <w:sz w:val="20"/>
                <w:szCs w:val="20"/>
                <w:lang w:eastAsia="en-GB"/>
              </w:rPr>
            </w:pPr>
            <w:r w:rsidRPr="00984321">
              <w:rPr>
                <w:sz w:val="20"/>
                <w:szCs w:val="20"/>
              </w:rPr>
              <w:t>19</w:t>
            </w:r>
          </w:p>
        </w:tc>
        <w:tc>
          <w:tcPr>
            <w:tcW w:w="2835" w:type="dxa"/>
            <w:tcBorders>
              <w:top w:val="single" w:sz="4" w:space="0" w:color="auto"/>
              <w:left w:val="single" w:sz="4" w:space="0" w:color="auto"/>
              <w:bottom w:val="single" w:sz="4" w:space="0" w:color="auto"/>
              <w:right w:val="single" w:sz="4" w:space="0" w:color="auto"/>
            </w:tcBorders>
            <w:vAlign w:val="center"/>
          </w:tcPr>
          <w:p w14:paraId="6DFD8501" w14:textId="05B938AA" w:rsidR="00D5410F" w:rsidRPr="00984321" w:rsidRDefault="00D5410F" w:rsidP="00E15F87">
            <w:pPr>
              <w:spacing w:after="0" w:line="240" w:lineRule="auto"/>
              <w:jc w:val="center"/>
              <w:rPr>
                <w:rFonts w:cs="Times New Roman"/>
                <w:sz w:val="20"/>
                <w:szCs w:val="20"/>
                <w:lang w:eastAsia="en-GB"/>
              </w:rPr>
            </w:pPr>
            <w:r w:rsidRPr="00984321">
              <w:rPr>
                <w:rFonts w:cs="Times New Roman"/>
                <w:sz w:val="20"/>
                <w:szCs w:val="20"/>
                <w:lang w:val="en-US" w:eastAsia="en-GB"/>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31E470E6" w14:textId="63A31640" w:rsidR="00D5410F" w:rsidRPr="00984321" w:rsidRDefault="00D5410F" w:rsidP="00E15F87">
            <w:pPr>
              <w:spacing w:after="0" w:line="240" w:lineRule="auto"/>
              <w:jc w:val="center"/>
              <w:rPr>
                <w:rFonts w:cs="Times New Roman"/>
                <w:sz w:val="20"/>
                <w:szCs w:val="20"/>
                <w:lang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23CBF302" w14:textId="3B2A993F"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12" w:type="dxa"/>
            <w:tcBorders>
              <w:top w:val="single" w:sz="4" w:space="0" w:color="auto"/>
              <w:left w:val="single" w:sz="4" w:space="0" w:color="auto"/>
              <w:bottom w:val="single" w:sz="4" w:space="0" w:color="auto"/>
              <w:right w:val="single" w:sz="4" w:space="0" w:color="auto"/>
            </w:tcBorders>
            <w:vAlign w:val="center"/>
          </w:tcPr>
          <w:p w14:paraId="62366A31" w14:textId="57862624"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5C94CB2A" w14:textId="4499E2B3"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r>
      <w:tr w:rsidR="00D5410F" w:rsidRPr="000D273B" w14:paraId="1BE060D0"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4CEF8E4F" w14:textId="1C7FE5B9"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9</w:t>
            </w:r>
          </w:p>
        </w:tc>
        <w:tc>
          <w:tcPr>
            <w:tcW w:w="845" w:type="dxa"/>
            <w:tcBorders>
              <w:top w:val="single" w:sz="4" w:space="0" w:color="auto"/>
              <w:left w:val="single" w:sz="4" w:space="0" w:color="auto"/>
              <w:bottom w:val="single" w:sz="4" w:space="0" w:color="auto"/>
              <w:right w:val="single" w:sz="4" w:space="0" w:color="auto"/>
            </w:tcBorders>
            <w:vAlign w:val="center"/>
          </w:tcPr>
          <w:p w14:paraId="1D333D79" w14:textId="6338C240" w:rsidR="00D5410F" w:rsidRPr="00984321" w:rsidRDefault="00D5410F" w:rsidP="00E15F87">
            <w:pPr>
              <w:spacing w:after="0" w:line="240" w:lineRule="auto"/>
              <w:jc w:val="center"/>
              <w:rPr>
                <w:rFonts w:cs="Times New Roman"/>
                <w:sz w:val="20"/>
                <w:szCs w:val="20"/>
                <w:lang w:eastAsia="en-GB"/>
              </w:rPr>
            </w:pPr>
            <w:r w:rsidRPr="00984321">
              <w:rPr>
                <w:sz w:val="20"/>
                <w:szCs w:val="20"/>
              </w:rPr>
              <w:t>64</w:t>
            </w:r>
          </w:p>
        </w:tc>
        <w:tc>
          <w:tcPr>
            <w:tcW w:w="729" w:type="dxa"/>
            <w:tcBorders>
              <w:top w:val="single" w:sz="4" w:space="0" w:color="auto"/>
              <w:left w:val="single" w:sz="4" w:space="0" w:color="auto"/>
              <w:bottom w:val="single" w:sz="4" w:space="0" w:color="auto"/>
              <w:right w:val="single" w:sz="4" w:space="0" w:color="auto"/>
            </w:tcBorders>
            <w:noWrap/>
            <w:vAlign w:val="center"/>
          </w:tcPr>
          <w:p w14:paraId="51CA1D74" w14:textId="13810AA3" w:rsidR="00D5410F" w:rsidRPr="00984321" w:rsidRDefault="00D5410F" w:rsidP="00E15F87">
            <w:pPr>
              <w:spacing w:after="0" w:line="240" w:lineRule="auto"/>
              <w:jc w:val="center"/>
              <w:rPr>
                <w:rFonts w:cs="Times New Roman"/>
                <w:sz w:val="20"/>
                <w:szCs w:val="20"/>
                <w:lang w:eastAsia="en-GB"/>
              </w:rPr>
            </w:pPr>
            <w:r w:rsidRPr="00984321">
              <w:rPr>
                <w:sz w:val="20"/>
                <w:szCs w:val="20"/>
              </w:rPr>
              <w:t>17</w:t>
            </w:r>
          </w:p>
        </w:tc>
        <w:tc>
          <w:tcPr>
            <w:tcW w:w="709" w:type="dxa"/>
            <w:tcBorders>
              <w:top w:val="single" w:sz="4" w:space="0" w:color="auto"/>
              <w:left w:val="single" w:sz="4" w:space="0" w:color="auto"/>
              <w:bottom w:val="single" w:sz="4" w:space="0" w:color="auto"/>
              <w:right w:val="single" w:sz="4" w:space="0" w:color="auto"/>
            </w:tcBorders>
            <w:noWrap/>
            <w:vAlign w:val="center"/>
          </w:tcPr>
          <w:p w14:paraId="51D8C474" w14:textId="5881CC94"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850" w:type="dxa"/>
            <w:tcBorders>
              <w:top w:val="single" w:sz="4" w:space="0" w:color="auto"/>
              <w:left w:val="single" w:sz="4" w:space="0" w:color="auto"/>
              <w:bottom w:val="single" w:sz="4" w:space="0" w:color="auto"/>
              <w:right w:val="single" w:sz="4" w:space="0" w:color="auto"/>
            </w:tcBorders>
            <w:noWrap/>
            <w:vAlign w:val="center"/>
          </w:tcPr>
          <w:p w14:paraId="03F583C4" w14:textId="18725521" w:rsidR="00D5410F" w:rsidRPr="00984321" w:rsidRDefault="00D5410F" w:rsidP="00E15F87">
            <w:pPr>
              <w:spacing w:after="0" w:line="240" w:lineRule="auto"/>
              <w:jc w:val="center"/>
              <w:rPr>
                <w:rFonts w:cs="Times New Roman"/>
                <w:sz w:val="20"/>
                <w:szCs w:val="20"/>
                <w:lang w:eastAsia="en-GB"/>
              </w:rPr>
            </w:pPr>
            <w:r w:rsidRPr="00984321">
              <w:rPr>
                <w:sz w:val="20"/>
                <w:szCs w:val="20"/>
              </w:rPr>
              <w:t>12</w:t>
            </w:r>
          </w:p>
        </w:tc>
        <w:tc>
          <w:tcPr>
            <w:tcW w:w="2835" w:type="dxa"/>
            <w:tcBorders>
              <w:top w:val="single" w:sz="4" w:space="0" w:color="auto"/>
              <w:left w:val="single" w:sz="4" w:space="0" w:color="auto"/>
              <w:bottom w:val="single" w:sz="4" w:space="0" w:color="auto"/>
              <w:right w:val="single" w:sz="4" w:space="0" w:color="auto"/>
            </w:tcBorders>
            <w:vAlign w:val="center"/>
          </w:tcPr>
          <w:p w14:paraId="7CCC9FB6" w14:textId="2DBF7D98" w:rsidR="00D5410F" w:rsidRPr="00984321" w:rsidRDefault="00D5410F" w:rsidP="00E15F87">
            <w:pPr>
              <w:spacing w:after="0" w:line="240" w:lineRule="auto"/>
              <w:jc w:val="center"/>
              <w:rPr>
                <w:rFonts w:cs="Times New Roman"/>
                <w:sz w:val="20"/>
                <w:szCs w:val="20"/>
                <w:lang w:eastAsia="en-GB"/>
              </w:rPr>
            </w:pPr>
            <w:r w:rsidRPr="00984321">
              <w:rPr>
                <w:rFonts w:cs="Times New Roman"/>
                <w:sz w:val="20"/>
                <w:szCs w:val="20"/>
                <w:lang w:val="en-US" w:eastAsia="en-GB"/>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5117FB15" w14:textId="710E785D" w:rsidR="00D5410F" w:rsidRPr="00984321" w:rsidRDefault="00D5410F" w:rsidP="00E15F87">
            <w:pPr>
              <w:spacing w:after="0" w:line="240" w:lineRule="auto"/>
              <w:jc w:val="center"/>
              <w:rPr>
                <w:rFonts w:cs="Times New Roman"/>
                <w:sz w:val="20"/>
                <w:szCs w:val="20"/>
                <w:lang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2008391C" w14:textId="4DD30931"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12" w:type="dxa"/>
            <w:tcBorders>
              <w:top w:val="single" w:sz="4" w:space="0" w:color="auto"/>
              <w:left w:val="single" w:sz="4" w:space="0" w:color="auto"/>
              <w:bottom w:val="single" w:sz="4" w:space="0" w:color="auto"/>
              <w:right w:val="single" w:sz="4" w:space="0" w:color="auto"/>
            </w:tcBorders>
            <w:vAlign w:val="center"/>
          </w:tcPr>
          <w:p w14:paraId="7683B0E6" w14:textId="12572963"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52" w:type="dxa"/>
            <w:tcBorders>
              <w:top w:val="single" w:sz="4" w:space="0" w:color="auto"/>
              <w:left w:val="single" w:sz="4" w:space="0" w:color="auto"/>
              <w:bottom w:val="single" w:sz="4" w:space="0" w:color="auto"/>
              <w:right w:val="single" w:sz="4" w:space="0" w:color="auto"/>
            </w:tcBorders>
            <w:vAlign w:val="center"/>
          </w:tcPr>
          <w:p w14:paraId="35265D91" w14:textId="6C55FEA8"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r>
      <w:tr w:rsidR="00D5410F" w:rsidRPr="000D273B" w14:paraId="44372C27"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09EEDCF0" w14:textId="719CAB78"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10</w:t>
            </w:r>
          </w:p>
        </w:tc>
        <w:tc>
          <w:tcPr>
            <w:tcW w:w="845" w:type="dxa"/>
            <w:tcBorders>
              <w:top w:val="single" w:sz="4" w:space="0" w:color="auto"/>
              <w:left w:val="single" w:sz="4" w:space="0" w:color="auto"/>
              <w:bottom w:val="single" w:sz="4" w:space="0" w:color="auto"/>
              <w:right w:val="single" w:sz="4" w:space="0" w:color="auto"/>
            </w:tcBorders>
            <w:vAlign w:val="center"/>
          </w:tcPr>
          <w:p w14:paraId="2B9EA0B5" w14:textId="069240E8" w:rsidR="00D5410F" w:rsidRPr="00984321" w:rsidRDefault="00D5410F" w:rsidP="00E15F87">
            <w:pPr>
              <w:spacing w:after="0" w:line="240" w:lineRule="auto"/>
              <w:jc w:val="center"/>
              <w:rPr>
                <w:rFonts w:cs="Times New Roman"/>
                <w:sz w:val="20"/>
                <w:szCs w:val="20"/>
                <w:lang w:eastAsia="en-GB"/>
              </w:rPr>
            </w:pPr>
            <w:r w:rsidRPr="00984321">
              <w:rPr>
                <w:sz w:val="20"/>
                <w:szCs w:val="20"/>
              </w:rPr>
              <w:t>39</w:t>
            </w:r>
          </w:p>
        </w:tc>
        <w:tc>
          <w:tcPr>
            <w:tcW w:w="729" w:type="dxa"/>
            <w:tcBorders>
              <w:top w:val="single" w:sz="4" w:space="0" w:color="auto"/>
              <w:left w:val="single" w:sz="4" w:space="0" w:color="auto"/>
              <w:bottom w:val="single" w:sz="4" w:space="0" w:color="auto"/>
              <w:right w:val="single" w:sz="4" w:space="0" w:color="auto"/>
            </w:tcBorders>
            <w:noWrap/>
            <w:vAlign w:val="center"/>
          </w:tcPr>
          <w:p w14:paraId="7F87F819" w14:textId="33D0B06A" w:rsidR="00D5410F" w:rsidRPr="00984321" w:rsidRDefault="00D5410F" w:rsidP="00E15F87">
            <w:pPr>
              <w:spacing w:after="0" w:line="240" w:lineRule="auto"/>
              <w:jc w:val="center"/>
              <w:rPr>
                <w:rFonts w:cs="Times New Roman"/>
                <w:sz w:val="20"/>
                <w:szCs w:val="20"/>
                <w:lang w:eastAsia="en-GB"/>
              </w:rPr>
            </w:pPr>
            <w:r w:rsidRPr="00984321">
              <w:rPr>
                <w:sz w:val="20"/>
                <w:szCs w:val="20"/>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1E45C7B4" w14:textId="680CABD2" w:rsidR="00D5410F" w:rsidRPr="00984321" w:rsidRDefault="00D5410F" w:rsidP="00E15F87">
            <w:pPr>
              <w:spacing w:after="0" w:line="240" w:lineRule="auto"/>
              <w:jc w:val="center"/>
              <w:rPr>
                <w:rFonts w:cs="Times New Roman"/>
                <w:sz w:val="20"/>
                <w:szCs w:val="20"/>
                <w:lang w:eastAsia="en-GB"/>
              </w:rPr>
            </w:pPr>
            <w:r w:rsidRPr="00984321">
              <w:rPr>
                <w:sz w:val="20"/>
                <w:szCs w:val="20"/>
              </w:rPr>
              <w:t>14</w:t>
            </w:r>
          </w:p>
        </w:tc>
        <w:tc>
          <w:tcPr>
            <w:tcW w:w="850" w:type="dxa"/>
            <w:tcBorders>
              <w:top w:val="single" w:sz="4" w:space="0" w:color="auto"/>
              <w:left w:val="single" w:sz="4" w:space="0" w:color="auto"/>
              <w:bottom w:val="single" w:sz="4" w:space="0" w:color="auto"/>
              <w:right w:val="single" w:sz="4" w:space="0" w:color="auto"/>
            </w:tcBorders>
            <w:noWrap/>
            <w:vAlign w:val="center"/>
          </w:tcPr>
          <w:p w14:paraId="760AF82A" w14:textId="7538A40F" w:rsidR="00D5410F" w:rsidRPr="00984321" w:rsidRDefault="00D5410F" w:rsidP="00E15F87">
            <w:pPr>
              <w:spacing w:after="0" w:line="240" w:lineRule="auto"/>
              <w:jc w:val="center"/>
              <w:rPr>
                <w:rFonts w:cs="Times New Roman"/>
                <w:sz w:val="20"/>
                <w:szCs w:val="20"/>
                <w:lang w:eastAsia="en-GB"/>
              </w:rPr>
            </w:pPr>
            <w:r w:rsidRPr="00984321">
              <w:rPr>
                <w:sz w:val="20"/>
                <w:szCs w:val="20"/>
              </w:rPr>
              <w:t>10</w:t>
            </w:r>
          </w:p>
        </w:tc>
        <w:tc>
          <w:tcPr>
            <w:tcW w:w="2835" w:type="dxa"/>
            <w:tcBorders>
              <w:top w:val="single" w:sz="4" w:space="0" w:color="auto"/>
              <w:left w:val="single" w:sz="4" w:space="0" w:color="auto"/>
              <w:bottom w:val="single" w:sz="4" w:space="0" w:color="auto"/>
              <w:right w:val="single" w:sz="4" w:space="0" w:color="auto"/>
            </w:tcBorders>
            <w:vAlign w:val="center"/>
          </w:tcPr>
          <w:p w14:paraId="1DDF50CE" w14:textId="600052FF" w:rsidR="00D5410F" w:rsidRPr="00984321" w:rsidRDefault="00D5410F" w:rsidP="00E15F87">
            <w:pPr>
              <w:spacing w:after="0" w:line="240" w:lineRule="auto"/>
              <w:jc w:val="center"/>
              <w:rPr>
                <w:rFonts w:cs="Times New Roman"/>
                <w:sz w:val="20"/>
                <w:szCs w:val="20"/>
                <w:lang w:val="en-US" w:eastAsia="en-GB"/>
              </w:rPr>
            </w:pPr>
            <w:r w:rsidRPr="00984321">
              <w:rPr>
                <w:rFonts w:cs="Times New Roman"/>
                <w:sz w:val="20"/>
                <w:szCs w:val="20"/>
                <w:lang w:val="en-US" w:eastAsia="en-GB"/>
              </w:rPr>
              <w:t>C</w:t>
            </w:r>
            <w:r w:rsidR="00E15F87">
              <w:rPr>
                <w:rFonts w:cs="Times New Roman"/>
                <w:sz w:val="20"/>
                <w:szCs w:val="20"/>
                <w:lang w:val="en-US" w:eastAsia="en-GB"/>
              </w:rPr>
              <w:t xml:space="preserve"> (</w:t>
            </w:r>
            <w:r w:rsidRPr="00984321">
              <w:rPr>
                <w:rFonts w:cs="Times New Roman"/>
                <w:sz w:val="20"/>
                <w:szCs w:val="20"/>
                <w:lang w:eastAsia="en-GB"/>
              </w:rPr>
              <w:t>RF</w:t>
            </w:r>
            <w:r w:rsidR="00E15F87">
              <w:rPr>
                <w:rFonts w:cs="Times New Roman"/>
                <w:sz w:val="20"/>
                <w:szCs w:val="20"/>
                <w:lang w:eastAsia="en-GB"/>
              </w:rPr>
              <w:t>), DAI (RF)</w:t>
            </w:r>
          </w:p>
        </w:tc>
        <w:tc>
          <w:tcPr>
            <w:tcW w:w="851" w:type="dxa"/>
            <w:tcBorders>
              <w:top w:val="single" w:sz="4" w:space="0" w:color="auto"/>
              <w:left w:val="single" w:sz="4" w:space="0" w:color="auto"/>
              <w:bottom w:val="single" w:sz="4" w:space="0" w:color="auto"/>
              <w:right w:val="single" w:sz="4" w:space="0" w:color="auto"/>
            </w:tcBorders>
            <w:vAlign w:val="center"/>
          </w:tcPr>
          <w:p w14:paraId="1B2BB7E5" w14:textId="2C3769F6"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773A837C" w14:textId="5451CF0E"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12" w:type="dxa"/>
            <w:tcBorders>
              <w:top w:val="single" w:sz="4" w:space="0" w:color="auto"/>
              <w:left w:val="single" w:sz="4" w:space="0" w:color="auto"/>
              <w:bottom w:val="single" w:sz="4" w:space="0" w:color="auto"/>
              <w:right w:val="single" w:sz="4" w:space="0" w:color="auto"/>
            </w:tcBorders>
            <w:vAlign w:val="center"/>
          </w:tcPr>
          <w:p w14:paraId="1AD32E33" w14:textId="3325A06F"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32A021A3" w14:textId="23467B2B"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r>
      <w:tr w:rsidR="00D5410F" w:rsidRPr="000D273B" w14:paraId="2EEA9F0A"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13A5A804" w14:textId="226AFC74"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11</w:t>
            </w:r>
          </w:p>
        </w:tc>
        <w:tc>
          <w:tcPr>
            <w:tcW w:w="845" w:type="dxa"/>
            <w:tcBorders>
              <w:top w:val="single" w:sz="4" w:space="0" w:color="auto"/>
              <w:left w:val="single" w:sz="4" w:space="0" w:color="auto"/>
              <w:bottom w:val="single" w:sz="4" w:space="0" w:color="auto"/>
              <w:right w:val="single" w:sz="4" w:space="0" w:color="auto"/>
            </w:tcBorders>
            <w:vAlign w:val="center"/>
          </w:tcPr>
          <w:p w14:paraId="552B5EBE" w14:textId="492884E9" w:rsidR="00D5410F" w:rsidRPr="00984321" w:rsidRDefault="00D5410F" w:rsidP="00E15F87">
            <w:pPr>
              <w:spacing w:after="0" w:line="240" w:lineRule="auto"/>
              <w:jc w:val="center"/>
              <w:rPr>
                <w:rFonts w:cs="Times New Roman"/>
                <w:sz w:val="20"/>
                <w:szCs w:val="20"/>
                <w:lang w:eastAsia="en-GB"/>
              </w:rPr>
            </w:pPr>
            <w:r w:rsidRPr="00984321">
              <w:rPr>
                <w:sz w:val="20"/>
                <w:szCs w:val="20"/>
              </w:rPr>
              <w:t>50</w:t>
            </w:r>
          </w:p>
        </w:tc>
        <w:tc>
          <w:tcPr>
            <w:tcW w:w="729" w:type="dxa"/>
            <w:tcBorders>
              <w:top w:val="single" w:sz="4" w:space="0" w:color="auto"/>
              <w:left w:val="single" w:sz="4" w:space="0" w:color="auto"/>
              <w:bottom w:val="single" w:sz="4" w:space="0" w:color="auto"/>
              <w:right w:val="single" w:sz="4" w:space="0" w:color="auto"/>
            </w:tcBorders>
            <w:noWrap/>
            <w:vAlign w:val="center"/>
          </w:tcPr>
          <w:p w14:paraId="7BDE8F30" w14:textId="327FAE85" w:rsidR="00D5410F" w:rsidRPr="00984321" w:rsidRDefault="00D5410F" w:rsidP="00E15F87">
            <w:pPr>
              <w:spacing w:after="0" w:line="240" w:lineRule="auto"/>
              <w:jc w:val="center"/>
              <w:rPr>
                <w:rFonts w:cs="Times New Roman"/>
                <w:sz w:val="20"/>
                <w:szCs w:val="20"/>
                <w:lang w:eastAsia="en-GB"/>
              </w:rPr>
            </w:pPr>
            <w:r w:rsidRPr="00984321">
              <w:rPr>
                <w:sz w:val="20"/>
                <w:szCs w:val="20"/>
              </w:rPr>
              <w:t>13</w:t>
            </w:r>
          </w:p>
        </w:tc>
        <w:tc>
          <w:tcPr>
            <w:tcW w:w="709" w:type="dxa"/>
            <w:tcBorders>
              <w:top w:val="single" w:sz="4" w:space="0" w:color="auto"/>
              <w:left w:val="single" w:sz="4" w:space="0" w:color="auto"/>
              <w:bottom w:val="single" w:sz="4" w:space="0" w:color="auto"/>
              <w:right w:val="single" w:sz="4" w:space="0" w:color="auto"/>
            </w:tcBorders>
            <w:noWrap/>
            <w:vAlign w:val="center"/>
          </w:tcPr>
          <w:p w14:paraId="2428216B" w14:textId="6756EFEB"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850" w:type="dxa"/>
            <w:tcBorders>
              <w:top w:val="single" w:sz="4" w:space="0" w:color="auto"/>
              <w:left w:val="single" w:sz="4" w:space="0" w:color="auto"/>
              <w:bottom w:val="single" w:sz="4" w:space="0" w:color="auto"/>
              <w:right w:val="single" w:sz="4" w:space="0" w:color="auto"/>
            </w:tcBorders>
            <w:noWrap/>
            <w:vAlign w:val="center"/>
          </w:tcPr>
          <w:p w14:paraId="3296DED0" w14:textId="18FAC1D2" w:rsidR="00D5410F" w:rsidRPr="00984321" w:rsidRDefault="00D5410F" w:rsidP="00E15F87">
            <w:pPr>
              <w:spacing w:after="0" w:line="240" w:lineRule="auto"/>
              <w:jc w:val="center"/>
              <w:rPr>
                <w:rFonts w:cs="Times New Roman"/>
                <w:sz w:val="20"/>
                <w:szCs w:val="20"/>
                <w:lang w:eastAsia="en-GB"/>
              </w:rPr>
            </w:pPr>
            <w:r w:rsidRPr="00984321">
              <w:rPr>
                <w:sz w:val="20"/>
                <w:szCs w:val="20"/>
              </w:rPr>
              <w:t>20</w:t>
            </w:r>
          </w:p>
        </w:tc>
        <w:tc>
          <w:tcPr>
            <w:tcW w:w="2835" w:type="dxa"/>
            <w:tcBorders>
              <w:top w:val="single" w:sz="4" w:space="0" w:color="auto"/>
              <w:left w:val="single" w:sz="4" w:space="0" w:color="auto"/>
              <w:bottom w:val="single" w:sz="4" w:space="0" w:color="auto"/>
              <w:right w:val="single" w:sz="4" w:space="0" w:color="auto"/>
            </w:tcBorders>
            <w:vAlign w:val="center"/>
          </w:tcPr>
          <w:p w14:paraId="60EE9C57" w14:textId="14B40F5F" w:rsidR="00D5410F" w:rsidRPr="002475BE" w:rsidRDefault="00D5410F" w:rsidP="00E15F87">
            <w:pPr>
              <w:spacing w:after="0" w:line="240" w:lineRule="auto"/>
              <w:jc w:val="center"/>
              <w:rPr>
                <w:rFonts w:cs="Times New Roman"/>
                <w:sz w:val="20"/>
                <w:szCs w:val="20"/>
                <w:lang w:val="el-GR" w:eastAsia="en-GB"/>
              </w:rPr>
            </w:pPr>
            <w:r w:rsidRPr="00984321">
              <w:rPr>
                <w:rFonts w:cs="Times New Roman"/>
                <w:sz w:val="20"/>
                <w:szCs w:val="20"/>
                <w:lang w:val="en-US" w:eastAsia="en-GB"/>
              </w:rPr>
              <w:t>C</w:t>
            </w:r>
            <w:r w:rsidR="00E15F87">
              <w:rPr>
                <w:rFonts w:cs="Times New Roman"/>
                <w:sz w:val="20"/>
                <w:szCs w:val="20"/>
                <w:lang w:val="en-US" w:eastAsia="en-GB"/>
              </w:rPr>
              <w:t xml:space="preserve"> (</w:t>
            </w:r>
            <w:r w:rsidRPr="00984321">
              <w:rPr>
                <w:rFonts w:cs="Times New Roman"/>
                <w:sz w:val="20"/>
                <w:szCs w:val="20"/>
                <w:lang w:eastAsia="en-GB"/>
              </w:rPr>
              <w:t>RF</w:t>
            </w:r>
            <w:r w:rsidR="00E15F87">
              <w:rPr>
                <w:rFonts w:cs="Times New Roman"/>
                <w:sz w:val="20"/>
                <w:szCs w:val="20"/>
                <w:lang w:eastAsia="en-GB"/>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3CF09A16" w14:textId="496EEBD5"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755407B8" w14:textId="7DBC8613"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12" w:type="dxa"/>
            <w:tcBorders>
              <w:top w:val="single" w:sz="4" w:space="0" w:color="auto"/>
              <w:left w:val="single" w:sz="4" w:space="0" w:color="auto"/>
              <w:bottom w:val="single" w:sz="4" w:space="0" w:color="auto"/>
              <w:right w:val="single" w:sz="4" w:space="0" w:color="auto"/>
            </w:tcBorders>
            <w:vAlign w:val="center"/>
          </w:tcPr>
          <w:p w14:paraId="33B913DB" w14:textId="640E555B"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52" w:type="dxa"/>
            <w:tcBorders>
              <w:top w:val="single" w:sz="4" w:space="0" w:color="auto"/>
              <w:left w:val="single" w:sz="4" w:space="0" w:color="auto"/>
              <w:bottom w:val="single" w:sz="4" w:space="0" w:color="auto"/>
              <w:right w:val="single" w:sz="4" w:space="0" w:color="auto"/>
            </w:tcBorders>
            <w:vAlign w:val="center"/>
          </w:tcPr>
          <w:p w14:paraId="5E3B95B1" w14:textId="72CA801E"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r>
      <w:tr w:rsidR="00D5410F" w:rsidRPr="000D273B" w14:paraId="67406724"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79E40025" w14:textId="7D63AA4E"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12</w:t>
            </w:r>
          </w:p>
        </w:tc>
        <w:tc>
          <w:tcPr>
            <w:tcW w:w="845" w:type="dxa"/>
            <w:tcBorders>
              <w:top w:val="single" w:sz="4" w:space="0" w:color="auto"/>
              <w:left w:val="single" w:sz="4" w:space="0" w:color="auto"/>
              <w:bottom w:val="single" w:sz="4" w:space="0" w:color="auto"/>
              <w:right w:val="single" w:sz="4" w:space="0" w:color="auto"/>
            </w:tcBorders>
            <w:vAlign w:val="center"/>
          </w:tcPr>
          <w:p w14:paraId="3AE69084" w14:textId="0D3EEEC7" w:rsidR="00D5410F" w:rsidRPr="00984321" w:rsidRDefault="00D5410F" w:rsidP="00E15F87">
            <w:pPr>
              <w:spacing w:after="0" w:line="240" w:lineRule="auto"/>
              <w:jc w:val="center"/>
              <w:rPr>
                <w:rFonts w:cs="Times New Roman"/>
                <w:sz w:val="20"/>
                <w:szCs w:val="20"/>
                <w:lang w:eastAsia="en-GB"/>
              </w:rPr>
            </w:pPr>
            <w:r w:rsidRPr="00984321">
              <w:rPr>
                <w:sz w:val="20"/>
                <w:szCs w:val="20"/>
              </w:rPr>
              <w:t>41</w:t>
            </w:r>
          </w:p>
        </w:tc>
        <w:tc>
          <w:tcPr>
            <w:tcW w:w="729" w:type="dxa"/>
            <w:tcBorders>
              <w:top w:val="single" w:sz="4" w:space="0" w:color="auto"/>
              <w:left w:val="single" w:sz="4" w:space="0" w:color="auto"/>
              <w:bottom w:val="single" w:sz="4" w:space="0" w:color="auto"/>
              <w:right w:val="single" w:sz="4" w:space="0" w:color="auto"/>
            </w:tcBorders>
            <w:noWrap/>
            <w:vAlign w:val="center"/>
          </w:tcPr>
          <w:p w14:paraId="3A42E235" w14:textId="425B0B0E" w:rsidR="00D5410F" w:rsidRPr="00984321" w:rsidRDefault="00D5410F" w:rsidP="00E15F87">
            <w:pPr>
              <w:spacing w:after="0" w:line="240" w:lineRule="auto"/>
              <w:jc w:val="center"/>
              <w:rPr>
                <w:rFonts w:cs="Times New Roman"/>
                <w:sz w:val="20"/>
                <w:szCs w:val="20"/>
                <w:lang w:eastAsia="en-GB"/>
              </w:rPr>
            </w:pPr>
            <w:r w:rsidRPr="00984321">
              <w:rPr>
                <w:sz w:val="20"/>
                <w:szCs w:val="20"/>
              </w:rPr>
              <w:t>6</w:t>
            </w:r>
          </w:p>
        </w:tc>
        <w:tc>
          <w:tcPr>
            <w:tcW w:w="709" w:type="dxa"/>
            <w:tcBorders>
              <w:top w:val="single" w:sz="4" w:space="0" w:color="auto"/>
              <w:left w:val="single" w:sz="4" w:space="0" w:color="auto"/>
              <w:bottom w:val="single" w:sz="4" w:space="0" w:color="auto"/>
              <w:right w:val="single" w:sz="4" w:space="0" w:color="auto"/>
            </w:tcBorders>
            <w:noWrap/>
            <w:vAlign w:val="center"/>
          </w:tcPr>
          <w:p w14:paraId="32ECE552" w14:textId="39C3EBDB"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850" w:type="dxa"/>
            <w:tcBorders>
              <w:top w:val="single" w:sz="4" w:space="0" w:color="auto"/>
              <w:left w:val="single" w:sz="4" w:space="0" w:color="auto"/>
              <w:bottom w:val="single" w:sz="4" w:space="0" w:color="auto"/>
              <w:right w:val="single" w:sz="4" w:space="0" w:color="auto"/>
            </w:tcBorders>
            <w:noWrap/>
            <w:vAlign w:val="center"/>
          </w:tcPr>
          <w:p w14:paraId="45263B01" w14:textId="66EA5E31" w:rsidR="00D5410F" w:rsidRPr="00984321" w:rsidRDefault="00D5410F" w:rsidP="00E15F87">
            <w:pPr>
              <w:spacing w:after="0" w:line="240" w:lineRule="auto"/>
              <w:jc w:val="center"/>
              <w:rPr>
                <w:rFonts w:cs="Times New Roman"/>
                <w:sz w:val="20"/>
                <w:szCs w:val="20"/>
                <w:lang w:eastAsia="en-GB"/>
              </w:rPr>
            </w:pPr>
            <w:r w:rsidRPr="00984321">
              <w:rPr>
                <w:sz w:val="20"/>
                <w:szCs w:val="20"/>
              </w:rPr>
              <w:t>31</w:t>
            </w:r>
          </w:p>
        </w:tc>
        <w:tc>
          <w:tcPr>
            <w:tcW w:w="2835" w:type="dxa"/>
            <w:tcBorders>
              <w:top w:val="single" w:sz="4" w:space="0" w:color="auto"/>
              <w:left w:val="single" w:sz="4" w:space="0" w:color="auto"/>
              <w:bottom w:val="single" w:sz="4" w:space="0" w:color="auto"/>
              <w:right w:val="single" w:sz="4" w:space="0" w:color="auto"/>
            </w:tcBorders>
            <w:vAlign w:val="center"/>
          </w:tcPr>
          <w:p w14:paraId="66B26263" w14:textId="2641EDA9" w:rsidR="00D5410F" w:rsidRPr="00984321" w:rsidRDefault="00D5410F" w:rsidP="00E15F87">
            <w:pPr>
              <w:spacing w:after="0" w:line="240" w:lineRule="auto"/>
              <w:jc w:val="center"/>
              <w:rPr>
                <w:rFonts w:cs="Times New Roman"/>
                <w:sz w:val="20"/>
                <w:szCs w:val="20"/>
                <w:lang w:val="en-US" w:eastAsia="en-GB"/>
              </w:rPr>
            </w:pPr>
            <w:r w:rsidRPr="00984321">
              <w:rPr>
                <w:rFonts w:cs="Times New Roman"/>
                <w:sz w:val="20"/>
                <w:szCs w:val="20"/>
                <w:lang w:val="en-US" w:eastAsia="en-GB"/>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647565AD" w14:textId="2DB3B4B2"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06CA8567" w14:textId="2DC9E627"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12" w:type="dxa"/>
            <w:tcBorders>
              <w:top w:val="single" w:sz="4" w:space="0" w:color="auto"/>
              <w:left w:val="single" w:sz="4" w:space="0" w:color="auto"/>
              <w:bottom w:val="single" w:sz="4" w:space="0" w:color="auto"/>
              <w:right w:val="single" w:sz="4" w:space="0" w:color="auto"/>
            </w:tcBorders>
            <w:vAlign w:val="center"/>
          </w:tcPr>
          <w:p w14:paraId="226C74F2" w14:textId="5138D9AF"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35CF280E" w14:textId="6DBAF0DA"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r>
      <w:tr w:rsidR="00D5410F" w:rsidRPr="000D273B" w14:paraId="4F8982D8"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2CC1C9EA" w14:textId="73896D11"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lastRenderedPageBreak/>
              <w:t>13</w:t>
            </w:r>
          </w:p>
        </w:tc>
        <w:tc>
          <w:tcPr>
            <w:tcW w:w="845" w:type="dxa"/>
            <w:tcBorders>
              <w:top w:val="single" w:sz="4" w:space="0" w:color="auto"/>
              <w:left w:val="single" w:sz="4" w:space="0" w:color="auto"/>
              <w:bottom w:val="single" w:sz="4" w:space="0" w:color="auto"/>
              <w:right w:val="single" w:sz="4" w:space="0" w:color="auto"/>
            </w:tcBorders>
            <w:vAlign w:val="center"/>
          </w:tcPr>
          <w:p w14:paraId="216BD6D3" w14:textId="2C3C0D3F" w:rsidR="00D5410F" w:rsidRPr="00984321" w:rsidRDefault="00D5410F" w:rsidP="00E15F87">
            <w:pPr>
              <w:spacing w:after="0" w:line="240" w:lineRule="auto"/>
              <w:jc w:val="center"/>
              <w:rPr>
                <w:rFonts w:cs="Times New Roman"/>
                <w:sz w:val="20"/>
                <w:szCs w:val="20"/>
                <w:lang w:eastAsia="en-GB"/>
              </w:rPr>
            </w:pPr>
            <w:r w:rsidRPr="00984321">
              <w:rPr>
                <w:sz w:val="20"/>
                <w:szCs w:val="20"/>
              </w:rPr>
              <w:t>24</w:t>
            </w:r>
          </w:p>
        </w:tc>
        <w:tc>
          <w:tcPr>
            <w:tcW w:w="729" w:type="dxa"/>
            <w:tcBorders>
              <w:top w:val="single" w:sz="4" w:space="0" w:color="auto"/>
              <w:left w:val="single" w:sz="4" w:space="0" w:color="auto"/>
              <w:bottom w:val="single" w:sz="4" w:space="0" w:color="auto"/>
              <w:right w:val="single" w:sz="4" w:space="0" w:color="auto"/>
            </w:tcBorders>
            <w:noWrap/>
            <w:vAlign w:val="center"/>
          </w:tcPr>
          <w:p w14:paraId="411D14B3" w14:textId="16D4F7D1" w:rsidR="00D5410F" w:rsidRPr="00984321" w:rsidRDefault="00D5410F" w:rsidP="00E15F87">
            <w:pPr>
              <w:spacing w:after="0" w:line="240" w:lineRule="auto"/>
              <w:jc w:val="center"/>
              <w:rPr>
                <w:rFonts w:cs="Times New Roman"/>
                <w:sz w:val="20"/>
                <w:szCs w:val="20"/>
                <w:lang w:eastAsia="en-GB"/>
              </w:rPr>
            </w:pPr>
            <w:r w:rsidRPr="00984321">
              <w:rPr>
                <w:sz w:val="20"/>
                <w:szCs w:val="20"/>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13AFEBC6" w14:textId="0333BCCF" w:rsidR="00D5410F" w:rsidRPr="00984321" w:rsidRDefault="00D5410F" w:rsidP="00E15F87">
            <w:pPr>
              <w:spacing w:after="0" w:line="240" w:lineRule="auto"/>
              <w:jc w:val="center"/>
              <w:rPr>
                <w:rFonts w:cs="Times New Roman"/>
                <w:sz w:val="20"/>
                <w:szCs w:val="20"/>
                <w:lang w:eastAsia="en-GB"/>
              </w:rPr>
            </w:pPr>
            <w:r w:rsidRPr="00984321">
              <w:rPr>
                <w:sz w:val="20"/>
                <w:szCs w:val="20"/>
              </w:rPr>
              <w:t>14</w:t>
            </w:r>
          </w:p>
        </w:tc>
        <w:tc>
          <w:tcPr>
            <w:tcW w:w="850" w:type="dxa"/>
            <w:tcBorders>
              <w:top w:val="single" w:sz="4" w:space="0" w:color="auto"/>
              <w:left w:val="single" w:sz="4" w:space="0" w:color="auto"/>
              <w:bottom w:val="single" w:sz="4" w:space="0" w:color="auto"/>
              <w:right w:val="single" w:sz="4" w:space="0" w:color="auto"/>
            </w:tcBorders>
            <w:noWrap/>
            <w:vAlign w:val="center"/>
          </w:tcPr>
          <w:p w14:paraId="5EF4CF1D" w14:textId="482C73E3" w:rsidR="00D5410F" w:rsidRPr="00984321" w:rsidRDefault="00D5410F" w:rsidP="00E15F87">
            <w:pPr>
              <w:spacing w:after="0" w:line="240" w:lineRule="auto"/>
              <w:jc w:val="center"/>
              <w:rPr>
                <w:rFonts w:cs="Times New Roman"/>
                <w:sz w:val="20"/>
                <w:szCs w:val="20"/>
                <w:lang w:eastAsia="en-GB"/>
              </w:rPr>
            </w:pPr>
            <w:r w:rsidRPr="00984321">
              <w:rPr>
                <w:sz w:val="20"/>
                <w:szCs w:val="20"/>
              </w:rPr>
              <w:t>29</w:t>
            </w:r>
          </w:p>
        </w:tc>
        <w:tc>
          <w:tcPr>
            <w:tcW w:w="2835" w:type="dxa"/>
            <w:tcBorders>
              <w:top w:val="single" w:sz="4" w:space="0" w:color="auto"/>
              <w:left w:val="single" w:sz="4" w:space="0" w:color="auto"/>
              <w:bottom w:val="single" w:sz="4" w:space="0" w:color="auto"/>
              <w:right w:val="single" w:sz="4" w:space="0" w:color="auto"/>
            </w:tcBorders>
            <w:vAlign w:val="center"/>
          </w:tcPr>
          <w:p w14:paraId="70BA709C" w14:textId="765D9E5C" w:rsidR="00D5410F" w:rsidRPr="00984321" w:rsidRDefault="00E15F87" w:rsidP="00E15F87">
            <w:pPr>
              <w:spacing w:after="0" w:line="240" w:lineRule="auto"/>
              <w:jc w:val="center"/>
              <w:rPr>
                <w:rFonts w:cs="Times New Roman"/>
                <w:sz w:val="20"/>
                <w:szCs w:val="20"/>
                <w:lang w:eastAsia="en-GB"/>
              </w:rPr>
            </w:pPr>
            <w:r>
              <w:rPr>
                <w:rFonts w:cs="Times New Roman"/>
                <w:sz w:val="20"/>
                <w:szCs w:val="20"/>
                <w:lang w:val="en-US" w:eastAsia="en-GB"/>
              </w:rPr>
              <w:t>DAI (L/RF)</w:t>
            </w:r>
          </w:p>
        </w:tc>
        <w:tc>
          <w:tcPr>
            <w:tcW w:w="851" w:type="dxa"/>
            <w:tcBorders>
              <w:top w:val="single" w:sz="4" w:space="0" w:color="auto"/>
              <w:left w:val="single" w:sz="4" w:space="0" w:color="auto"/>
              <w:bottom w:val="single" w:sz="4" w:space="0" w:color="auto"/>
              <w:right w:val="single" w:sz="4" w:space="0" w:color="auto"/>
            </w:tcBorders>
            <w:noWrap/>
            <w:vAlign w:val="center"/>
          </w:tcPr>
          <w:p w14:paraId="3B7F1226" w14:textId="7D0E8998" w:rsidR="00D5410F" w:rsidRPr="00984321" w:rsidRDefault="00D5410F" w:rsidP="00E15F87">
            <w:pPr>
              <w:spacing w:after="0" w:line="240" w:lineRule="auto"/>
              <w:jc w:val="center"/>
              <w:rPr>
                <w:rFonts w:cs="Times New Roman"/>
                <w:sz w:val="20"/>
                <w:szCs w:val="20"/>
                <w:lang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14E810DA" w14:textId="688584F1"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12" w:type="dxa"/>
            <w:tcBorders>
              <w:top w:val="single" w:sz="4" w:space="0" w:color="auto"/>
              <w:left w:val="single" w:sz="4" w:space="0" w:color="auto"/>
              <w:bottom w:val="single" w:sz="4" w:space="0" w:color="auto"/>
              <w:right w:val="single" w:sz="4" w:space="0" w:color="auto"/>
            </w:tcBorders>
            <w:vAlign w:val="center"/>
          </w:tcPr>
          <w:p w14:paraId="25DB34E4" w14:textId="650B111F"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6588E36C" w14:textId="3AF6026F"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r>
      <w:tr w:rsidR="00D5410F" w:rsidRPr="000D273B" w14:paraId="26168FD6"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696D85C9" w14:textId="7A2A1364"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14</w:t>
            </w:r>
          </w:p>
        </w:tc>
        <w:tc>
          <w:tcPr>
            <w:tcW w:w="845" w:type="dxa"/>
            <w:tcBorders>
              <w:top w:val="single" w:sz="4" w:space="0" w:color="auto"/>
              <w:left w:val="single" w:sz="4" w:space="0" w:color="auto"/>
              <w:bottom w:val="single" w:sz="4" w:space="0" w:color="auto"/>
              <w:right w:val="single" w:sz="4" w:space="0" w:color="auto"/>
            </w:tcBorders>
            <w:vAlign w:val="center"/>
          </w:tcPr>
          <w:p w14:paraId="29B270BF" w14:textId="72DF074B" w:rsidR="00D5410F" w:rsidRPr="00984321" w:rsidRDefault="00D5410F" w:rsidP="00E15F87">
            <w:pPr>
              <w:spacing w:after="0" w:line="240" w:lineRule="auto"/>
              <w:jc w:val="center"/>
              <w:rPr>
                <w:rFonts w:cs="Times New Roman"/>
                <w:sz w:val="20"/>
                <w:szCs w:val="20"/>
                <w:lang w:eastAsia="en-GB"/>
              </w:rPr>
            </w:pPr>
            <w:r w:rsidRPr="00984321">
              <w:rPr>
                <w:sz w:val="20"/>
                <w:szCs w:val="20"/>
              </w:rPr>
              <w:t>21</w:t>
            </w:r>
          </w:p>
        </w:tc>
        <w:tc>
          <w:tcPr>
            <w:tcW w:w="729" w:type="dxa"/>
            <w:tcBorders>
              <w:top w:val="single" w:sz="4" w:space="0" w:color="auto"/>
              <w:left w:val="single" w:sz="4" w:space="0" w:color="auto"/>
              <w:bottom w:val="single" w:sz="4" w:space="0" w:color="auto"/>
              <w:right w:val="single" w:sz="4" w:space="0" w:color="auto"/>
            </w:tcBorders>
            <w:noWrap/>
            <w:vAlign w:val="center"/>
          </w:tcPr>
          <w:p w14:paraId="3D9C2B79" w14:textId="7127CDFE"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14:paraId="2B3CA3DD" w14:textId="1F1682E2" w:rsidR="00D5410F" w:rsidRPr="00984321" w:rsidRDefault="00D5410F" w:rsidP="00E15F87">
            <w:pPr>
              <w:spacing w:after="0" w:line="240" w:lineRule="auto"/>
              <w:jc w:val="center"/>
              <w:rPr>
                <w:rFonts w:cs="Times New Roman"/>
                <w:sz w:val="20"/>
                <w:szCs w:val="20"/>
                <w:lang w:eastAsia="en-GB"/>
              </w:rPr>
            </w:pPr>
            <w:r w:rsidRPr="00984321">
              <w:rPr>
                <w:sz w:val="20"/>
                <w:szCs w:val="20"/>
              </w:rPr>
              <w:t>14</w:t>
            </w:r>
          </w:p>
        </w:tc>
        <w:tc>
          <w:tcPr>
            <w:tcW w:w="850" w:type="dxa"/>
            <w:tcBorders>
              <w:top w:val="single" w:sz="4" w:space="0" w:color="auto"/>
              <w:left w:val="single" w:sz="4" w:space="0" w:color="auto"/>
              <w:bottom w:val="single" w:sz="4" w:space="0" w:color="auto"/>
              <w:right w:val="single" w:sz="4" w:space="0" w:color="auto"/>
            </w:tcBorders>
            <w:noWrap/>
            <w:vAlign w:val="center"/>
          </w:tcPr>
          <w:p w14:paraId="50672622" w14:textId="6C66AF7E" w:rsidR="00D5410F" w:rsidRPr="00984321" w:rsidRDefault="00D5410F" w:rsidP="00E15F87">
            <w:pPr>
              <w:spacing w:after="0" w:line="240" w:lineRule="auto"/>
              <w:jc w:val="center"/>
              <w:rPr>
                <w:rFonts w:cs="Times New Roman"/>
                <w:sz w:val="20"/>
                <w:szCs w:val="20"/>
                <w:lang w:eastAsia="en-GB"/>
              </w:rPr>
            </w:pPr>
            <w:r w:rsidRPr="00984321">
              <w:rPr>
                <w:sz w:val="20"/>
                <w:szCs w:val="20"/>
              </w:rPr>
              <w:t>14</w:t>
            </w:r>
          </w:p>
        </w:tc>
        <w:tc>
          <w:tcPr>
            <w:tcW w:w="2835" w:type="dxa"/>
            <w:tcBorders>
              <w:top w:val="single" w:sz="4" w:space="0" w:color="auto"/>
              <w:left w:val="single" w:sz="4" w:space="0" w:color="auto"/>
              <w:bottom w:val="single" w:sz="4" w:space="0" w:color="auto"/>
              <w:right w:val="single" w:sz="4" w:space="0" w:color="auto"/>
            </w:tcBorders>
            <w:vAlign w:val="center"/>
          </w:tcPr>
          <w:p w14:paraId="202EBFD1" w14:textId="7DD41B79" w:rsidR="00D5410F" w:rsidRPr="00984321" w:rsidRDefault="00E15F87" w:rsidP="00E15F87">
            <w:pPr>
              <w:spacing w:after="0" w:line="240" w:lineRule="auto"/>
              <w:jc w:val="center"/>
              <w:rPr>
                <w:rFonts w:cs="Times New Roman"/>
                <w:sz w:val="20"/>
                <w:szCs w:val="20"/>
                <w:lang w:val="en-US" w:eastAsia="en-GB"/>
              </w:rPr>
            </w:pPr>
            <w:r>
              <w:rPr>
                <w:rFonts w:cs="Times New Roman"/>
                <w:sz w:val="20"/>
                <w:szCs w:val="20"/>
                <w:lang w:val="en-US" w:eastAsia="en-GB"/>
              </w:rPr>
              <w:t>DAI (RF)</w:t>
            </w:r>
          </w:p>
        </w:tc>
        <w:tc>
          <w:tcPr>
            <w:tcW w:w="851" w:type="dxa"/>
            <w:tcBorders>
              <w:top w:val="single" w:sz="4" w:space="0" w:color="auto"/>
              <w:left w:val="single" w:sz="4" w:space="0" w:color="auto"/>
              <w:bottom w:val="single" w:sz="4" w:space="0" w:color="auto"/>
              <w:right w:val="single" w:sz="4" w:space="0" w:color="auto"/>
            </w:tcBorders>
            <w:vAlign w:val="center"/>
          </w:tcPr>
          <w:p w14:paraId="3C818A1F" w14:textId="3E963223"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509C8EE4" w14:textId="2A799D8E"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12" w:type="dxa"/>
            <w:tcBorders>
              <w:top w:val="single" w:sz="4" w:space="0" w:color="auto"/>
              <w:left w:val="single" w:sz="4" w:space="0" w:color="auto"/>
              <w:bottom w:val="single" w:sz="4" w:space="0" w:color="auto"/>
              <w:right w:val="single" w:sz="4" w:space="0" w:color="auto"/>
            </w:tcBorders>
            <w:vAlign w:val="center"/>
          </w:tcPr>
          <w:p w14:paraId="2122B38C" w14:textId="734A6835"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4B4EB8DB" w14:textId="4C97CBBA"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r>
      <w:tr w:rsidR="00D5410F" w:rsidRPr="000D273B" w14:paraId="7CDE3DC2"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4A98DC42" w14:textId="3B36EB06"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15</w:t>
            </w:r>
          </w:p>
        </w:tc>
        <w:tc>
          <w:tcPr>
            <w:tcW w:w="845" w:type="dxa"/>
            <w:tcBorders>
              <w:top w:val="single" w:sz="4" w:space="0" w:color="auto"/>
              <w:left w:val="single" w:sz="4" w:space="0" w:color="auto"/>
              <w:bottom w:val="single" w:sz="4" w:space="0" w:color="auto"/>
              <w:right w:val="single" w:sz="4" w:space="0" w:color="auto"/>
            </w:tcBorders>
            <w:vAlign w:val="center"/>
          </w:tcPr>
          <w:p w14:paraId="6546AFCF" w14:textId="3DA7EA73" w:rsidR="00D5410F" w:rsidRPr="00984321" w:rsidRDefault="00D5410F" w:rsidP="00E15F87">
            <w:pPr>
              <w:spacing w:after="0" w:line="240" w:lineRule="auto"/>
              <w:jc w:val="center"/>
              <w:rPr>
                <w:rFonts w:cs="Times New Roman"/>
                <w:sz w:val="20"/>
                <w:szCs w:val="20"/>
                <w:lang w:eastAsia="en-GB"/>
              </w:rPr>
            </w:pPr>
            <w:r w:rsidRPr="00984321">
              <w:rPr>
                <w:sz w:val="20"/>
                <w:szCs w:val="20"/>
              </w:rPr>
              <w:t>59</w:t>
            </w:r>
          </w:p>
        </w:tc>
        <w:tc>
          <w:tcPr>
            <w:tcW w:w="729" w:type="dxa"/>
            <w:tcBorders>
              <w:top w:val="single" w:sz="4" w:space="0" w:color="auto"/>
              <w:left w:val="single" w:sz="4" w:space="0" w:color="auto"/>
              <w:bottom w:val="single" w:sz="4" w:space="0" w:color="auto"/>
              <w:right w:val="single" w:sz="4" w:space="0" w:color="auto"/>
            </w:tcBorders>
            <w:noWrap/>
            <w:vAlign w:val="center"/>
          </w:tcPr>
          <w:p w14:paraId="63D37E40" w14:textId="6DDA0927" w:rsidR="00D5410F" w:rsidRPr="00984321" w:rsidRDefault="00D5410F" w:rsidP="00E15F87">
            <w:pPr>
              <w:spacing w:after="0" w:line="240" w:lineRule="auto"/>
              <w:jc w:val="center"/>
              <w:rPr>
                <w:rFonts w:cs="Times New Roman"/>
                <w:sz w:val="20"/>
                <w:szCs w:val="20"/>
                <w:lang w:eastAsia="en-GB"/>
              </w:rPr>
            </w:pPr>
            <w:r w:rsidRPr="00984321">
              <w:rPr>
                <w:sz w:val="20"/>
                <w:szCs w:val="20"/>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439F463A" w14:textId="609E1307"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850" w:type="dxa"/>
            <w:tcBorders>
              <w:top w:val="single" w:sz="4" w:space="0" w:color="auto"/>
              <w:left w:val="single" w:sz="4" w:space="0" w:color="auto"/>
              <w:bottom w:val="single" w:sz="4" w:space="0" w:color="auto"/>
              <w:right w:val="single" w:sz="4" w:space="0" w:color="auto"/>
            </w:tcBorders>
            <w:noWrap/>
            <w:vAlign w:val="center"/>
          </w:tcPr>
          <w:p w14:paraId="5055E4E7" w14:textId="3A67616C" w:rsidR="00D5410F" w:rsidRPr="00984321" w:rsidRDefault="00D5410F" w:rsidP="00E15F87">
            <w:pPr>
              <w:spacing w:after="0" w:line="240" w:lineRule="auto"/>
              <w:jc w:val="center"/>
              <w:rPr>
                <w:rFonts w:cs="Times New Roman"/>
                <w:sz w:val="20"/>
                <w:szCs w:val="20"/>
                <w:lang w:eastAsia="en-GB"/>
              </w:rPr>
            </w:pPr>
            <w:r w:rsidRPr="00984321">
              <w:rPr>
                <w:sz w:val="20"/>
                <w:szCs w:val="20"/>
              </w:rPr>
              <w:t>36</w:t>
            </w:r>
          </w:p>
        </w:tc>
        <w:tc>
          <w:tcPr>
            <w:tcW w:w="2835" w:type="dxa"/>
            <w:tcBorders>
              <w:top w:val="single" w:sz="4" w:space="0" w:color="auto"/>
              <w:left w:val="single" w:sz="4" w:space="0" w:color="auto"/>
              <w:bottom w:val="single" w:sz="4" w:space="0" w:color="auto"/>
              <w:right w:val="single" w:sz="4" w:space="0" w:color="auto"/>
            </w:tcBorders>
            <w:vAlign w:val="center"/>
          </w:tcPr>
          <w:p w14:paraId="0A3B56DA" w14:textId="49B5690B" w:rsidR="00D5410F" w:rsidRPr="00984321" w:rsidRDefault="00D5410F" w:rsidP="00E15F87">
            <w:pPr>
              <w:spacing w:after="0" w:line="240" w:lineRule="auto"/>
              <w:jc w:val="center"/>
              <w:rPr>
                <w:rFonts w:cs="Times New Roman"/>
                <w:sz w:val="20"/>
                <w:szCs w:val="20"/>
                <w:lang w:eastAsia="en-GB"/>
              </w:rPr>
            </w:pPr>
            <w:r w:rsidRPr="00984321">
              <w:rPr>
                <w:rFonts w:cs="Times New Roman"/>
                <w:sz w:val="20"/>
                <w:szCs w:val="20"/>
                <w:lang w:val="en-US" w:eastAsia="en-GB"/>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217F9003" w14:textId="1632B79A"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35C47A03" w14:textId="2D9643E1"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12" w:type="dxa"/>
            <w:tcBorders>
              <w:top w:val="single" w:sz="4" w:space="0" w:color="auto"/>
              <w:left w:val="single" w:sz="4" w:space="0" w:color="auto"/>
              <w:bottom w:val="single" w:sz="4" w:space="0" w:color="auto"/>
              <w:right w:val="single" w:sz="4" w:space="0" w:color="auto"/>
            </w:tcBorders>
            <w:vAlign w:val="center"/>
          </w:tcPr>
          <w:p w14:paraId="4D89A466" w14:textId="3283ED84"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3474B8B1" w14:textId="2C5ADEE2"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r>
      <w:tr w:rsidR="00D5410F" w:rsidRPr="000D273B" w14:paraId="786BA19E"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74F4250C" w14:textId="44E31D38"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16</w:t>
            </w:r>
          </w:p>
        </w:tc>
        <w:tc>
          <w:tcPr>
            <w:tcW w:w="845" w:type="dxa"/>
            <w:tcBorders>
              <w:top w:val="single" w:sz="4" w:space="0" w:color="auto"/>
              <w:left w:val="single" w:sz="4" w:space="0" w:color="auto"/>
              <w:bottom w:val="single" w:sz="4" w:space="0" w:color="auto"/>
              <w:right w:val="single" w:sz="4" w:space="0" w:color="auto"/>
            </w:tcBorders>
            <w:vAlign w:val="center"/>
          </w:tcPr>
          <w:p w14:paraId="553E3B03" w14:textId="2B4CE91B" w:rsidR="00D5410F" w:rsidRPr="00984321" w:rsidRDefault="00D5410F" w:rsidP="00E15F87">
            <w:pPr>
              <w:spacing w:after="0" w:line="240" w:lineRule="auto"/>
              <w:jc w:val="center"/>
              <w:rPr>
                <w:rFonts w:cs="Times New Roman"/>
                <w:sz w:val="20"/>
                <w:szCs w:val="20"/>
                <w:lang w:eastAsia="en-GB"/>
              </w:rPr>
            </w:pPr>
            <w:r w:rsidRPr="00984321">
              <w:rPr>
                <w:sz w:val="20"/>
                <w:szCs w:val="20"/>
              </w:rPr>
              <w:t>47</w:t>
            </w:r>
          </w:p>
        </w:tc>
        <w:tc>
          <w:tcPr>
            <w:tcW w:w="729" w:type="dxa"/>
            <w:tcBorders>
              <w:top w:val="single" w:sz="4" w:space="0" w:color="auto"/>
              <w:left w:val="single" w:sz="4" w:space="0" w:color="auto"/>
              <w:bottom w:val="single" w:sz="4" w:space="0" w:color="auto"/>
              <w:right w:val="single" w:sz="4" w:space="0" w:color="auto"/>
            </w:tcBorders>
            <w:noWrap/>
            <w:vAlign w:val="center"/>
          </w:tcPr>
          <w:p w14:paraId="4F6AD375" w14:textId="40978A6C" w:rsidR="00D5410F" w:rsidRPr="00984321" w:rsidRDefault="00D5410F" w:rsidP="00E15F87">
            <w:pPr>
              <w:spacing w:after="0" w:line="240" w:lineRule="auto"/>
              <w:jc w:val="center"/>
              <w:rPr>
                <w:rFonts w:cs="Times New Roman"/>
                <w:sz w:val="20"/>
                <w:szCs w:val="20"/>
                <w:lang w:eastAsia="en-GB"/>
              </w:rPr>
            </w:pPr>
            <w:r w:rsidRPr="00984321">
              <w:rPr>
                <w:sz w:val="20"/>
                <w:szCs w:val="20"/>
              </w:rPr>
              <w:t>8</w:t>
            </w:r>
          </w:p>
        </w:tc>
        <w:tc>
          <w:tcPr>
            <w:tcW w:w="709" w:type="dxa"/>
            <w:tcBorders>
              <w:top w:val="single" w:sz="4" w:space="0" w:color="auto"/>
              <w:left w:val="single" w:sz="4" w:space="0" w:color="auto"/>
              <w:bottom w:val="single" w:sz="4" w:space="0" w:color="auto"/>
              <w:right w:val="single" w:sz="4" w:space="0" w:color="auto"/>
            </w:tcBorders>
            <w:noWrap/>
            <w:vAlign w:val="center"/>
          </w:tcPr>
          <w:p w14:paraId="503F0286" w14:textId="10A6345E"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850" w:type="dxa"/>
            <w:tcBorders>
              <w:top w:val="single" w:sz="4" w:space="0" w:color="auto"/>
              <w:left w:val="single" w:sz="4" w:space="0" w:color="auto"/>
              <w:bottom w:val="single" w:sz="4" w:space="0" w:color="auto"/>
              <w:right w:val="single" w:sz="4" w:space="0" w:color="auto"/>
            </w:tcBorders>
            <w:noWrap/>
            <w:vAlign w:val="center"/>
          </w:tcPr>
          <w:p w14:paraId="1C50B269" w14:textId="2B112E66" w:rsidR="00D5410F" w:rsidRPr="00984321" w:rsidRDefault="00D5410F" w:rsidP="00E15F87">
            <w:pPr>
              <w:spacing w:after="0" w:line="240" w:lineRule="auto"/>
              <w:jc w:val="center"/>
              <w:rPr>
                <w:rFonts w:cs="Times New Roman"/>
                <w:sz w:val="20"/>
                <w:szCs w:val="20"/>
                <w:lang w:eastAsia="en-GB"/>
              </w:rPr>
            </w:pPr>
            <w:r w:rsidRPr="00984321">
              <w:rPr>
                <w:sz w:val="20"/>
                <w:szCs w:val="20"/>
              </w:rPr>
              <w:t>24</w:t>
            </w:r>
          </w:p>
        </w:tc>
        <w:tc>
          <w:tcPr>
            <w:tcW w:w="2835" w:type="dxa"/>
            <w:tcBorders>
              <w:top w:val="single" w:sz="4" w:space="0" w:color="auto"/>
              <w:left w:val="single" w:sz="4" w:space="0" w:color="auto"/>
              <w:bottom w:val="single" w:sz="4" w:space="0" w:color="auto"/>
              <w:right w:val="single" w:sz="4" w:space="0" w:color="auto"/>
            </w:tcBorders>
            <w:vAlign w:val="center"/>
          </w:tcPr>
          <w:p w14:paraId="5ED936EA" w14:textId="4F8BB518" w:rsidR="00D5410F" w:rsidRPr="00984321" w:rsidRDefault="00D5410F" w:rsidP="00E15F87">
            <w:pPr>
              <w:spacing w:after="0" w:line="240" w:lineRule="auto"/>
              <w:jc w:val="center"/>
              <w:rPr>
                <w:rFonts w:cs="Times New Roman"/>
                <w:sz w:val="20"/>
                <w:szCs w:val="20"/>
                <w:lang w:eastAsia="en-GB"/>
              </w:rPr>
            </w:pPr>
            <w:r w:rsidRPr="00984321">
              <w:rPr>
                <w:rFonts w:cs="Times New Roman"/>
                <w:sz w:val="20"/>
                <w:szCs w:val="20"/>
                <w:lang w:val="en-US" w:eastAsia="en-GB"/>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4E1CA7DE" w14:textId="72307F26"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3C60C8F7" w14:textId="6A350C46"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12" w:type="dxa"/>
            <w:tcBorders>
              <w:top w:val="single" w:sz="4" w:space="0" w:color="auto"/>
              <w:left w:val="single" w:sz="4" w:space="0" w:color="auto"/>
              <w:bottom w:val="single" w:sz="4" w:space="0" w:color="auto"/>
              <w:right w:val="single" w:sz="4" w:space="0" w:color="auto"/>
            </w:tcBorders>
            <w:vAlign w:val="center"/>
          </w:tcPr>
          <w:p w14:paraId="680A72FC" w14:textId="18733091"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52" w:type="dxa"/>
            <w:tcBorders>
              <w:top w:val="single" w:sz="4" w:space="0" w:color="auto"/>
              <w:left w:val="single" w:sz="4" w:space="0" w:color="auto"/>
              <w:bottom w:val="single" w:sz="4" w:space="0" w:color="auto"/>
              <w:right w:val="single" w:sz="4" w:space="0" w:color="auto"/>
            </w:tcBorders>
            <w:vAlign w:val="center"/>
          </w:tcPr>
          <w:p w14:paraId="73EA23C8" w14:textId="6C823E47"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r>
      <w:tr w:rsidR="00D5410F" w:rsidRPr="000D273B" w14:paraId="77B5DD16"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5424353D" w14:textId="57E4D797"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17</w:t>
            </w:r>
          </w:p>
        </w:tc>
        <w:tc>
          <w:tcPr>
            <w:tcW w:w="845" w:type="dxa"/>
            <w:tcBorders>
              <w:top w:val="single" w:sz="4" w:space="0" w:color="auto"/>
              <w:left w:val="single" w:sz="4" w:space="0" w:color="auto"/>
              <w:bottom w:val="single" w:sz="4" w:space="0" w:color="auto"/>
              <w:right w:val="single" w:sz="4" w:space="0" w:color="auto"/>
            </w:tcBorders>
            <w:vAlign w:val="center"/>
          </w:tcPr>
          <w:p w14:paraId="0C1B5555" w14:textId="5333B989" w:rsidR="00D5410F" w:rsidRPr="00984321" w:rsidRDefault="00D5410F" w:rsidP="00E15F87">
            <w:pPr>
              <w:spacing w:after="0" w:line="240" w:lineRule="auto"/>
              <w:jc w:val="center"/>
              <w:rPr>
                <w:rFonts w:cs="Times New Roman"/>
                <w:sz w:val="20"/>
                <w:szCs w:val="20"/>
                <w:lang w:eastAsia="en-GB"/>
              </w:rPr>
            </w:pPr>
            <w:r w:rsidRPr="00984321">
              <w:rPr>
                <w:sz w:val="20"/>
                <w:szCs w:val="20"/>
              </w:rPr>
              <w:t>66</w:t>
            </w:r>
          </w:p>
        </w:tc>
        <w:tc>
          <w:tcPr>
            <w:tcW w:w="729" w:type="dxa"/>
            <w:tcBorders>
              <w:top w:val="single" w:sz="4" w:space="0" w:color="auto"/>
              <w:left w:val="single" w:sz="4" w:space="0" w:color="auto"/>
              <w:bottom w:val="single" w:sz="4" w:space="0" w:color="auto"/>
              <w:right w:val="single" w:sz="4" w:space="0" w:color="auto"/>
            </w:tcBorders>
            <w:noWrap/>
            <w:vAlign w:val="center"/>
          </w:tcPr>
          <w:p w14:paraId="0FA54E23" w14:textId="0261B03D" w:rsidR="00D5410F" w:rsidRPr="00984321" w:rsidRDefault="00D5410F" w:rsidP="00E15F87">
            <w:pPr>
              <w:spacing w:after="0" w:line="240" w:lineRule="auto"/>
              <w:jc w:val="center"/>
              <w:rPr>
                <w:rFonts w:cs="Times New Roman"/>
                <w:sz w:val="20"/>
                <w:szCs w:val="20"/>
                <w:lang w:eastAsia="en-GB"/>
              </w:rPr>
            </w:pPr>
            <w:r w:rsidRPr="00984321">
              <w:rPr>
                <w:sz w:val="20"/>
                <w:szCs w:val="20"/>
              </w:rPr>
              <w:t>16</w:t>
            </w:r>
          </w:p>
        </w:tc>
        <w:tc>
          <w:tcPr>
            <w:tcW w:w="709" w:type="dxa"/>
            <w:tcBorders>
              <w:top w:val="single" w:sz="4" w:space="0" w:color="auto"/>
              <w:left w:val="single" w:sz="4" w:space="0" w:color="auto"/>
              <w:bottom w:val="single" w:sz="4" w:space="0" w:color="auto"/>
              <w:right w:val="single" w:sz="4" w:space="0" w:color="auto"/>
            </w:tcBorders>
            <w:noWrap/>
            <w:vAlign w:val="center"/>
          </w:tcPr>
          <w:p w14:paraId="53B3474A" w14:textId="78B2C41C"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850" w:type="dxa"/>
            <w:tcBorders>
              <w:top w:val="single" w:sz="4" w:space="0" w:color="auto"/>
              <w:left w:val="single" w:sz="4" w:space="0" w:color="auto"/>
              <w:bottom w:val="single" w:sz="4" w:space="0" w:color="auto"/>
              <w:right w:val="single" w:sz="4" w:space="0" w:color="auto"/>
            </w:tcBorders>
            <w:noWrap/>
            <w:vAlign w:val="center"/>
          </w:tcPr>
          <w:p w14:paraId="1FC2D307" w14:textId="4D2DC171"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2835" w:type="dxa"/>
            <w:tcBorders>
              <w:top w:val="single" w:sz="4" w:space="0" w:color="auto"/>
              <w:left w:val="single" w:sz="4" w:space="0" w:color="auto"/>
              <w:bottom w:val="single" w:sz="4" w:space="0" w:color="auto"/>
              <w:right w:val="single" w:sz="4" w:space="0" w:color="auto"/>
            </w:tcBorders>
            <w:vAlign w:val="center"/>
          </w:tcPr>
          <w:p w14:paraId="102671A9" w14:textId="3DAF3B5A" w:rsidR="00D5410F" w:rsidRPr="00984321" w:rsidRDefault="00D5410F" w:rsidP="00E15F87">
            <w:pPr>
              <w:spacing w:after="0" w:line="240" w:lineRule="auto"/>
              <w:jc w:val="center"/>
              <w:rPr>
                <w:rFonts w:cs="Times New Roman"/>
                <w:sz w:val="20"/>
                <w:szCs w:val="20"/>
                <w:lang w:eastAsia="en-GB"/>
              </w:rPr>
            </w:pPr>
            <w:r w:rsidRPr="00984321">
              <w:rPr>
                <w:rFonts w:cs="Times New Roman"/>
                <w:sz w:val="20"/>
                <w:szCs w:val="20"/>
                <w:lang w:val="en-US" w:eastAsia="en-GB"/>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2DE32A20" w14:textId="20A3C603"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996" w:type="dxa"/>
            <w:tcBorders>
              <w:top w:val="single" w:sz="4" w:space="0" w:color="auto"/>
              <w:left w:val="single" w:sz="4" w:space="0" w:color="auto"/>
              <w:bottom w:val="single" w:sz="4" w:space="0" w:color="auto"/>
              <w:right w:val="single" w:sz="4" w:space="0" w:color="auto"/>
            </w:tcBorders>
            <w:vAlign w:val="center"/>
          </w:tcPr>
          <w:p w14:paraId="7ED3DD45" w14:textId="2B0ED9C6"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12" w:type="dxa"/>
            <w:tcBorders>
              <w:top w:val="single" w:sz="4" w:space="0" w:color="auto"/>
              <w:left w:val="single" w:sz="4" w:space="0" w:color="auto"/>
              <w:bottom w:val="single" w:sz="4" w:space="0" w:color="auto"/>
              <w:right w:val="single" w:sz="4" w:space="0" w:color="auto"/>
            </w:tcBorders>
            <w:vAlign w:val="center"/>
          </w:tcPr>
          <w:p w14:paraId="20DCA37E" w14:textId="0E0FEF53"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4B78E354" w14:textId="4ECFE041"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r>
      <w:tr w:rsidR="00D5410F" w:rsidRPr="000D273B" w14:paraId="7A1F1CD0"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16EF9173" w14:textId="012FAB6E"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18</w:t>
            </w:r>
          </w:p>
        </w:tc>
        <w:tc>
          <w:tcPr>
            <w:tcW w:w="845" w:type="dxa"/>
            <w:tcBorders>
              <w:top w:val="single" w:sz="4" w:space="0" w:color="auto"/>
              <w:left w:val="single" w:sz="4" w:space="0" w:color="auto"/>
              <w:bottom w:val="single" w:sz="4" w:space="0" w:color="auto"/>
              <w:right w:val="single" w:sz="4" w:space="0" w:color="auto"/>
            </w:tcBorders>
            <w:vAlign w:val="center"/>
          </w:tcPr>
          <w:p w14:paraId="7FABB760" w14:textId="7D1A6FF7" w:rsidR="00D5410F" w:rsidRPr="00984321" w:rsidRDefault="00D5410F" w:rsidP="00E15F87">
            <w:pPr>
              <w:spacing w:after="0" w:line="240" w:lineRule="auto"/>
              <w:jc w:val="center"/>
              <w:rPr>
                <w:rFonts w:cs="Times New Roman"/>
                <w:sz w:val="20"/>
                <w:szCs w:val="20"/>
                <w:lang w:eastAsia="en-GB"/>
              </w:rPr>
            </w:pPr>
            <w:r w:rsidRPr="00984321">
              <w:rPr>
                <w:sz w:val="20"/>
                <w:szCs w:val="20"/>
              </w:rPr>
              <w:t>46</w:t>
            </w:r>
          </w:p>
        </w:tc>
        <w:tc>
          <w:tcPr>
            <w:tcW w:w="729" w:type="dxa"/>
            <w:tcBorders>
              <w:top w:val="single" w:sz="4" w:space="0" w:color="auto"/>
              <w:left w:val="single" w:sz="4" w:space="0" w:color="auto"/>
              <w:bottom w:val="single" w:sz="4" w:space="0" w:color="auto"/>
              <w:right w:val="single" w:sz="4" w:space="0" w:color="auto"/>
            </w:tcBorders>
            <w:noWrap/>
            <w:vAlign w:val="center"/>
          </w:tcPr>
          <w:p w14:paraId="79A6CC77" w14:textId="7A4648FE" w:rsidR="00D5410F" w:rsidRPr="00984321" w:rsidRDefault="00D5410F" w:rsidP="00E15F87">
            <w:pPr>
              <w:spacing w:after="0" w:line="240" w:lineRule="auto"/>
              <w:jc w:val="center"/>
              <w:rPr>
                <w:rFonts w:cs="Times New Roman"/>
                <w:sz w:val="20"/>
                <w:szCs w:val="20"/>
                <w:lang w:eastAsia="en-GB"/>
              </w:rPr>
            </w:pPr>
            <w:r w:rsidRPr="00984321">
              <w:rPr>
                <w:sz w:val="20"/>
                <w:szCs w:val="20"/>
              </w:rPr>
              <w:t>22</w:t>
            </w:r>
          </w:p>
        </w:tc>
        <w:tc>
          <w:tcPr>
            <w:tcW w:w="709" w:type="dxa"/>
            <w:tcBorders>
              <w:top w:val="single" w:sz="4" w:space="0" w:color="auto"/>
              <w:left w:val="single" w:sz="4" w:space="0" w:color="auto"/>
              <w:bottom w:val="single" w:sz="4" w:space="0" w:color="auto"/>
              <w:right w:val="single" w:sz="4" w:space="0" w:color="auto"/>
            </w:tcBorders>
            <w:noWrap/>
            <w:vAlign w:val="center"/>
          </w:tcPr>
          <w:p w14:paraId="0EFEF555" w14:textId="756B389F"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850" w:type="dxa"/>
            <w:tcBorders>
              <w:top w:val="single" w:sz="4" w:space="0" w:color="auto"/>
              <w:left w:val="single" w:sz="4" w:space="0" w:color="auto"/>
              <w:bottom w:val="single" w:sz="4" w:space="0" w:color="auto"/>
              <w:right w:val="single" w:sz="4" w:space="0" w:color="auto"/>
            </w:tcBorders>
            <w:noWrap/>
            <w:vAlign w:val="center"/>
          </w:tcPr>
          <w:p w14:paraId="66167A58" w14:textId="6F62E357" w:rsidR="00D5410F" w:rsidRPr="00984321" w:rsidRDefault="00D5410F" w:rsidP="00E15F87">
            <w:pPr>
              <w:spacing w:after="0" w:line="240" w:lineRule="auto"/>
              <w:jc w:val="center"/>
              <w:rPr>
                <w:rFonts w:cs="Times New Roman"/>
                <w:sz w:val="20"/>
                <w:szCs w:val="20"/>
                <w:lang w:eastAsia="en-GB"/>
              </w:rPr>
            </w:pPr>
            <w:r w:rsidRPr="00984321">
              <w:rPr>
                <w:sz w:val="20"/>
                <w:szCs w:val="20"/>
              </w:rPr>
              <w:t>16</w:t>
            </w:r>
          </w:p>
        </w:tc>
        <w:tc>
          <w:tcPr>
            <w:tcW w:w="2835" w:type="dxa"/>
            <w:tcBorders>
              <w:top w:val="single" w:sz="4" w:space="0" w:color="auto"/>
              <w:left w:val="single" w:sz="4" w:space="0" w:color="auto"/>
              <w:bottom w:val="single" w:sz="4" w:space="0" w:color="auto"/>
              <w:right w:val="single" w:sz="4" w:space="0" w:color="auto"/>
            </w:tcBorders>
            <w:vAlign w:val="center"/>
          </w:tcPr>
          <w:p w14:paraId="07607237" w14:textId="0684B92D" w:rsidR="00D5410F" w:rsidRPr="00984321" w:rsidRDefault="00D5410F" w:rsidP="00E15F87">
            <w:pPr>
              <w:spacing w:after="0" w:line="240" w:lineRule="auto"/>
              <w:jc w:val="center"/>
              <w:rPr>
                <w:rFonts w:cs="Times New Roman"/>
                <w:sz w:val="20"/>
                <w:szCs w:val="20"/>
                <w:lang w:eastAsia="en-GB"/>
              </w:rPr>
            </w:pPr>
            <w:r w:rsidRPr="00984321">
              <w:rPr>
                <w:rFonts w:cs="Times New Roman"/>
                <w:sz w:val="20"/>
                <w:szCs w:val="20"/>
                <w:lang w:val="en-US" w:eastAsia="en-GB"/>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1A0A5F35" w14:textId="45095DAF" w:rsidR="00D5410F" w:rsidRPr="00984321" w:rsidRDefault="00D5410F" w:rsidP="00E15F87">
            <w:pPr>
              <w:spacing w:after="0" w:line="240" w:lineRule="auto"/>
              <w:jc w:val="center"/>
              <w:rPr>
                <w:rFonts w:cs="Times New Roman"/>
                <w:sz w:val="20"/>
                <w:szCs w:val="20"/>
                <w:lang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1AF322B6" w14:textId="733E1FFF"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12" w:type="dxa"/>
            <w:tcBorders>
              <w:top w:val="single" w:sz="4" w:space="0" w:color="auto"/>
              <w:left w:val="single" w:sz="4" w:space="0" w:color="auto"/>
              <w:bottom w:val="single" w:sz="4" w:space="0" w:color="auto"/>
              <w:right w:val="single" w:sz="4" w:space="0" w:color="auto"/>
            </w:tcBorders>
            <w:vAlign w:val="center"/>
          </w:tcPr>
          <w:p w14:paraId="7C876B44" w14:textId="481AA98C"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722B1705" w14:textId="0FDF8595"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r>
      <w:tr w:rsidR="00D5410F" w:rsidRPr="000D273B" w14:paraId="4A998F2B"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16A15D76" w14:textId="1CD039D5"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19</w:t>
            </w:r>
          </w:p>
        </w:tc>
        <w:tc>
          <w:tcPr>
            <w:tcW w:w="845" w:type="dxa"/>
            <w:tcBorders>
              <w:top w:val="single" w:sz="4" w:space="0" w:color="auto"/>
              <w:left w:val="single" w:sz="4" w:space="0" w:color="auto"/>
              <w:bottom w:val="single" w:sz="4" w:space="0" w:color="auto"/>
              <w:right w:val="single" w:sz="4" w:space="0" w:color="auto"/>
            </w:tcBorders>
            <w:vAlign w:val="center"/>
          </w:tcPr>
          <w:p w14:paraId="478B421F" w14:textId="2D6831CF" w:rsidR="00D5410F" w:rsidRPr="00984321" w:rsidRDefault="00D5410F" w:rsidP="00E15F87">
            <w:pPr>
              <w:spacing w:after="0" w:line="240" w:lineRule="auto"/>
              <w:jc w:val="center"/>
              <w:rPr>
                <w:rFonts w:cs="Times New Roman"/>
                <w:sz w:val="20"/>
                <w:szCs w:val="20"/>
                <w:lang w:eastAsia="en-GB"/>
              </w:rPr>
            </w:pPr>
            <w:r w:rsidRPr="00984321">
              <w:rPr>
                <w:sz w:val="20"/>
                <w:szCs w:val="20"/>
              </w:rPr>
              <w:t>68</w:t>
            </w:r>
          </w:p>
        </w:tc>
        <w:tc>
          <w:tcPr>
            <w:tcW w:w="729" w:type="dxa"/>
            <w:tcBorders>
              <w:top w:val="single" w:sz="4" w:space="0" w:color="auto"/>
              <w:left w:val="single" w:sz="4" w:space="0" w:color="auto"/>
              <w:bottom w:val="single" w:sz="4" w:space="0" w:color="auto"/>
              <w:right w:val="single" w:sz="4" w:space="0" w:color="auto"/>
            </w:tcBorders>
            <w:noWrap/>
            <w:vAlign w:val="center"/>
          </w:tcPr>
          <w:p w14:paraId="44747953" w14:textId="114BAA65" w:rsidR="00D5410F" w:rsidRPr="00984321" w:rsidRDefault="00D5410F" w:rsidP="00E15F87">
            <w:pPr>
              <w:spacing w:after="0" w:line="240" w:lineRule="auto"/>
              <w:jc w:val="center"/>
              <w:rPr>
                <w:rFonts w:cs="Times New Roman"/>
                <w:sz w:val="20"/>
                <w:szCs w:val="20"/>
                <w:lang w:eastAsia="en-GB"/>
              </w:rPr>
            </w:pPr>
            <w:r w:rsidRPr="00984321">
              <w:rPr>
                <w:sz w:val="20"/>
                <w:szCs w:val="20"/>
              </w:rPr>
              <w:t>6</w:t>
            </w:r>
          </w:p>
        </w:tc>
        <w:tc>
          <w:tcPr>
            <w:tcW w:w="709" w:type="dxa"/>
            <w:tcBorders>
              <w:top w:val="single" w:sz="4" w:space="0" w:color="auto"/>
              <w:left w:val="single" w:sz="4" w:space="0" w:color="auto"/>
              <w:bottom w:val="single" w:sz="4" w:space="0" w:color="auto"/>
              <w:right w:val="single" w:sz="4" w:space="0" w:color="auto"/>
            </w:tcBorders>
            <w:noWrap/>
            <w:vAlign w:val="center"/>
          </w:tcPr>
          <w:p w14:paraId="435F4BBB" w14:textId="1ED49027"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850" w:type="dxa"/>
            <w:tcBorders>
              <w:top w:val="single" w:sz="4" w:space="0" w:color="auto"/>
              <w:left w:val="single" w:sz="4" w:space="0" w:color="auto"/>
              <w:bottom w:val="single" w:sz="4" w:space="0" w:color="auto"/>
              <w:right w:val="single" w:sz="4" w:space="0" w:color="auto"/>
            </w:tcBorders>
            <w:noWrap/>
            <w:vAlign w:val="center"/>
          </w:tcPr>
          <w:p w14:paraId="39E911F6" w14:textId="3FB871E6"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2835" w:type="dxa"/>
            <w:tcBorders>
              <w:top w:val="single" w:sz="4" w:space="0" w:color="auto"/>
              <w:left w:val="single" w:sz="4" w:space="0" w:color="auto"/>
              <w:bottom w:val="single" w:sz="4" w:space="0" w:color="auto"/>
              <w:right w:val="single" w:sz="4" w:space="0" w:color="auto"/>
            </w:tcBorders>
            <w:vAlign w:val="center"/>
          </w:tcPr>
          <w:p w14:paraId="3D62D9B7" w14:textId="1D8A5C32" w:rsidR="00D5410F" w:rsidRPr="00984321" w:rsidRDefault="00E15F87" w:rsidP="00E15F87">
            <w:pPr>
              <w:spacing w:after="0" w:line="240" w:lineRule="auto"/>
              <w:jc w:val="center"/>
              <w:rPr>
                <w:rFonts w:cs="Times New Roman"/>
                <w:sz w:val="20"/>
                <w:szCs w:val="20"/>
                <w:lang w:val="en-US" w:eastAsia="en-GB"/>
              </w:rPr>
            </w:pPr>
            <w:r>
              <w:rPr>
                <w:rFonts w:cs="Times New Roman"/>
                <w:sz w:val="20"/>
                <w:szCs w:val="20"/>
                <w:lang w:val="en-US" w:eastAsia="en-GB"/>
              </w:rPr>
              <w:t>DAI (L/RF)</w:t>
            </w:r>
          </w:p>
        </w:tc>
        <w:tc>
          <w:tcPr>
            <w:tcW w:w="851" w:type="dxa"/>
            <w:tcBorders>
              <w:top w:val="single" w:sz="4" w:space="0" w:color="auto"/>
              <w:left w:val="single" w:sz="4" w:space="0" w:color="auto"/>
              <w:bottom w:val="single" w:sz="4" w:space="0" w:color="auto"/>
              <w:right w:val="single" w:sz="4" w:space="0" w:color="auto"/>
            </w:tcBorders>
            <w:noWrap/>
            <w:vAlign w:val="center"/>
          </w:tcPr>
          <w:p w14:paraId="14472909" w14:textId="5F30B425"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996" w:type="dxa"/>
            <w:tcBorders>
              <w:top w:val="single" w:sz="4" w:space="0" w:color="auto"/>
              <w:left w:val="single" w:sz="4" w:space="0" w:color="auto"/>
              <w:bottom w:val="single" w:sz="4" w:space="0" w:color="auto"/>
              <w:right w:val="single" w:sz="4" w:space="0" w:color="auto"/>
            </w:tcBorders>
            <w:vAlign w:val="center"/>
          </w:tcPr>
          <w:p w14:paraId="08FDF2CC" w14:textId="2C49E549"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12" w:type="dxa"/>
            <w:tcBorders>
              <w:top w:val="single" w:sz="4" w:space="0" w:color="auto"/>
              <w:left w:val="single" w:sz="4" w:space="0" w:color="auto"/>
              <w:bottom w:val="single" w:sz="4" w:space="0" w:color="auto"/>
              <w:right w:val="single" w:sz="4" w:space="0" w:color="auto"/>
            </w:tcBorders>
            <w:vAlign w:val="center"/>
          </w:tcPr>
          <w:p w14:paraId="11583C40" w14:textId="5FB42D27"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010C2950" w14:textId="773897C3"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r>
      <w:tr w:rsidR="00D5410F" w:rsidRPr="000D273B" w14:paraId="15853CA0"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00164BCE" w14:textId="7B4773EC"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20</w:t>
            </w:r>
          </w:p>
        </w:tc>
        <w:tc>
          <w:tcPr>
            <w:tcW w:w="845" w:type="dxa"/>
            <w:tcBorders>
              <w:top w:val="single" w:sz="4" w:space="0" w:color="auto"/>
              <w:left w:val="single" w:sz="4" w:space="0" w:color="auto"/>
              <w:bottom w:val="single" w:sz="4" w:space="0" w:color="auto"/>
              <w:right w:val="single" w:sz="4" w:space="0" w:color="auto"/>
            </w:tcBorders>
            <w:vAlign w:val="center"/>
          </w:tcPr>
          <w:p w14:paraId="7266BAFB" w14:textId="5BAAE921" w:rsidR="00D5410F" w:rsidRPr="00984321" w:rsidRDefault="00D5410F" w:rsidP="00E15F87">
            <w:pPr>
              <w:spacing w:after="0" w:line="240" w:lineRule="auto"/>
              <w:jc w:val="center"/>
              <w:rPr>
                <w:rFonts w:cs="Times New Roman"/>
                <w:sz w:val="20"/>
                <w:szCs w:val="20"/>
                <w:lang w:eastAsia="en-GB"/>
              </w:rPr>
            </w:pPr>
            <w:r w:rsidRPr="00984321">
              <w:rPr>
                <w:sz w:val="20"/>
                <w:szCs w:val="20"/>
              </w:rPr>
              <w:t>19</w:t>
            </w:r>
          </w:p>
        </w:tc>
        <w:tc>
          <w:tcPr>
            <w:tcW w:w="729" w:type="dxa"/>
            <w:tcBorders>
              <w:top w:val="single" w:sz="4" w:space="0" w:color="auto"/>
              <w:left w:val="single" w:sz="4" w:space="0" w:color="auto"/>
              <w:bottom w:val="single" w:sz="4" w:space="0" w:color="auto"/>
              <w:right w:val="single" w:sz="4" w:space="0" w:color="auto"/>
            </w:tcBorders>
            <w:noWrap/>
            <w:vAlign w:val="center"/>
          </w:tcPr>
          <w:p w14:paraId="6A202246" w14:textId="46BE8356" w:rsidR="00D5410F" w:rsidRPr="00984321" w:rsidRDefault="00D5410F" w:rsidP="00E15F87">
            <w:pPr>
              <w:spacing w:after="0" w:line="240" w:lineRule="auto"/>
              <w:jc w:val="center"/>
              <w:rPr>
                <w:rFonts w:cs="Times New Roman"/>
                <w:sz w:val="20"/>
                <w:szCs w:val="20"/>
                <w:lang w:eastAsia="en-GB"/>
              </w:rPr>
            </w:pPr>
            <w:r w:rsidRPr="00984321">
              <w:rPr>
                <w:sz w:val="20"/>
                <w:szCs w:val="20"/>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6DCFBF0E" w14:textId="15C146BF"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850" w:type="dxa"/>
            <w:tcBorders>
              <w:top w:val="single" w:sz="4" w:space="0" w:color="auto"/>
              <w:left w:val="single" w:sz="4" w:space="0" w:color="auto"/>
              <w:bottom w:val="single" w:sz="4" w:space="0" w:color="auto"/>
              <w:right w:val="single" w:sz="4" w:space="0" w:color="auto"/>
            </w:tcBorders>
            <w:noWrap/>
            <w:vAlign w:val="center"/>
          </w:tcPr>
          <w:p w14:paraId="55E15DF1" w14:textId="21F6509C" w:rsidR="00D5410F" w:rsidRPr="00984321" w:rsidRDefault="00D5410F" w:rsidP="00E15F87">
            <w:pPr>
              <w:spacing w:after="0" w:line="240" w:lineRule="auto"/>
              <w:jc w:val="center"/>
              <w:rPr>
                <w:rFonts w:cs="Times New Roman"/>
                <w:sz w:val="20"/>
                <w:szCs w:val="20"/>
                <w:lang w:eastAsia="en-GB"/>
              </w:rPr>
            </w:pPr>
            <w:r w:rsidRPr="00984321">
              <w:rPr>
                <w:sz w:val="20"/>
                <w:szCs w:val="20"/>
              </w:rPr>
              <w:t>14</w:t>
            </w:r>
          </w:p>
        </w:tc>
        <w:tc>
          <w:tcPr>
            <w:tcW w:w="2835" w:type="dxa"/>
            <w:tcBorders>
              <w:top w:val="single" w:sz="4" w:space="0" w:color="auto"/>
              <w:left w:val="single" w:sz="4" w:space="0" w:color="auto"/>
              <w:bottom w:val="single" w:sz="4" w:space="0" w:color="auto"/>
              <w:right w:val="single" w:sz="4" w:space="0" w:color="auto"/>
            </w:tcBorders>
            <w:vAlign w:val="center"/>
          </w:tcPr>
          <w:p w14:paraId="41DDC915" w14:textId="74BE8A7A" w:rsidR="00D5410F" w:rsidRPr="00984321" w:rsidRDefault="00D5410F" w:rsidP="00E15F87">
            <w:pPr>
              <w:spacing w:after="0" w:line="240" w:lineRule="auto"/>
              <w:jc w:val="center"/>
              <w:rPr>
                <w:rFonts w:cs="Times New Roman"/>
                <w:sz w:val="20"/>
                <w:szCs w:val="20"/>
                <w:lang w:eastAsia="en-GB"/>
              </w:rPr>
            </w:pPr>
            <w:r w:rsidRPr="00984321">
              <w:rPr>
                <w:rFonts w:cs="Times New Roman"/>
                <w:sz w:val="20"/>
                <w:szCs w:val="20"/>
                <w:lang w:val="en-US" w:eastAsia="en-GB"/>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7477FEFF" w14:textId="48352DA5"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3A7E6AB5" w14:textId="24AF2533"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12" w:type="dxa"/>
            <w:tcBorders>
              <w:top w:val="single" w:sz="4" w:space="0" w:color="auto"/>
              <w:left w:val="single" w:sz="4" w:space="0" w:color="auto"/>
              <w:bottom w:val="single" w:sz="4" w:space="0" w:color="auto"/>
              <w:right w:val="single" w:sz="4" w:space="0" w:color="auto"/>
            </w:tcBorders>
            <w:vAlign w:val="center"/>
          </w:tcPr>
          <w:p w14:paraId="1ED07527" w14:textId="1226ABA2"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3E2B1303" w14:textId="58814331"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r>
      <w:tr w:rsidR="00D5410F" w:rsidRPr="000D273B" w14:paraId="2F38F78E"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33737422" w14:textId="7F371E60"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21</w:t>
            </w:r>
          </w:p>
        </w:tc>
        <w:tc>
          <w:tcPr>
            <w:tcW w:w="845" w:type="dxa"/>
            <w:tcBorders>
              <w:top w:val="single" w:sz="4" w:space="0" w:color="auto"/>
              <w:left w:val="single" w:sz="4" w:space="0" w:color="auto"/>
              <w:bottom w:val="single" w:sz="4" w:space="0" w:color="auto"/>
              <w:right w:val="single" w:sz="4" w:space="0" w:color="auto"/>
            </w:tcBorders>
            <w:vAlign w:val="center"/>
          </w:tcPr>
          <w:p w14:paraId="6F3B040E" w14:textId="32C3D252" w:rsidR="00D5410F" w:rsidRPr="00984321" w:rsidRDefault="00D5410F" w:rsidP="00E15F87">
            <w:pPr>
              <w:spacing w:after="0" w:line="240" w:lineRule="auto"/>
              <w:jc w:val="center"/>
              <w:rPr>
                <w:rFonts w:cs="Times New Roman"/>
                <w:sz w:val="20"/>
                <w:szCs w:val="20"/>
                <w:lang w:eastAsia="en-GB"/>
              </w:rPr>
            </w:pPr>
            <w:r w:rsidRPr="00984321">
              <w:rPr>
                <w:sz w:val="20"/>
                <w:szCs w:val="20"/>
              </w:rPr>
              <w:t>22</w:t>
            </w:r>
          </w:p>
        </w:tc>
        <w:tc>
          <w:tcPr>
            <w:tcW w:w="729" w:type="dxa"/>
            <w:tcBorders>
              <w:top w:val="single" w:sz="4" w:space="0" w:color="auto"/>
              <w:left w:val="single" w:sz="4" w:space="0" w:color="auto"/>
              <w:bottom w:val="single" w:sz="4" w:space="0" w:color="auto"/>
              <w:right w:val="single" w:sz="4" w:space="0" w:color="auto"/>
            </w:tcBorders>
            <w:noWrap/>
            <w:vAlign w:val="center"/>
          </w:tcPr>
          <w:p w14:paraId="461786C5" w14:textId="1D6871D4" w:rsidR="00D5410F" w:rsidRPr="00984321" w:rsidRDefault="00D5410F" w:rsidP="00E15F87">
            <w:pPr>
              <w:spacing w:after="0" w:line="240" w:lineRule="auto"/>
              <w:jc w:val="center"/>
              <w:rPr>
                <w:rFonts w:cs="Times New Roman"/>
                <w:sz w:val="20"/>
                <w:szCs w:val="20"/>
                <w:lang w:eastAsia="en-GB"/>
              </w:rPr>
            </w:pPr>
            <w:r w:rsidRPr="00984321">
              <w:rPr>
                <w:sz w:val="20"/>
                <w:szCs w:val="20"/>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0F9A0CCF" w14:textId="4AE383EB"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850" w:type="dxa"/>
            <w:tcBorders>
              <w:top w:val="single" w:sz="4" w:space="0" w:color="auto"/>
              <w:left w:val="single" w:sz="4" w:space="0" w:color="auto"/>
              <w:bottom w:val="single" w:sz="4" w:space="0" w:color="auto"/>
              <w:right w:val="single" w:sz="4" w:space="0" w:color="auto"/>
            </w:tcBorders>
            <w:noWrap/>
            <w:vAlign w:val="center"/>
          </w:tcPr>
          <w:p w14:paraId="23EA217D" w14:textId="017F322A" w:rsidR="00D5410F" w:rsidRPr="00984321" w:rsidRDefault="00D5410F" w:rsidP="00E15F87">
            <w:pPr>
              <w:spacing w:after="0" w:line="240" w:lineRule="auto"/>
              <w:jc w:val="center"/>
              <w:rPr>
                <w:rFonts w:cs="Times New Roman"/>
                <w:sz w:val="20"/>
                <w:szCs w:val="20"/>
                <w:lang w:eastAsia="en-GB"/>
              </w:rPr>
            </w:pPr>
            <w:r w:rsidRPr="00984321">
              <w:rPr>
                <w:sz w:val="20"/>
                <w:szCs w:val="20"/>
              </w:rPr>
              <w:t>12</w:t>
            </w:r>
          </w:p>
        </w:tc>
        <w:tc>
          <w:tcPr>
            <w:tcW w:w="2835" w:type="dxa"/>
            <w:tcBorders>
              <w:top w:val="single" w:sz="4" w:space="0" w:color="auto"/>
              <w:left w:val="single" w:sz="4" w:space="0" w:color="auto"/>
              <w:bottom w:val="single" w:sz="4" w:space="0" w:color="auto"/>
              <w:right w:val="single" w:sz="4" w:space="0" w:color="auto"/>
            </w:tcBorders>
            <w:vAlign w:val="center"/>
          </w:tcPr>
          <w:p w14:paraId="68138C67" w14:textId="4CD36DD2" w:rsidR="00D5410F" w:rsidRPr="00984321" w:rsidRDefault="00D5410F" w:rsidP="00E15F87">
            <w:pPr>
              <w:spacing w:after="0" w:line="240" w:lineRule="auto"/>
              <w:jc w:val="center"/>
              <w:rPr>
                <w:rFonts w:cs="Times New Roman"/>
                <w:sz w:val="20"/>
                <w:szCs w:val="20"/>
                <w:lang w:eastAsia="en-GB"/>
              </w:rPr>
            </w:pPr>
            <w:r w:rsidRPr="00984321">
              <w:rPr>
                <w:rFonts w:cs="Times New Roman"/>
                <w:sz w:val="20"/>
                <w:szCs w:val="20"/>
                <w:lang w:val="en-US" w:eastAsia="en-GB"/>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50FE3D02" w14:textId="5C0032DE"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44775DA7" w14:textId="02D8AFEA"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12" w:type="dxa"/>
            <w:tcBorders>
              <w:top w:val="single" w:sz="4" w:space="0" w:color="auto"/>
              <w:left w:val="single" w:sz="4" w:space="0" w:color="auto"/>
              <w:bottom w:val="single" w:sz="4" w:space="0" w:color="auto"/>
              <w:right w:val="single" w:sz="4" w:space="0" w:color="auto"/>
            </w:tcBorders>
            <w:vAlign w:val="center"/>
          </w:tcPr>
          <w:p w14:paraId="3250A709" w14:textId="571FD627"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5B24D62A" w14:textId="2DCBD7BC"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r>
      <w:tr w:rsidR="00D5410F" w:rsidRPr="000D273B" w14:paraId="2E169581"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377DC473" w14:textId="00955838"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22</w:t>
            </w:r>
          </w:p>
        </w:tc>
        <w:tc>
          <w:tcPr>
            <w:tcW w:w="845" w:type="dxa"/>
            <w:tcBorders>
              <w:top w:val="single" w:sz="4" w:space="0" w:color="auto"/>
              <w:left w:val="single" w:sz="4" w:space="0" w:color="auto"/>
              <w:bottom w:val="single" w:sz="4" w:space="0" w:color="auto"/>
              <w:right w:val="single" w:sz="4" w:space="0" w:color="auto"/>
            </w:tcBorders>
            <w:vAlign w:val="center"/>
          </w:tcPr>
          <w:p w14:paraId="6EE63CA7" w14:textId="1548A72A" w:rsidR="00D5410F" w:rsidRPr="00984321" w:rsidRDefault="00D5410F" w:rsidP="00E15F87">
            <w:pPr>
              <w:spacing w:after="0" w:line="240" w:lineRule="auto"/>
              <w:jc w:val="center"/>
              <w:rPr>
                <w:rFonts w:cs="Times New Roman"/>
                <w:sz w:val="20"/>
                <w:szCs w:val="20"/>
                <w:lang w:eastAsia="en-GB"/>
              </w:rPr>
            </w:pPr>
            <w:r w:rsidRPr="00984321">
              <w:rPr>
                <w:sz w:val="20"/>
                <w:szCs w:val="20"/>
              </w:rPr>
              <w:t>30</w:t>
            </w:r>
          </w:p>
        </w:tc>
        <w:tc>
          <w:tcPr>
            <w:tcW w:w="729" w:type="dxa"/>
            <w:tcBorders>
              <w:top w:val="single" w:sz="4" w:space="0" w:color="auto"/>
              <w:left w:val="single" w:sz="4" w:space="0" w:color="auto"/>
              <w:bottom w:val="single" w:sz="4" w:space="0" w:color="auto"/>
              <w:right w:val="single" w:sz="4" w:space="0" w:color="auto"/>
            </w:tcBorders>
            <w:noWrap/>
            <w:vAlign w:val="center"/>
          </w:tcPr>
          <w:p w14:paraId="11B1BA72" w14:textId="1F41B31A" w:rsidR="00D5410F" w:rsidRPr="00984321" w:rsidRDefault="00D5410F" w:rsidP="00E15F87">
            <w:pPr>
              <w:spacing w:after="0" w:line="240" w:lineRule="auto"/>
              <w:jc w:val="center"/>
              <w:rPr>
                <w:rFonts w:cs="Times New Roman"/>
                <w:sz w:val="20"/>
                <w:szCs w:val="20"/>
                <w:lang w:eastAsia="en-GB"/>
              </w:rPr>
            </w:pPr>
            <w:r w:rsidRPr="00984321">
              <w:rPr>
                <w:sz w:val="20"/>
                <w:szCs w:val="20"/>
              </w:rPr>
              <w:t>14</w:t>
            </w:r>
          </w:p>
        </w:tc>
        <w:tc>
          <w:tcPr>
            <w:tcW w:w="709" w:type="dxa"/>
            <w:tcBorders>
              <w:top w:val="single" w:sz="4" w:space="0" w:color="auto"/>
              <w:left w:val="single" w:sz="4" w:space="0" w:color="auto"/>
              <w:bottom w:val="single" w:sz="4" w:space="0" w:color="auto"/>
              <w:right w:val="single" w:sz="4" w:space="0" w:color="auto"/>
            </w:tcBorders>
            <w:noWrap/>
            <w:vAlign w:val="center"/>
          </w:tcPr>
          <w:p w14:paraId="6A4A70EB" w14:textId="3680B2CE" w:rsidR="00D5410F" w:rsidRPr="00984321" w:rsidRDefault="00D5410F" w:rsidP="00E15F87">
            <w:pPr>
              <w:spacing w:after="0" w:line="240" w:lineRule="auto"/>
              <w:jc w:val="center"/>
              <w:rPr>
                <w:rFonts w:cs="Times New Roman"/>
                <w:sz w:val="20"/>
                <w:szCs w:val="20"/>
                <w:lang w:eastAsia="en-GB"/>
              </w:rPr>
            </w:pPr>
            <w:r w:rsidRPr="00984321">
              <w:rPr>
                <w:sz w:val="20"/>
                <w:szCs w:val="20"/>
              </w:rPr>
              <w:t>14</w:t>
            </w:r>
          </w:p>
        </w:tc>
        <w:tc>
          <w:tcPr>
            <w:tcW w:w="850" w:type="dxa"/>
            <w:tcBorders>
              <w:top w:val="single" w:sz="4" w:space="0" w:color="auto"/>
              <w:left w:val="single" w:sz="4" w:space="0" w:color="auto"/>
              <w:bottom w:val="single" w:sz="4" w:space="0" w:color="auto"/>
              <w:right w:val="single" w:sz="4" w:space="0" w:color="auto"/>
            </w:tcBorders>
            <w:noWrap/>
            <w:vAlign w:val="center"/>
          </w:tcPr>
          <w:p w14:paraId="44DAC87A" w14:textId="07B41F4C" w:rsidR="00D5410F" w:rsidRPr="00984321" w:rsidRDefault="00D5410F" w:rsidP="00E15F87">
            <w:pPr>
              <w:spacing w:after="0" w:line="240" w:lineRule="auto"/>
              <w:jc w:val="center"/>
              <w:rPr>
                <w:rFonts w:cs="Times New Roman"/>
                <w:sz w:val="20"/>
                <w:szCs w:val="20"/>
                <w:lang w:eastAsia="en-GB"/>
              </w:rPr>
            </w:pPr>
            <w:r w:rsidRPr="00984321">
              <w:rPr>
                <w:sz w:val="20"/>
                <w:szCs w:val="20"/>
              </w:rPr>
              <w:t>60</w:t>
            </w:r>
          </w:p>
        </w:tc>
        <w:tc>
          <w:tcPr>
            <w:tcW w:w="2835" w:type="dxa"/>
            <w:tcBorders>
              <w:top w:val="single" w:sz="4" w:space="0" w:color="auto"/>
              <w:left w:val="single" w:sz="4" w:space="0" w:color="auto"/>
              <w:bottom w:val="single" w:sz="4" w:space="0" w:color="auto"/>
              <w:right w:val="single" w:sz="4" w:space="0" w:color="auto"/>
            </w:tcBorders>
            <w:vAlign w:val="center"/>
          </w:tcPr>
          <w:p w14:paraId="1849D9BF" w14:textId="07F364ED" w:rsidR="00D5410F" w:rsidRPr="00984321" w:rsidRDefault="00D5410F" w:rsidP="00E15F87">
            <w:pPr>
              <w:spacing w:after="0" w:line="240" w:lineRule="auto"/>
              <w:jc w:val="center"/>
              <w:rPr>
                <w:rFonts w:cs="Times New Roman"/>
                <w:sz w:val="20"/>
                <w:szCs w:val="20"/>
                <w:lang w:val="en-US" w:eastAsia="en-GB"/>
              </w:rPr>
            </w:pPr>
            <w:r w:rsidRPr="00984321">
              <w:rPr>
                <w:rFonts w:cs="Times New Roman"/>
                <w:sz w:val="20"/>
                <w:szCs w:val="20"/>
                <w:lang w:eastAsia="en-GB"/>
              </w:rPr>
              <w:t>C (LT, LF)</w:t>
            </w:r>
          </w:p>
        </w:tc>
        <w:tc>
          <w:tcPr>
            <w:tcW w:w="851" w:type="dxa"/>
            <w:tcBorders>
              <w:top w:val="single" w:sz="4" w:space="0" w:color="auto"/>
              <w:left w:val="single" w:sz="4" w:space="0" w:color="auto"/>
              <w:bottom w:val="single" w:sz="4" w:space="0" w:color="auto"/>
              <w:right w:val="single" w:sz="4" w:space="0" w:color="auto"/>
            </w:tcBorders>
            <w:noWrap/>
            <w:vAlign w:val="center"/>
          </w:tcPr>
          <w:p w14:paraId="64333DAA" w14:textId="4D79C948"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1CD19553" w14:textId="2AEAC5B5"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12" w:type="dxa"/>
            <w:tcBorders>
              <w:top w:val="single" w:sz="4" w:space="0" w:color="auto"/>
              <w:left w:val="single" w:sz="4" w:space="0" w:color="auto"/>
              <w:bottom w:val="single" w:sz="4" w:space="0" w:color="auto"/>
              <w:right w:val="single" w:sz="4" w:space="0" w:color="auto"/>
            </w:tcBorders>
            <w:vAlign w:val="center"/>
          </w:tcPr>
          <w:p w14:paraId="2F5A6094" w14:textId="63AD7135"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3937D5EC" w14:textId="6942A8CD"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r>
      <w:tr w:rsidR="00D5410F" w:rsidRPr="000D273B" w14:paraId="762AF9C1"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33723661" w14:textId="7C65FBE3"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23</w:t>
            </w:r>
          </w:p>
        </w:tc>
        <w:tc>
          <w:tcPr>
            <w:tcW w:w="845" w:type="dxa"/>
            <w:tcBorders>
              <w:top w:val="single" w:sz="4" w:space="0" w:color="auto"/>
              <w:left w:val="single" w:sz="4" w:space="0" w:color="auto"/>
              <w:bottom w:val="single" w:sz="4" w:space="0" w:color="auto"/>
              <w:right w:val="single" w:sz="4" w:space="0" w:color="auto"/>
            </w:tcBorders>
            <w:vAlign w:val="center"/>
          </w:tcPr>
          <w:p w14:paraId="3F9CE9C6" w14:textId="025851D2" w:rsidR="00D5410F" w:rsidRPr="00984321" w:rsidRDefault="00D5410F" w:rsidP="00E15F87">
            <w:pPr>
              <w:spacing w:after="0" w:line="240" w:lineRule="auto"/>
              <w:jc w:val="center"/>
              <w:rPr>
                <w:rFonts w:cs="Times New Roman"/>
                <w:sz w:val="20"/>
                <w:szCs w:val="20"/>
                <w:lang w:eastAsia="en-GB"/>
              </w:rPr>
            </w:pPr>
            <w:r w:rsidRPr="00984321">
              <w:rPr>
                <w:sz w:val="20"/>
                <w:szCs w:val="20"/>
              </w:rPr>
              <w:t>22</w:t>
            </w:r>
          </w:p>
        </w:tc>
        <w:tc>
          <w:tcPr>
            <w:tcW w:w="729" w:type="dxa"/>
            <w:tcBorders>
              <w:top w:val="single" w:sz="4" w:space="0" w:color="auto"/>
              <w:left w:val="single" w:sz="4" w:space="0" w:color="auto"/>
              <w:bottom w:val="single" w:sz="4" w:space="0" w:color="auto"/>
              <w:right w:val="single" w:sz="4" w:space="0" w:color="auto"/>
            </w:tcBorders>
            <w:noWrap/>
            <w:vAlign w:val="center"/>
          </w:tcPr>
          <w:p w14:paraId="01C13629" w14:textId="1147959F" w:rsidR="00D5410F" w:rsidRPr="00984321" w:rsidRDefault="00D5410F" w:rsidP="00E15F87">
            <w:pPr>
              <w:spacing w:after="0" w:line="240" w:lineRule="auto"/>
              <w:jc w:val="center"/>
              <w:rPr>
                <w:rFonts w:cs="Times New Roman"/>
                <w:sz w:val="20"/>
                <w:szCs w:val="20"/>
                <w:lang w:eastAsia="en-GB"/>
              </w:rPr>
            </w:pPr>
            <w:r w:rsidRPr="00984321">
              <w:rPr>
                <w:sz w:val="20"/>
                <w:szCs w:val="20"/>
              </w:rPr>
              <w:t>16</w:t>
            </w:r>
          </w:p>
        </w:tc>
        <w:tc>
          <w:tcPr>
            <w:tcW w:w="709" w:type="dxa"/>
            <w:tcBorders>
              <w:top w:val="single" w:sz="4" w:space="0" w:color="auto"/>
              <w:left w:val="single" w:sz="4" w:space="0" w:color="auto"/>
              <w:bottom w:val="single" w:sz="4" w:space="0" w:color="auto"/>
              <w:right w:val="single" w:sz="4" w:space="0" w:color="auto"/>
            </w:tcBorders>
            <w:noWrap/>
            <w:vAlign w:val="center"/>
          </w:tcPr>
          <w:p w14:paraId="6C478594" w14:textId="0243AE50"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850" w:type="dxa"/>
            <w:tcBorders>
              <w:top w:val="single" w:sz="4" w:space="0" w:color="auto"/>
              <w:left w:val="single" w:sz="4" w:space="0" w:color="auto"/>
              <w:bottom w:val="single" w:sz="4" w:space="0" w:color="auto"/>
              <w:right w:val="single" w:sz="4" w:space="0" w:color="auto"/>
            </w:tcBorders>
            <w:noWrap/>
            <w:vAlign w:val="center"/>
          </w:tcPr>
          <w:p w14:paraId="0EDC71F0" w14:textId="24215644" w:rsidR="00D5410F" w:rsidRPr="00984321" w:rsidRDefault="00D5410F" w:rsidP="00E15F87">
            <w:pPr>
              <w:spacing w:after="0" w:line="240" w:lineRule="auto"/>
              <w:jc w:val="center"/>
              <w:rPr>
                <w:rFonts w:cs="Times New Roman"/>
                <w:sz w:val="20"/>
                <w:szCs w:val="20"/>
                <w:lang w:eastAsia="en-GB"/>
              </w:rPr>
            </w:pPr>
            <w:r w:rsidRPr="00984321">
              <w:rPr>
                <w:sz w:val="20"/>
                <w:szCs w:val="20"/>
              </w:rPr>
              <w:t>12</w:t>
            </w:r>
          </w:p>
        </w:tc>
        <w:tc>
          <w:tcPr>
            <w:tcW w:w="2835" w:type="dxa"/>
            <w:tcBorders>
              <w:top w:val="single" w:sz="4" w:space="0" w:color="auto"/>
              <w:left w:val="single" w:sz="4" w:space="0" w:color="auto"/>
              <w:bottom w:val="single" w:sz="4" w:space="0" w:color="auto"/>
              <w:right w:val="single" w:sz="4" w:space="0" w:color="auto"/>
            </w:tcBorders>
            <w:vAlign w:val="center"/>
          </w:tcPr>
          <w:p w14:paraId="3A0BAF46" w14:textId="542B9F4E" w:rsidR="00D5410F" w:rsidRPr="00984321" w:rsidRDefault="00D5410F" w:rsidP="00E15F87">
            <w:pPr>
              <w:spacing w:after="0" w:line="240" w:lineRule="auto"/>
              <w:jc w:val="center"/>
              <w:rPr>
                <w:rFonts w:cs="Times New Roman"/>
                <w:sz w:val="20"/>
                <w:szCs w:val="20"/>
                <w:lang w:val="en-US" w:eastAsia="en-GB"/>
              </w:rPr>
            </w:pPr>
            <w:r w:rsidRPr="00984321">
              <w:rPr>
                <w:rFonts w:cs="Times New Roman"/>
                <w:sz w:val="20"/>
                <w:szCs w:val="20"/>
                <w:lang w:eastAsia="en-GB"/>
              </w:rPr>
              <w:t>C (LT)</w:t>
            </w:r>
          </w:p>
        </w:tc>
        <w:tc>
          <w:tcPr>
            <w:tcW w:w="851" w:type="dxa"/>
            <w:tcBorders>
              <w:top w:val="single" w:sz="4" w:space="0" w:color="auto"/>
              <w:left w:val="single" w:sz="4" w:space="0" w:color="auto"/>
              <w:bottom w:val="single" w:sz="4" w:space="0" w:color="auto"/>
              <w:right w:val="single" w:sz="4" w:space="0" w:color="auto"/>
            </w:tcBorders>
            <w:noWrap/>
            <w:vAlign w:val="center"/>
          </w:tcPr>
          <w:p w14:paraId="6D4FD4E9" w14:textId="26F61B69"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2AA7EF99" w14:textId="1C311F05"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12" w:type="dxa"/>
            <w:tcBorders>
              <w:top w:val="single" w:sz="4" w:space="0" w:color="auto"/>
              <w:left w:val="single" w:sz="4" w:space="0" w:color="auto"/>
              <w:bottom w:val="single" w:sz="4" w:space="0" w:color="auto"/>
              <w:right w:val="single" w:sz="4" w:space="0" w:color="auto"/>
            </w:tcBorders>
            <w:vAlign w:val="center"/>
          </w:tcPr>
          <w:p w14:paraId="079F8B4A" w14:textId="7963C02B"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0EAF4D09" w14:textId="070BC94D"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r>
      <w:tr w:rsidR="00D5410F" w:rsidRPr="000D273B" w14:paraId="6F374EC0"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69BC56C0" w14:textId="6F7D1F5C"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24</w:t>
            </w:r>
          </w:p>
        </w:tc>
        <w:tc>
          <w:tcPr>
            <w:tcW w:w="845" w:type="dxa"/>
            <w:tcBorders>
              <w:top w:val="single" w:sz="4" w:space="0" w:color="auto"/>
              <w:left w:val="single" w:sz="4" w:space="0" w:color="auto"/>
              <w:bottom w:val="single" w:sz="4" w:space="0" w:color="auto"/>
              <w:right w:val="single" w:sz="4" w:space="0" w:color="auto"/>
            </w:tcBorders>
            <w:vAlign w:val="center"/>
          </w:tcPr>
          <w:p w14:paraId="7958E47B" w14:textId="7982EA5B" w:rsidR="00D5410F" w:rsidRPr="00984321" w:rsidRDefault="00D5410F" w:rsidP="00E15F87">
            <w:pPr>
              <w:spacing w:after="0" w:line="240" w:lineRule="auto"/>
              <w:jc w:val="center"/>
              <w:rPr>
                <w:rFonts w:cs="Times New Roman"/>
                <w:sz w:val="20"/>
                <w:szCs w:val="20"/>
                <w:lang w:eastAsia="en-GB"/>
              </w:rPr>
            </w:pPr>
            <w:r w:rsidRPr="00984321">
              <w:rPr>
                <w:sz w:val="20"/>
                <w:szCs w:val="20"/>
              </w:rPr>
              <w:t>18</w:t>
            </w:r>
          </w:p>
        </w:tc>
        <w:tc>
          <w:tcPr>
            <w:tcW w:w="729" w:type="dxa"/>
            <w:tcBorders>
              <w:top w:val="single" w:sz="4" w:space="0" w:color="auto"/>
              <w:left w:val="single" w:sz="4" w:space="0" w:color="auto"/>
              <w:bottom w:val="single" w:sz="4" w:space="0" w:color="auto"/>
              <w:right w:val="single" w:sz="4" w:space="0" w:color="auto"/>
            </w:tcBorders>
            <w:noWrap/>
            <w:vAlign w:val="center"/>
          </w:tcPr>
          <w:p w14:paraId="62422FA1" w14:textId="2E65A736" w:rsidR="00D5410F" w:rsidRPr="00984321" w:rsidRDefault="00D5410F" w:rsidP="00E15F87">
            <w:pPr>
              <w:spacing w:after="0" w:line="240" w:lineRule="auto"/>
              <w:jc w:val="center"/>
              <w:rPr>
                <w:rFonts w:cs="Times New Roman"/>
                <w:sz w:val="20"/>
                <w:szCs w:val="20"/>
                <w:lang w:eastAsia="en-GB"/>
              </w:rPr>
            </w:pPr>
            <w:r w:rsidRPr="00984321">
              <w:rPr>
                <w:sz w:val="20"/>
                <w:szCs w:val="20"/>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202A1187" w14:textId="0CCCA0A8"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850" w:type="dxa"/>
            <w:tcBorders>
              <w:top w:val="single" w:sz="4" w:space="0" w:color="auto"/>
              <w:left w:val="single" w:sz="4" w:space="0" w:color="auto"/>
              <w:bottom w:val="single" w:sz="4" w:space="0" w:color="auto"/>
              <w:right w:val="single" w:sz="4" w:space="0" w:color="auto"/>
            </w:tcBorders>
            <w:noWrap/>
            <w:vAlign w:val="center"/>
          </w:tcPr>
          <w:p w14:paraId="08EF19F3" w14:textId="2DF741C3" w:rsidR="00D5410F" w:rsidRPr="00984321" w:rsidRDefault="00D5410F" w:rsidP="00E15F87">
            <w:pPr>
              <w:spacing w:after="0" w:line="240" w:lineRule="auto"/>
              <w:jc w:val="center"/>
              <w:rPr>
                <w:rFonts w:cs="Times New Roman"/>
                <w:sz w:val="20"/>
                <w:szCs w:val="20"/>
                <w:lang w:eastAsia="en-GB"/>
              </w:rPr>
            </w:pPr>
            <w:r w:rsidRPr="00984321">
              <w:rPr>
                <w:sz w:val="20"/>
                <w:szCs w:val="20"/>
              </w:rPr>
              <w:t>11</w:t>
            </w:r>
          </w:p>
        </w:tc>
        <w:tc>
          <w:tcPr>
            <w:tcW w:w="2835" w:type="dxa"/>
            <w:tcBorders>
              <w:top w:val="single" w:sz="4" w:space="0" w:color="auto"/>
              <w:left w:val="single" w:sz="4" w:space="0" w:color="auto"/>
              <w:bottom w:val="single" w:sz="4" w:space="0" w:color="auto"/>
              <w:right w:val="single" w:sz="4" w:space="0" w:color="auto"/>
            </w:tcBorders>
            <w:vAlign w:val="center"/>
          </w:tcPr>
          <w:p w14:paraId="57C331B4" w14:textId="7E20A1EE" w:rsidR="00D5410F" w:rsidRPr="00984321" w:rsidRDefault="00D5410F" w:rsidP="00E15F87">
            <w:pPr>
              <w:spacing w:after="0" w:line="240" w:lineRule="auto"/>
              <w:jc w:val="center"/>
              <w:rPr>
                <w:rFonts w:cs="Times New Roman"/>
                <w:sz w:val="20"/>
                <w:szCs w:val="20"/>
                <w:lang w:val="en-US" w:eastAsia="en-GB"/>
              </w:rPr>
            </w:pPr>
            <w:r w:rsidRPr="00984321">
              <w:rPr>
                <w:rFonts w:cs="Times New Roman"/>
                <w:sz w:val="20"/>
                <w:szCs w:val="20"/>
                <w:lang w:eastAsia="en-GB"/>
              </w:rPr>
              <w:t>C (L/RF)</w:t>
            </w:r>
          </w:p>
        </w:tc>
        <w:tc>
          <w:tcPr>
            <w:tcW w:w="851" w:type="dxa"/>
            <w:tcBorders>
              <w:top w:val="single" w:sz="4" w:space="0" w:color="auto"/>
              <w:left w:val="single" w:sz="4" w:space="0" w:color="auto"/>
              <w:bottom w:val="single" w:sz="4" w:space="0" w:color="auto"/>
              <w:right w:val="single" w:sz="4" w:space="0" w:color="auto"/>
            </w:tcBorders>
            <w:noWrap/>
            <w:vAlign w:val="center"/>
          </w:tcPr>
          <w:p w14:paraId="7656A998" w14:textId="3EEDBAF4"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75B518F0" w14:textId="2957DCAF"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12" w:type="dxa"/>
            <w:tcBorders>
              <w:top w:val="single" w:sz="4" w:space="0" w:color="auto"/>
              <w:left w:val="single" w:sz="4" w:space="0" w:color="auto"/>
              <w:bottom w:val="single" w:sz="4" w:space="0" w:color="auto"/>
              <w:right w:val="single" w:sz="4" w:space="0" w:color="auto"/>
            </w:tcBorders>
            <w:vAlign w:val="center"/>
          </w:tcPr>
          <w:p w14:paraId="3F8A9E9B" w14:textId="7FA2F090"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43F37E0B" w14:textId="2B28894E"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r>
      <w:tr w:rsidR="00D5410F" w:rsidRPr="000D273B" w14:paraId="3243325D"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37D50506" w14:textId="2E290761"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25</w:t>
            </w:r>
          </w:p>
        </w:tc>
        <w:tc>
          <w:tcPr>
            <w:tcW w:w="845" w:type="dxa"/>
            <w:tcBorders>
              <w:top w:val="single" w:sz="4" w:space="0" w:color="auto"/>
              <w:left w:val="single" w:sz="4" w:space="0" w:color="auto"/>
              <w:bottom w:val="single" w:sz="4" w:space="0" w:color="auto"/>
              <w:right w:val="single" w:sz="4" w:space="0" w:color="auto"/>
            </w:tcBorders>
            <w:vAlign w:val="center"/>
          </w:tcPr>
          <w:p w14:paraId="022E98F7" w14:textId="213BFEF0" w:rsidR="00D5410F" w:rsidRPr="00984321" w:rsidRDefault="00D5410F" w:rsidP="00E15F87">
            <w:pPr>
              <w:spacing w:after="0" w:line="240" w:lineRule="auto"/>
              <w:jc w:val="center"/>
              <w:rPr>
                <w:rFonts w:cs="Times New Roman"/>
                <w:sz w:val="20"/>
                <w:szCs w:val="20"/>
                <w:lang w:eastAsia="en-GB"/>
              </w:rPr>
            </w:pPr>
            <w:r w:rsidRPr="00984321">
              <w:rPr>
                <w:sz w:val="20"/>
                <w:szCs w:val="20"/>
              </w:rPr>
              <w:t>64</w:t>
            </w:r>
          </w:p>
        </w:tc>
        <w:tc>
          <w:tcPr>
            <w:tcW w:w="729" w:type="dxa"/>
            <w:tcBorders>
              <w:top w:val="single" w:sz="4" w:space="0" w:color="auto"/>
              <w:left w:val="single" w:sz="4" w:space="0" w:color="auto"/>
              <w:bottom w:val="single" w:sz="4" w:space="0" w:color="auto"/>
              <w:right w:val="single" w:sz="4" w:space="0" w:color="auto"/>
            </w:tcBorders>
            <w:noWrap/>
            <w:vAlign w:val="center"/>
          </w:tcPr>
          <w:p w14:paraId="50AEF0C7" w14:textId="15AFEF9E" w:rsidR="00D5410F" w:rsidRPr="00984321" w:rsidRDefault="00D5410F" w:rsidP="00E15F87">
            <w:pPr>
              <w:spacing w:after="0" w:line="240" w:lineRule="auto"/>
              <w:jc w:val="center"/>
              <w:rPr>
                <w:rFonts w:cs="Times New Roman"/>
                <w:sz w:val="20"/>
                <w:szCs w:val="20"/>
                <w:lang w:eastAsia="en-GB"/>
              </w:rPr>
            </w:pPr>
            <w:r w:rsidRPr="00984321">
              <w:rPr>
                <w:sz w:val="20"/>
                <w:szCs w:val="20"/>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6257F336" w14:textId="19883D3E"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850" w:type="dxa"/>
            <w:tcBorders>
              <w:top w:val="single" w:sz="4" w:space="0" w:color="auto"/>
              <w:left w:val="single" w:sz="4" w:space="0" w:color="auto"/>
              <w:bottom w:val="single" w:sz="4" w:space="0" w:color="auto"/>
              <w:right w:val="single" w:sz="4" w:space="0" w:color="auto"/>
            </w:tcBorders>
            <w:noWrap/>
            <w:vAlign w:val="center"/>
          </w:tcPr>
          <w:p w14:paraId="631A4531" w14:textId="01A2A9E0" w:rsidR="00D5410F" w:rsidRPr="00984321" w:rsidRDefault="00D5410F" w:rsidP="00E15F87">
            <w:pPr>
              <w:spacing w:after="0" w:line="240" w:lineRule="auto"/>
              <w:jc w:val="center"/>
              <w:rPr>
                <w:rFonts w:cs="Times New Roman"/>
                <w:sz w:val="20"/>
                <w:szCs w:val="20"/>
                <w:lang w:eastAsia="en-GB"/>
              </w:rPr>
            </w:pPr>
            <w:r w:rsidRPr="00984321">
              <w:rPr>
                <w:sz w:val="20"/>
                <w:szCs w:val="20"/>
              </w:rPr>
              <w:t>36</w:t>
            </w:r>
          </w:p>
        </w:tc>
        <w:tc>
          <w:tcPr>
            <w:tcW w:w="2835" w:type="dxa"/>
            <w:tcBorders>
              <w:top w:val="single" w:sz="4" w:space="0" w:color="auto"/>
              <w:left w:val="single" w:sz="4" w:space="0" w:color="auto"/>
              <w:bottom w:val="single" w:sz="4" w:space="0" w:color="auto"/>
              <w:right w:val="single" w:sz="4" w:space="0" w:color="auto"/>
            </w:tcBorders>
            <w:vAlign w:val="center"/>
          </w:tcPr>
          <w:p w14:paraId="01DD5C32" w14:textId="6628E2BC" w:rsidR="00D5410F" w:rsidRPr="00984321" w:rsidRDefault="00D5410F" w:rsidP="00E15F87">
            <w:pPr>
              <w:spacing w:after="0" w:line="240" w:lineRule="auto"/>
              <w:jc w:val="center"/>
              <w:rPr>
                <w:rFonts w:cs="Times New Roman"/>
                <w:sz w:val="20"/>
                <w:szCs w:val="20"/>
                <w:lang w:val="en-US" w:eastAsia="en-GB"/>
              </w:rPr>
            </w:pPr>
            <w:r w:rsidRPr="00984321">
              <w:rPr>
                <w:rFonts w:cs="Times New Roman"/>
                <w:sz w:val="20"/>
                <w:szCs w:val="20"/>
                <w:lang w:val="en-US" w:eastAsia="en-GB"/>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24269327" w14:textId="1BAC42F7"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76E8005B" w14:textId="3C5A5940"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12" w:type="dxa"/>
            <w:tcBorders>
              <w:top w:val="single" w:sz="4" w:space="0" w:color="auto"/>
              <w:left w:val="single" w:sz="4" w:space="0" w:color="auto"/>
              <w:bottom w:val="single" w:sz="4" w:space="0" w:color="auto"/>
              <w:right w:val="single" w:sz="4" w:space="0" w:color="auto"/>
            </w:tcBorders>
            <w:vAlign w:val="center"/>
          </w:tcPr>
          <w:p w14:paraId="3D6294F3" w14:textId="05478D66"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09F90BB7" w14:textId="48BDBFC6"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r>
      <w:tr w:rsidR="00D5410F" w:rsidRPr="000D273B" w14:paraId="285B8136"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56EFED2E" w14:textId="770CF0EC"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26</w:t>
            </w:r>
          </w:p>
        </w:tc>
        <w:tc>
          <w:tcPr>
            <w:tcW w:w="845" w:type="dxa"/>
            <w:tcBorders>
              <w:top w:val="single" w:sz="4" w:space="0" w:color="auto"/>
              <w:left w:val="single" w:sz="4" w:space="0" w:color="auto"/>
              <w:bottom w:val="single" w:sz="4" w:space="0" w:color="auto"/>
              <w:right w:val="single" w:sz="4" w:space="0" w:color="auto"/>
            </w:tcBorders>
            <w:vAlign w:val="center"/>
          </w:tcPr>
          <w:p w14:paraId="4D6ADDEB" w14:textId="1AA239E2" w:rsidR="00D5410F" w:rsidRPr="00984321" w:rsidRDefault="00D5410F" w:rsidP="00E15F87">
            <w:pPr>
              <w:spacing w:after="0" w:line="240" w:lineRule="auto"/>
              <w:jc w:val="center"/>
              <w:rPr>
                <w:rFonts w:cs="Times New Roman"/>
                <w:sz w:val="20"/>
                <w:szCs w:val="20"/>
                <w:lang w:eastAsia="en-GB"/>
              </w:rPr>
            </w:pPr>
            <w:r w:rsidRPr="00984321">
              <w:rPr>
                <w:sz w:val="20"/>
                <w:szCs w:val="20"/>
              </w:rPr>
              <w:t>36</w:t>
            </w:r>
          </w:p>
        </w:tc>
        <w:tc>
          <w:tcPr>
            <w:tcW w:w="729" w:type="dxa"/>
            <w:tcBorders>
              <w:top w:val="single" w:sz="4" w:space="0" w:color="auto"/>
              <w:left w:val="single" w:sz="4" w:space="0" w:color="auto"/>
              <w:bottom w:val="single" w:sz="4" w:space="0" w:color="auto"/>
              <w:right w:val="single" w:sz="4" w:space="0" w:color="auto"/>
            </w:tcBorders>
            <w:noWrap/>
            <w:vAlign w:val="center"/>
          </w:tcPr>
          <w:p w14:paraId="17D062E8" w14:textId="5C935C15" w:rsidR="00D5410F" w:rsidRPr="00984321" w:rsidRDefault="00D5410F" w:rsidP="00E15F87">
            <w:pPr>
              <w:spacing w:after="0" w:line="240" w:lineRule="auto"/>
              <w:jc w:val="center"/>
              <w:rPr>
                <w:rFonts w:cs="Times New Roman"/>
                <w:sz w:val="20"/>
                <w:szCs w:val="20"/>
                <w:lang w:eastAsia="en-GB"/>
              </w:rPr>
            </w:pPr>
            <w:r w:rsidRPr="00984321">
              <w:rPr>
                <w:sz w:val="20"/>
                <w:szCs w:val="20"/>
              </w:rPr>
              <w:t>6</w:t>
            </w:r>
          </w:p>
        </w:tc>
        <w:tc>
          <w:tcPr>
            <w:tcW w:w="709" w:type="dxa"/>
            <w:tcBorders>
              <w:top w:val="single" w:sz="4" w:space="0" w:color="auto"/>
              <w:left w:val="single" w:sz="4" w:space="0" w:color="auto"/>
              <w:bottom w:val="single" w:sz="4" w:space="0" w:color="auto"/>
              <w:right w:val="single" w:sz="4" w:space="0" w:color="auto"/>
            </w:tcBorders>
            <w:noWrap/>
            <w:vAlign w:val="center"/>
          </w:tcPr>
          <w:p w14:paraId="306F0C4A" w14:textId="1C406853"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850" w:type="dxa"/>
            <w:tcBorders>
              <w:top w:val="single" w:sz="4" w:space="0" w:color="auto"/>
              <w:left w:val="single" w:sz="4" w:space="0" w:color="auto"/>
              <w:bottom w:val="single" w:sz="4" w:space="0" w:color="auto"/>
              <w:right w:val="single" w:sz="4" w:space="0" w:color="auto"/>
            </w:tcBorders>
            <w:noWrap/>
            <w:vAlign w:val="center"/>
          </w:tcPr>
          <w:p w14:paraId="2F373A97" w14:textId="585BB1E8" w:rsidR="00D5410F" w:rsidRPr="00984321" w:rsidRDefault="00D5410F" w:rsidP="00E15F87">
            <w:pPr>
              <w:spacing w:after="0" w:line="240" w:lineRule="auto"/>
              <w:jc w:val="center"/>
              <w:rPr>
                <w:rFonts w:cs="Times New Roman"/>
                <w:sz w:val="20"/>
                <w:szCs w:val="20"/>
                <w:lang w:eastAsia="en-GB"/>
              </w:rPr>
            </w:pPr>
            <w:r w:rsidRPr="00984321">
              <w:rPr>
                <w:sz w:val="20"/>
                <w:szCs w:val="20"/>
              </w:rPr>
              <w:t>16</w:t>
            </w:r>
          </w:p>
        </w:tc>
        <w:tc>
          <w:tcPr>
            <w:tcW w:w="2835" w:type="dxa"/>
            <w:tcBorders>
              <w:top w:val="single" w:sz="4" w:space="0" w:color="auto"/>
              <w:left w:val="single" w:sz="4" w:space="0" w:color="auto"/>
              <w:bottom w:val="single" w:sz="4" w:space="0" w:color="auto"/>
              <w:right w:val="single" w:sz="4" w:space="0" w:color="auto"/>
            </w:tcBorders>
            <w:vAlign w:val="center"/>
          </w:tcPr>
          <w:p w14:paraId="74CF862C" w14:textId="44F131DB" w:rsidR="00D5410F" w:rsidRPr="00984321" w:rsidRDefault="00D5410F" w:rsidP="00E15F87">
            <w:pPr>
              <w:spacing w:after="0" w:line="240" w:lineRule="auto"/>
              <w:jc w:val="center"/>
              <w:rPr>
                <w:rFonts w:cs="Times New Roman"/>
                <w:sz w:val="20"/>
                <w:szCs w:val="20"/>
                <w:lang w:val="en-US" w:eastAsia="en-GB"/>
              </w:rPr>
            </w:pPr>
            <w:r w:rsidRPr="00984321">
              <w:rPr>
                <w:rFonts w:cs="Times New Roman"/>
                <w:sz w:val="20"/>
                <w:szCs w:val="20"/>
                <w:lang w:eastAsia="en-GB"/>
              </w:rPr>
              <w:t>C (RF)</w:t>
            </w:r>
          </w:p>
        </w:tc>
        <w:tc>
          <w:tcPr>
            <w:tcW w:w="851" w:type="dxa"/>
            <w:tcBorders>
              <w:top w:val="single" w:sz="4" w:space="0" w:color="auto"/>
              <w:left w:val="single" w:sz="4" w:space="0" w:color="auto"/>
              <w:bottom w:val="single" w:sz="4" w:space="0" w:color="auto"/>
              <w:right w:val="single" w:sz="4" w:space="0" w:color="auto"/>
            </w:tcBorders>
            <w:noWrap/>
            <w:vAlign w:val="center"/>
          </w:tcPr>
          <w:p w14:paraId="585B4596" w14:textId="42F3056D"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996" w:type="dxa"/>
            <w:tcBorders>
              <w:top w:val="single" w:sz="4" w:space="0" w:color="auto"/>
              <w:left w:val="single" w:sz="4" w:space="0" w:color="auto"/>
              <w:bottom w:val="single" w:sz="4" w:space="0" w:color="auto"/>
              <w:right w:val="single" w:sz="4" w:space="0" w:color="auto"/>
            </w:tcBorders>
            <w:vAlign w:val="center"/>
          </w:tcPr>
          <w:p w14:paraId="40897238" w14:textId="00C713A3"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12" w:type="dxa"/>
            <w:tcBorders>
              <w:top w:val="single" w:sz="4" w:space="0" w:color="auto"/>
              <w:left w:val="single" w:sz="4" w:space="0" w:color="auto"/>
              <w:bottom w:val="single" w:sz="4" w:space="0" w:color="auto"/>
              <w:right w:val="single" w:sz="4" w:space="0" w:color="auto"/>
            </w:tcBorders>
            <w:vAlign w:val="center"/>
          </w:tcPr>
          <w:p w14:paraId="73EFA94E" w14:textId="7E0DB716"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4C3F02CE" w14:textId="7E6C6C38"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r>
      <w:tr w:rsidR="00D5410F" w:rsidRPr="000D273B" w14:paraId="713C8CE7"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5978CF6E" w14:textId="46838206"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27</w:t>
            </w:r>
          </w:p>
        </w:tc>
        <w:tc>
          <w:tcPr>
            <w:tcW w:w="845" w:type="dxa"/>
            <w:tcBorders>
              <w:top w:val="single" w:sz="4" w:space="0" w:color="auto"/>
              <w:left w:val="single" w:sz="4" w:space="0" w:color="auto"/>
              <w:bottom w:val="single" w:sz="4" w:space="0" w:color="auto"/>
              <w:right w:val="single" w:sz="4" w:space="0" w:color="auto"/>
            </w:tcBorders>
            <w:vAlign w:val="center"/>
          </w:tcPr>
          <w:p w14:paraId="0ABA8E80" w14:textId="6DEEF1B2" w:rsidR="00D5410F" w:rsidRPr="00984321" w:rsidRDefault="00D5410F" w:rsidP="00E15F87">
            <w:pPr>
              <w:spacing w:after="0" w:line="240" w:lineRule="auto"/>
              <w:jc w:val="center"/>
              <w:rPr>
                <w:rFonts w:cs="Times New Roman"/>
                <w:sz w:val="20"/>
                <w:szCs w:val="20"/>
                <w:lang w:eastAsia="en-GB"/>
              </w:rPr>
            </w:pPr>
            <w:r w:rsidRPr="00984321">
              <w:rPr>
                <w:sz w:val="20"/>
                <w:szCs w:val="20"/>
              </w:rPr>
              <w:t>64</w:t>
            </w:r>
          </w:p>
        </w:tc>
        <w:tc>
          <w:tcPr>
            <w:tcW w:w="729" w:type="dxa"/>
            <w:tcBorders>
              <w:top w:val="single" w:sz="4" w:space="0" w:color="auto"/>
              <w:left w:val="single" w:sz="4" w:space="0" w:color="auto"/>
              <w:bottom w:val="single" w:sz="4" w:space="0" w:color="auto"/>
              <w:right w:val="single" w:sz="4" w:space="0" w:color="auto"/>
            </w:tcBorders>
            <w:noWrap/>
            <w:vAlign w:val="center"/>
          </w:tcPr>
          <w:p w14:paraId="31F96851" w14:textId="02BB26B0" w:rsidR="00D5410F" w:rsidRPr="00984321" w:rsidRDefault="00D5410F" w:rsidP="00E15F87">
            <w:pPr>
              <w:spacing w:after="0" w:line="240" w:lineRule="auto"/>
              <w:jc w:val="center"/>
              <w:rPr>
                <w:rFonts w:cs="Times New Roman"/>
                <w:sz w:val="20"/>
                <w:szCs w:val="20"/>
                <w:lang w:eastAsia="en-GB"/>
              </w:rPr>
            </w:pPr>
            <w:r w:rsidRPr="00984321">
              <w:rPr>
                <w:sz w:val="20"/>
                <w:szCs w:val="20"/>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4823BE85" w14:textId="60C7EC80"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850" w:type="dxa"/>
            <w:tcBorders>
              <w:top w:val="single" w:sz="4" w:space="0" w:color="auto"/>
              <w:left w:val="single" w:sz="4" w:space="0" w:color="auto"/>
              <w:bottom w:val="single" w:sz="4" w:space="0" w:color="auto"/>
              <w:right w:val="single" w:sz="4" w:space="0" w:color="auto"/>
            </w:tcBorders>
            <w:noWrap/>
            <w:vAlign w:val="center"/>
          </w:tcPr>
          <w:p w14:paraId="1E50DF04" w14:textId="50C4E3F7" w:rsidR="00D5410F" w:rsidRPr="00984321" w:rsidRDefault="00D5410F" w:rsidP="00E15F87">
            <w:pPr>
              <w:spacing w:after="0" w:line="240" w:lineRule="auto"/>
              <w:jc w:val="center"/>
              <w:rPr>
                <w:rFonts w:cs="Times New Roman"/>
                <w:sz w:val="20"/>
                <w:szCs w:val="20"/>
                <w:lang w:eastAsia="en-GB"/>
              </w:rPr>
            </w:pPr>
            <w:r w:rsidRPr="00984321">
              <w:rPr>
                <w:sz w:val="20"/>
                <w:szCs w:val="20"/>
              </w:rPr>
              <w:t>16</w:t>
            </w:r>
          </w:p>
        </w:tc>
        <w:tc>
          <w:tcPr>
            <w:tcW w:w="2835" w:type="dxa"/>
            <w:tcBorders>
              <w:top w:val="single" w:sz="4" w:space="0" w:color="auto"/>
              <w:left w:val="single" w:sz="4" w:space="0" w:color="auto"/>
              <w:bottom w:val="single" w:sz="4" w:space="0" w:color="auto"/>
              <w:right w:val="single" w:sz="4" w:space="0" w:color="auto"/>
            </w:tcBorders>
            <w:vAlign w:val="center"/>
          </w:tcPr>
          <w:p w14:paraId="1F88691B" w14:textId="6DCED789" w:rsidR="00D5410F" w:rsidRPr="00984321" w:rsidRDefault="00D5410F" w:rsidP="00E15F87">
            <w:pPr>
              <w:spacing w:after="0" w:line="240" w:lineRule="auto"/>
              <w:jc w:val="center"/>
              <w:rPr>
                <w:rFonts w:cs="Times New Roman"/>
                <w:sz w:val="20"/>
                <w:szCs w:val="20"/>
                <w:lang w:val="en-US" w:eastAsia="en-GB"/>
              </w:rPr>
            </w:pPr>
            <w:r w:rsidRPr="00984321">
              <w:rPr>
                <w:rFonts w:cs="Times New Roman"/>
                <w:sz w:val="20"/>
                <w:szCs w:val="20"/>
                <w:lang w:eastAsia="en-GB"/>
              </w:rPr>
              <w:t>C (RT)</w:t>
            </w:r>
          </w:p>
        </w:tc>
        <w:tc>
          <w:tcPr>
            <w:tcW w:w="851" w:type="dxa"/>
            <w:tcBorders>
              <w:top w:val="single" w:sz="4" w:space="0" w:color="auto"/>
              <w:left w:val="single" w:sz="4" w:space="0" w:color="auto"/>
              <w:bottom w:val="single" w:sz="4" w:space="0" w:color="auto"/>
              <w:right w:val="single" w:sz="4" w:space="0" w:color="auto"/>
            </w:tcBorders>
            <w:noWrap/>
            <w:vAlign w:val="center"/>
          </w:tcPr>
          <w:p w14:paraId="4F3503AE" w14:textId="3F0916B5"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996" w:type="dxa"/>
            <w:tcBorders>
              <w:top w:val="single" w:sz="4" w:space="0" w:color="auto"/>
              <w:left w:val="single" w:sz="4" w:space="0" w:color="auto"/>
              <w:bottom w:val="single" w:sz="4" w:space="0" w:color="auto"/>
              <w:right w:val="single" w:sz="4" w:space="0" w:color="auto"/>
            </w:tcBorders>
            <w:vAlign w:val="center"/>
          </w:tcPr>
          <w:p w14:paraId="3FDB0001" w14:textId="01C938E2"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12" w:type="dxa"/>
            <w:tcBorders>
              <w:top w:val="single" w:sz="4" w:space="0" w:color="auto"/>
              <w:left w:val="single" w:sz="4" w:space="0" w:color="auto"/>
              <w:bottom w:val="single" w:sz="4" w:space="0" w:color="auto"/>
              <w:right w:val="single" w:sz="4" w:space="0" w:color="auto"/>
            </w:tcBorders>
            <w:vAlign w:val="center"/>
          </w:tcPr>
          <w:p w14:paraId="4F9BFF61" w14:textId="203F3795"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52" w:type="dxa"/>
            <w:tcBorders>
              <w:top w:val="single" w:sz="4" w:space="0" w:color="auto"/>
              <w:left w:val="single" w:sz="4" w:space="0" w:color="auto"/>
              <w:bottom w:val="single" w:sz="4" w:space="0" w:color="auto"/>
              <w:right w:val="single" w:sz="4" w:space="0" w:color="auto"/>
            </w:tcBorders>
            <w:vAlign w:val="center"/>
          </w:tcPr>
          <w:p w14:paraId="2EA0FDFD" w14:textId="32F085C8"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r>
      <w:tr w:rsidR="00D5410F" w:rsidRPr="000D273B" w14:paraId="28CB97D0"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3AF66A63" w14:textId="3E1FF66C"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28</w:t>
            </w:r>
          </w:p>
        </w:tc>
        <w:tc>
          <w:tcPr>
            <w:tcW w:w="845" w:type="dxa"/>
            <w:tcBorders>
              <w:top w:val="single" w:sz="4" w:space="0" w:color="auto"/>
              <w:left w:val="single" w:sz="4" w:space="0" w:color="auto"/>
              <w:bottom w:val="single" w:sz="4" w:space="0" w:color="auto"/>
              <w:right w:val="single" w:sz="4" w:space="0" w:color="auto"/>
            </w:tcBorders>
            <w:vAlign w:val="center"/>
          </w:tcPr>
          <w:p w14:paraId="1A5C242B" w14:textId="70C8DE0A" w:rsidR="00D5410F" w:rsidRPr="00984321" w:rsidRDefault="00D5410F" w:rsidP="00E15F87">
            <w:pPr>
              <w:spacing w:after="0" w:line="240" w:lineRule="auto"/>
              <w:jc w:val="center"/>
              <w:rPr>
                <w:rFonts w:cs="Times New Roman"/>
                <w:sz w:val="20"/>
                <w:szCs w:val="20"/>
                <w:lang w:eastAsia="en-GB"/>
              </w:rPr>
            </w:pPr>
            <w:r w:rsidRPr="00984321">
              <w:rPr>
                <w:sz w:val="20"/>
                <w:szCs w:val="20"/>
              </w:rPr>
              <w:t>21</w:t>
            </w:r>
          </w:p>
        </w:tc>
        <w:tc>
          <w:tcPr>
            <w:tcW w:w="729" w:type="dxa"/>
            <w:tcBorders>
              <w:top w:val="single" w:sz="4" w:space="0" w:color="auto"/>
              <w:left w:val="single" w:sz="4" w:space="0" w:color="auto"/>
              <w:bottom w:val="single" w:sz="4" w:space="0" w:color="auto"/>
              <w:right w:val="single" w:sz="4" w:space="0" w:color="auto"/>
            </w:tcBorders>
            <w:noWrap/>
            <w:vAlign w:val="center"/>
          </w:tcPr>
          <w:p w14:paraId="5BE4550B" w14:textId="64FB19EB"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14:paraId="619F7583" w14:textId="101E48FB" w:rsidR="00D5410F" w:rsidRPr="00984321" w:rsidRDefault="00D5410F" w:rsidP="00E15F87">
            <w:pPr>
              <w:spacing w:after="0" w:line="240" w:lineRule="auto"/>
              <w:jc w:val="center"/>
              <w:rPr>
                <w:rFonts w:cs="Times New Roman"/>
                <w:sz w:val="20"/>
                <w:szCs w:val="20"/>
                <w:lang w:eastAsia="en-GB"/>
              </w:rPr>
            </w:pPr>
            <w:r w:rsidRPr="00984321">
              <w:rPr>
                <w:sz w:val="20"/>
                <w:szCs w:val="20"/>
              </w:rPr>
              <w:t>14</w:t>
            </w:r>
          </w:p>
        </w:tc>
        <w:tc>
          <w:tcPr>
            <w:tcW w:w="850" w:type="dxa"/>
            <w:tcBorders>
              <w:top w:val="single" w:sz="4" w:space="0" w:color="auto"/>
              <w:left w:val="single" w:sz="4" w:space="0" w:color="auto"/>
              <w:bottom w:val="single" w:sz="4" w:space="0" w:color="auto"/>
              <w:right w:val="single" w:sz="4" w:space="0" w:color="auto"/>
            </w:tcBorders>
            <w:noWrap/>
            <w:vAlign w:val="center"/>
          </w:tcPr>
          <w:p w14:paraId="3D6C1FB8" w14:textId="2C6A5DCA" w:rsidR="00D5410F" w:rsidRPr="00984321" w:rsidRDefault="00D5410F" w:rsidP="00E15F87">
            <w:pPr>
              <w:spacing w:after="0" w:line="240" w:lineRule="auto"/>
              <w:jc w:val="center"/>
              <w:rPr>
                <w:rFonts w:cs="Times New Roman"/>
                <w:sz w:val="20"/>
                <w:szCs w:val="20"/>
                <w:lang w:eastAsia="en-GB"/>
              </w:rPr>
            </w:pPr>
            <w:r w:rsidRPr="00984321">
              <w:rPr>
                <w:sz w:val="20"/>
                <w:szCs w:val="20"/>
              </w:rPr>
              <w:t>13</w:t>
            </w:r>
          </w:p>
        </w:tc>
        <w:tc>
          <w:tcPr>
            <w:tcW w:w="2835" w:type="dxa"/>
            <w:tcBorders>
              <w:top w:val="single" w:sz="4" w:space="0" w:color="auto"/>
              <w:left w:val="single" w:sz="4" w:space="0" w:color="auto"/>
              <w:bottom w:val="single" w:sz="4" w:space="0" w:color="auto"/>
              <w:right w:val="single" w:sz="4" w:space="0" w:color="auto"/>
            </w:tcBorders>
            <w:vAlign w:val="center"/>
          </w:tcPr>
          <w:p w14:paraId="7809BCB8" w14:textId="4EFB31AF" w:rsidR="00D5410F" w:rsidRPr="00984321" w:rsidRDefault="00D5410F" w:rsidP="00E15F87">
            <w:pPr>
              <w:spacing w:after="0" w:line="240" w:lineRule="auto"/>
              <w:jc w:val="center"/>
              <w:rPr>
                <w:rFonts w:cs="Times New Roman"/>
                <w:sz w:val="20"/>
                <w:szCs w:val="20"/>
                <w:lang w:val="en-US" w:eastAsia="en-GB"/>
              </w:rPr>
            </w:pPr>
            <w:r w:rsidRPr="00984321">
              <w:rPr>
                <w:rFonts w:cs="Times New Roman"/>
                <w:sz w:val="20"/>
                <w:szCs w:val="20"/>
                <w:lang w:eastAsia="en-GB"/>
              </w:rPr>
              <w:t>C (LT)</w:t>
            </w:r>
            <w:r w:rsidR="00E15F87">
              <w:rPr>
                <w:rFonts w:cs="Times New Roman"/>
                <w:sz w:val="20"/>
                <w:szCs w:val="20"/>
                <w:lang w:eastAsia="en-GB"/>
              </w:rPr>
              <w:t xml:space="preserve">, </w:t>
            </w:r>
            <w:r w:rsidR="00E15F87">
              <w:rPr>
                <w:rFonts w:cs="Times New Roman"/>
                <w:sz w:val="20"/>
                <w:szCs w:val="20"/>
                <w:lang w:val="en-US" w:eastAsia="en-GB"/>
              </w:rPr>
              <w:t>DAI (LT, L/RF)</w:t>
            </w:r>
          </w:p>
        </w:tc>
        <w:tc>
          <w:tcPr>
            <w:tcW w:w="851" w:type="dxa"/>
            <w:tcBorders>
              <w:top w:val="single" w:sz="4" w:space="0" w:color="auto"/>
              <w:left w:val="single" w:sz="4" w:space="0" w:color="auto"/>
              <w:bottom w:val="single" w:sz="4" w:space="0" w:color="auto"/>
              <w:right w:val="single" w:sz="4" w:space="0" w:color="auto"/>
            </w:tcBorders>
            <w:noWrap/>
            <w:vAlign w:val="center"/>
          </w:tcPr>
          <w:p w14:paraId="2899C7BF" w14:textId="00C17670"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2E90A941" w14:textId="4D2058D1"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12" w:type="dxa"/>
            <w:tcBorders>
              <w:top w:val="single" w:sz="4" w:space="0" w:color="auto"/>
              <w:left w:val="single" w:sz="4" w:space="0" w:color="auto"/>
              <w:bottom w:val="single" w:sz="4" w:space="0" w:color="auto"/>
              <w:right w:val="single" w:sz="4" w:space="0" w:color="auto"/>
            </w:tcBorders>
            <w:vAlign w:val="center"/>
          </w:tcPr>
          <w:p w14:paraId="7EB9E54C" w14:textId="1F7D9D35"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3C9E87C6" w14:textId="1C85631E"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r>
      <w:tr w:rsidR="00D5410F" w:rsidRPr="000D273B" w14:paraId="10CB12CB"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258BDB15" w14:textId="6B3D69B2"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29</w:t>
            </w:r>
          </w:p>
        </w:tc>
        <w:tc>
          <w:tcPr>
            <w:tcW w:w="845" w:type="dxa"/>
            <w:tcBorders>
              <w:top w:val="single" w:sz="4" w:space="0" w:color="auto"/>
              <w:left w:val="single" w:sz="4" w:space="0" w:color="auto"/>
              <w:bottom w:val="single" w:sz="4" w:space="0" w:color="auto"/>
              <w:right w:val="single" w:sz="4" w:space="0" w:color="auto"/>
            </w:tcBorders>
            <w:vAlign w:val="center"/>
          </w:tcPr>
          <w:p w14:paraId="01608A47" w14:textId="74E27B47" w:rsidR="00D5410F" w:rsidRPr="00984321" w:rsidRDefault="00D5410F" w:rsidP="00E15F87">
            <w:pPr>
              <w:spacing w:after="0" w:line="240" w:lineRule="auto"/>
              <w:jc w:val="center"/>
              <w:rPr>
                <w:rFonts w:cs="Times New Roman"/>
                <w:sz w:val="20"/>
                <w:szCs w:val="20"/>
                <w:lang w:eastAsia="en-GB"/>
              </w:rPr>
            </w:pPr>
            <w:r w:rsidRPr="00984321">
              <w:rPr>
                <w:sz w:val="20"/>
                <w:szCs w:val="20"/>
              </w:rPr>
              <w:t>19</w:t>
            </w:r>
          </w:p>
        </w:tc>
        <w:tc>
          <w:tcPr>
            <w:tcW w:w="729" w:type="dxa"/>
            <w:tcBorders>
              <w:top w:val="single" w:sz="4" w:space="0" w:color="auto"/>
              <w:left w:val="single" w:sz="4" w:space="0" w:color="auto"/>
              <w:bottom w:val="single" w:sz="4" w:space="0" w:color="auto"/>
              <w:right w:val="single" w:sz="4" w:space="0" w:color="auto"/>
            </w:tcBorders>
            <w:noWrap/>
            <w:vAlign w:val="center"/>
          </w:tcPr>
          <w:p w14:paraId="6FA56A81" w14:textId="2FA0588B" w:rsidR="00D5410F" w:rsidRPr="00984321" w:rsidRDefault="00D5410F" w:rsidP="00E15F87">
            <w:pPr>
              <w:spacing w:after="0" w:line="240" w:lineRule="auto"/>
              <w:jc w:val="center"/>
              <w:rPr>
                <w:rFonts w:cs="Times New Roman"/>
                <w:sz w:val="20"/>
                <w:szCs w:val="20"/>
                <w:lang w:eastAsia="en-GB"/>
              </w:rPr>
            </w:pPr>
            <w:r w:rsidRPr="00984321">
              <w:rPr>
                <w:sz w:val="20"/>
                <w:szCs w:val="20"/>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37F3D738" w14:textId="357188D0"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850" w:type="dxa"/>
            <w:tcBorders>
              <w:top w:val="single" w:sz="4" w:space="0" w:color="auto"/>
              <w:left w:val="single" w:sz="4" w:space="0" w:color="auto"/>
              <w:bottom w:val="single" w:sz="4" w:space="0" w:color="auto"/>
              <w:right w:val="single" w:sz="4" w:space="0" w:color="auto"/>
            </w:tcBorders>
            <w:noWrap/>
            <w:vAlign w:val="center"/>
          </w:tcPr>
          <w:p w14:paraId="20944435" w14:textId="079CC6CF" w:rsidR="00D5410F" w:rsidRPr="00984321" w:rsidRDefault="00D5410F" w:rsidP="00E15F87">
            <w:pPr>
              <w:spacing w:after="0" w:line="240" w:lineRule="auto"/>
              <w:jc w:val="center"/>
              <w:rPr>
                <w:rFonts w:cs="Times New Roman"/>
                <w:sz w:val="20"/>
                <w:szCs w:val="20"/>
                <w:lang w:eastAsia="en-GB"/>
              </w:rPr>
            </w:pPr>
            <w:r w:rsidRPr="00984321">
              <w:rPr>
                <w:sz w:val="20"/>
                <w:szCs w:val="20"/>
              </w:rPr>
              <w:t>36</w:t>
            </w:r>
          </w:p>
        </w:tc>
        <w:tc>
          <w:tcPr>
            <w:tcW w:w="2835" w:type="dxa"/>
            <w:tcBorders>
              <w:top w:val="single" w:sz="4" w:space="0" w:color="auto"/>
              <w:left w:val="single" w:sz="4" w:space="0" w:color="auto"/>
              <w:bottom w:val="single" w:sz="4" w:space="0" w:color="auto"/>
              <w:right w:val="single" w:sz="4" w:space="0" w:color="auto"/>
            </w:tcBorders>
            <w:vAlign w:val="center"/>
          </w:tcPr>
          <w:p w14:paraId="730955F4" w14:textId="498F3125" w:rsidR="00D5410F" w:rsidRPr="00984321" w:rsidRDefault="00D5410F" w:rsidP="00E15F87">
            <w:pPr>
              <w:spacing w:after="0" w:line="240" w:lineRule="auto"/>
              <w:jc w:val="center"/>
              <w:rPr>
                <w:rFonts w:cs="Times New Roman"/>
                <w:sz w:val="20"/>
                <w:szCs w:val="20"/>
                <w:lang w:val="en-US" w:eastAsia="en-GB"/>
              </w:rPr>
            </w:pPr>
            <w:r w:rsidRPr="00984321">
              <w:rPr>
                <w:rFonts w:cs="Times New Roman"/>
                <w:sz w:val="20"/>
                <w:szCs w:val="20"/>
                <w:lang w:val="en-US" w:eastAsia="en-GB"/>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48337464" w14:textId="1D9A98D0"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7904F8D1" w14:textId="46F95D90"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12" w:type="dxa"/>
            <w:tcBorders>
              <w:top w:val="single" w:sz="4" w:space="0" w:color="auto"/>
              <w:left w:val="single" w:sz="4" w:space="0" w:color="auto"/>
              <w:bottom w:val="single" w:sz="4" w:space="0" w:color="auto"/>
              <w:right w:val="single" w:sz="4" w:space="0" w:color="auto"/>
            </w:tcBorders>
            <w:vAlign w:val="center"/>
          </w:tcPr>
          <w:p w14:paraId="4ECA579F" w14:textId="3E0D4634"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52" w:type="dxa"/>
            <w:tcBorders>
              <w:top w:val="single" w:sz="4" w:space="0" w:color="auto"/>
              <w:left w:val="single" w:sz="4" w:space="0" w:color="auto"/>
              <w:bottom w:val="single" w:sz="4" w:space="0" w:color="auto"/>
              <w:right w:val="single" w:sz="4" w:space="0" w:color="auto"/>
            </w:tcBorders>
            <w:vAlign w:val="center"/>
          </w:tcPr>
          <w:p w14:paraId="4390459B" w14:textId="43116AF9"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r>
      <w:tr w:rsidR="00D5410F" w:rsidRPr="000D273B" w14:paraId="24988452"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599CB429" w14:textId="2E0CB10D"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30</w:t>
            </w:r>
          </w:p>
        </w:tc>
        <w:tc>
          <w:tcPr>
            <w:tcW w:w="845" w:type="dxa"/>
            <w:tcBorders>
              <w:top w:val="single" w:sz="4" w:space="0" w:color="auto"/>
              <w:left w:val="single" w:sz="4" w:space="0" w:color="auto"/>
              <w:bottom w:val="single" w:sz="4" w:space="0" w:color="auto"/>
              <w:right w:val="single" w:sz="4" w:space="0" w:color="auto"/>
            </w:tcBorders>
            <w:vAlign w:val="center"/>
          </w:tcPr>
          <w:p w14:paraId="6BB86E7F" w14:textId="5F9A75DE" w:rsidR="00D5410F" w:rsidRPr="00984321" w:rsidRDefault="00D5410F" w:rsidP="00E15F87">
            <w:pPr>
              <w:spacing w:after="0" w:line="240" w:lineRule="auto"/>
              <w:jc w:val="center"/>
              <w:rPr>
                <w:rFonts w:cs="Times New Roman"/>
                <w:sz w:val="20"/>
                <w:szCs w:val="20"/>
                <w:lang w:eastAsia="en-GB"/>
              </w:rPr>
            </w:pPr>
            <w:r w:rsidRPr="00984321">
              <w:rPr>
                <w:sz w:val="20"/>
                <w:szCs w:val="20"/>
              </w:rPr>
              <w:t>56</w:t>
            </w:r>
          </w:p>
        </w:tc>
        <w:tc>
          <w:tcPr>
            <w:tcW w:w="729" w:type="dxa"/>
            <w:tcBorders>
              <w:top w:val="single" w:sz="4" w:space="0" w:color="auto"/>
              <w:left w:val="single" w:sz="4" w:space="0" w:color="auto"/>
              <w:bottom w:val="single" w:sz="4" w:space="0" w:color="auto"/>
              <w:right w:val="single" w:sz="4" w:space="0" w:color="auto"/>
            </w:tcBorders>
            <w:noWrap/>
            <w:vAlign w:val="center"/>
          </w:tcPr>
          <w:p w14:paraId="1D73E3AB" w14:textId="43A8AB7A" w:rsidR="00D5410F" w:rsidRPr="00984321" w:rsidRDefault="00D5410F" w:rsidP="00E15F87">
            <w:pPr>
              <w:spacing w:after="0" w:line="240" w:lineRule="auto"/>
              <w:jc w:val="center"/>
              <w:rPr>
                <w:rFonts w:cs="Times New Roman"/>
                <w:sz w:val="20"/>
                <w:szCs w:val="20"/>
                <w:lang w:eastAsia="en-GB"/>
              </w:rPr>
            </w:pPr>
            <w:r w:rsidRPr="00984321">
              <w:rPr>
                <w:sz w:val="20"/>
                <w:szCs w:val="20"/>
              </w:rPr>
              <w:t>14</w:t>
            </w:r>
          </w:p>
        </w:tc>
        <w:tc>
          <w:tcPr>
            <w:tcW w:w="709" w:type="dxa"/>
            <w:tcBorders>
              <w:top w:val="single" w:sz="4" w:space="0" w:color="auto"/>
              <w:left w:val="single" w:sz="4" w:space="0" w:color="auto"/>
              <w:bottom w:val="single" w:sz="4" w:space="0" w:color="auto"/>
              <w:right w:val="single" w:sz="4" w:space="0" w:color="auto"/>
            </w:tcBorders>
            <w:noWrap/>
            <w:vAlign w:val="center"/>
          </w:tcPr>
          <w:p w14:paraId="01F1CF65" w14:textId="38C73B64"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850" w:type="dxa"/>
            <w:tcBorders>
              <w:top w:val="single" w:sz="4" w:space="0" w:color="auto"/>
              <w:left w:val="single" w:sz="4" w:space="0" w:color="auto"/>
              <w:bottom w:val="single" w:sz="4" w:space="0" w:color="auto"/>
              <w:right w:val="single" w:sz="4" w:space="0" w:color="auto"/>
            </w:tcBorders>
            <w:noWrap/>
            <w:vAlign w:val="center"/>
          </w:tcPr>
          <w:p w14:paraId="34AE18FA" w14:textId="24839E0F" w:rsidR="00D5410F" w:rsidRPr="00984321" w:rsidRDefault="00D5410F" w:rsidP="00E15F87">
            <w:pPr>
              <w:spacing w:after="0" w:line="240" w:lineRule="auto"/>
              <w:jc w:val="center"/>
              <w:rPr>
                <w:rFonts w:cs="Times New Roman"/>
                <w:sz w:val="20"/>
                <w:szCs w:val="20"/>
                <w:lang w:eastAsia="en-GB"/>
              </w:rPr>
            </w:pPr>
            <w:r w:rsidRPr="00984321">
              <w:rPr>
                <w:sz w:val="20"/>
                <w:szCs w:val="20"/>
              </w:rPr>
              <w:t>12</w:t>
            </w:r>
          </w:p>
        </w:tc>
        <w:tc>
          <w:tcPr>
            <w:tcW w:w="2835" w:type="dxa"/>
            <w:tcBorders>
              <w:top w:val="single" w:sz="4" w:space="0" w:color="auto"/>
              <w:left w:val="single" w:sz="4" w:space="0" w:color="auto"/>
              <w:bottom w:val="single" w:sz="4" w:space="0" w:color="auto"/>
              <w:right w:val="single" w:sz="4" w:space="0" w:color="auto"/>
            </w:tcBorders>
            <w:vAlign w:val="center"/>
          </w:tcPr>
          <w:p w14:paraId="16010D03" w14:textId="155D3308" w:rsidR="00D5410F" w:rsidRPr="00984321" w:rsidRDefault="00D5410F" w:rsidP="00E15F87">
            <w:pPr>
              <w:spacing w:after="0" w:line="240" w:lineRule="auto"/>
              <w:jc w:val="center"/>
              <w:rPr>
                <w:rFonts w:cs="Times New Roman"/>
                <w:sz w:val="20"/>
                <w:szCs w:val="20"/>
                <w:lang w:val="en-US" w:eastAsia="en-GB"/>
              </w:rPr>
            </w:pPr>
            <w:r w:rsidRPr="00984321">
              <w:rPr>
                <w:rFonts w:cs="Times New Roman"/>
                <w:sz w:val="20"/>
                <w:szCs w:val="20"/>
                <w:lang w:val="en-US" w:eastAsia="en-GB"/>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415CDC92" w14:textId="47E035E9"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22869486" w14:textId="099284BE"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12" w:type="dxa"/>
            <w:tcBorders>
              <w:top w:val="single" w:sz="4" w:space="0" w:color="auto"/>
              <w:left w:val="single" w:sz="4" w:space="0" w:color="auto"/>
              <w:bottom w:val="single" w:sz="4" w:space="0" w:color="auto"/>
              <w:right w:val="single" w:sz="4" w:space="0" w:color="auto"/>
            </w:tcBorders>
            <w:vAlign w:val="center"/>
          </w:tcPr>
          <w:p w14:paraId="1FFC9719" w14:textId="14B36C9A"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383D5953" w14:textId="10D22877"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r>
      <w:tr w:rsidR="00D5410F" w:rsidRPr="000D273B" w14:paraId="2FE4B331"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0A18F5FD" w14:textId="37F0FC0A"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31</w:t>
            </w:r>
          </w:p>
        </w:tc>
        <w:tc>
          <w:tcPr>
            <w:tcW w:w="845" w:type="dxa"/>
            <w:tcBorders>
              <w:top w:val="single" w:sz="4" w:space="0" w:color="auto"/>
              <w:left w:val="single" w:sz="4" w:space="0" w:color="auto"/>
              <w:bottom w:val="single" w:sz="4" w:space="0" w:color="auto"/>
              <w:right w:val="single" w:sz="4" w:space="0" w:color="auto"/>
            </w:tcBorders>
            <w:vAlign w:val="center"/>
          </w:tcPr>
          <w:p w14:paraId="7AA1A739" w14:textId="4E3E3D86" w:rsidR="00D5410F" w:rsidRPr="00984321" w:rsidRDefault="00D5410F" w:rsidP="00E15F87">
            <w:pPr>
              <w:spacing w:after="0" w:line="240" w:lineRule="auto"/>
              <w:jc w:val="center"/>
              <w:rPr>
                <w:rFonts w:cs="Times New Roman"/>
                <w:sz w:val="20"/>
                <w:szCs w:val="20"/>
                <w:lang w:eastAsia="en-GB"/>
              </w:rPr>
            </w:pPr>
            <w:r w:rsidRPr="00984321">
              <w:rPr>
                <w:sz w:val="20"/>
                <w:szCs w:val="20"/>
              </w:rPr>
              <w:t>66</w:t>
            </w:r>
          </w:p>
        </w:tc>
        <w:tc>
          <w:tcPr>
            <w:tcW w:w="729" w:type="dxa"/>
            <w:tcBorders>
              <w:top w:val="single" w:sz="4" w:space="0" w:color="auto"/>
              <w:left w:val="single" w:sz="4" w:space="0" w:color="auto"/>
              <w:bottom w:val="single" w:sz="4" w:space="0" w:color="auto"/>
              <w:right w:val="single" w:sz="4" w:space="0" w:color="auto"/>
            </w:tcBorders>
            <w:noWrap/>
            <w:vAlign w:val="center"/>
          </w:tcPr>
          <w:p w14:paraId="26993E61" w14:textId="44CB217C" w:rsidR="00D5410F" w:rsidRPr="00984321" w:rsidRDefault="00D5410F" w:rsidP="00E15F87">
            <w:pPr>
              <w:spacing w:after="0" w:line="240" w:lineRule="auto"/>
              <w:jc w:val="center"/>
              <w:rPr>
                <w:rFonts w:cs="Times New Roman"/>
                <w:sz w:val="20"/>
                <w:szCs w:val="20"/>
                <w:lang w:eastAsia="en-GB"/>
              </w:rPr>
            </w:pPr>
            <w:r w:rsidRPr="00984321">
              <w:rPr>
                <w:sz w:val="20"/>
                <w:szCs w:val="20"/>
              </w:rPr>
              <w:t>17</w:t>
            </w:r>
          </w:p>
        </w:tc>
        <w:tc>
          <w:tcPr>
            <w:tcW w:w="709" w:type="dxa"/>
            <w:tcBorders>
              <w:top w:val="single" w:sz="4" w:space="0" w:color="auto"/>
              <w:left w:val="single" w:sz="4" w:space="0" w:color="auto"/>
              <w:bottom w:val="single" w:sz="4" w:space="0" w:color="auto"/>
              <w:right w:val="single" w:sz="4" w:space="0" w:color="auto"/>
            </w:tcBorders>
            <w:noWrap/>
            <w:vAlign w:val="center"/>
          </w:tcPr>
          <w:p w14:paraId="5FFACEB3" w14:textId="3FD069CA"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850" w:type="dxa"/>
            <w:tcBorders>
              <w:top w:val="single" w:sz="4" w:space="0" w:color="auto"/>
              <w:left w:val="single" w:sz="4" w:space="0" w:color="auto"/>
              <w:bottom w:val="single" w:sz="4" w:space="0" w:color="auto"/>
              <w:right w:val="single" w:sz="4" w:space="0" w:color="auto"/>
            </w:tcBorders>
            <w:noWrap/>
            <w:vAlign w:val="center"/>
          </w:tcPr>
          <w:p w14:paraId="33D8A376" w14:textId="68537B64"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29</w:t>
            </w:r>
          </w:p>
        </w:tc>
        <w:tc>
          <w:tcPr>
            <w:tcW w:w="2835" w:type="dxa"/>
            <w:tcBorders>
              <w:top w:val="single" w:sz="4" w:space="0" w:color="auto"/>
              <w:left w:val="single" w:sz="4" w:space="0" w:color="auto"/>
              <w:bottom w:val="single" w:sz="4" w:space="0" w:color="auto"/>
              <w:right w:val="single" w:sz="4" w:space="0" w:color="auto"/>
            </w:tcBorders>
            <w:vAlign w:val="center"/>
          </w:tcPr>
          <w:p w14:paraId="1903B811" w14:textId="337B8489" w:rsidR="00D5410F" w:rsidRPr="00984321" w:rsidRDefault="00D5410F" w:rsidP="00E15F87">
            <w:pPr>
              <w:spacing w:after="0" w:line="240" w:lineRule="auto"/>
              <w:jc w:val="center"/>
              <w:rPr>
                <w:rFonts w:cs="Times New Roman"/>
                <w:sz w:val="20"/>
                <w:szCs w:val="20"/>
                <w:lang w:val="en-US" w:eastAsia="en-GB"/>
              </w:rPr>
            </w:pPr>
            <w:r w:rsidRPr="00984321">
              <w:rPr>
                <w:rFonts w:cs="Times New Roman"/>
                <w:sz w:val="20"/>
                <w:szCs w:val="20"/>
                <w:lang w:val="en-US" w:eastAsia="en-GB"/>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3EB9219E" w14:textId="3E9F5CC1"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996" w:type="dxa"/>
            <w:tcBorders>
              <w:top w:val="single" w:sz="4" w:space="0" w:color="auto"/>
              <w:left w:val="single" w:sz="4" w:space="0" w:color="auto"/>
              <w:bottom w:val="single" w:sz="4" w:space="0" w:color="auto"/>
              <w:right w:val="single" w:sz="4" w:space="0" w:color="auto"/>
            </w:tcBorders>
            <w:vAlign w:val="center"/>
          </w:tcPr>
          <w:p w14:paraId="5F4B8223" w14:textId="2117A14A"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12" w:type="dxa"/>
            <w:tcBorders>
              <w:top w:val="single" w:sz="4" w:space="0" w:color="auto"/>
              <w:left w:val="single" w:sz="4" w:space="0" w:color="auto"/>
              <w:bottom w:val="single" w:sz="4" w:space="0" w:color="auto"/>
              <w:right w:val="single" w:sz="4" w:space="0" w:color="auto"/>
            </w:tcBorders>
            <w:vAlign w:val="center"/>
          </w:tcPr>
          <w:p w14:paraId="6ECC6D73" w14:textId="307792C2"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338FD4D5" w14:textId="717AFBF6"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r>
      <w:tr w:rsidR="00D5410F" w:rsidRPr="000D273B" w14:paraId="19BC678A"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73BB2109" w14:textId="3301EDF1"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32</w:t>
            </w:r>
          </w:p>
        </w:tc>
        <w:tc>
          <w:tcPr>
            <w:tcW w:w="845" w:type="dxa"/>
            <w:tcBorders>
              <w:top w:val="single" w:sz="4" w:space="0" w:color="auto"/>
              <w:left w:val="single" w:sz="4" w:space="0" w:color="auto"/>
              <w:bottom w:val="single" w:sz="4" w:space="0" w:color="auto"/>
              <w:right w:val="single" w:sz="4" w:space="0" w:color="auto"/>
            </w:tcBorders>
            <w:vAlign w:val="center"/>
          </w:tcPr>
          <w:p w14:paraId="6CEF45FC" w14:textId="397738C2"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18</w:t>
            </w:r>
          </w:p>
        </w:tc>
        <w:tc>
          <w:tcPr>
            <w:tcW w:w="729" w:type="dxa"/>
            <w:tcBorders>
              <w:top w:val="single" w:sz="4" w:space="0" w:color="auto"/>
              <w:left w:val="single" w:sz="4" w:space="0" w:color="auto"/>
              <w:bottom w:val="single" w:sz="4" w:space="0" w:color="auto"/>
              <w:right w:val="single" w:sz="4" w:space="0" w:color="auto"/>
            </w:tcBorders>
            <w:noWrap/>
            <w:vAlign w:val="center"/>
          </w:tcPr>
          <w:p w14:paraId="325CCE28" w14:textId="2DC9442B" w:rsidR="00D5410F" w:rsidRPr="00984321" w:rsidRDefault="00D5410F" w:rsidP="00E15F87">
            <w:pPr>
              <w:spacing w:after="0" w:line="240" w:lineRule="auto"/>
              <w:jc w:val="center"/>
              <w:rPr>
                <w:rFonts w:cs="Times New Roman"/>
                <w:sz w:val="20"/>
                <w:szCs w:val="20"/>
                <w:lang w:eastAsia="en-GB"/>
              </w:rPr>
            </w:pPr>
            <w:r w:rsidRPr="00984321">
              <w:rPr>
                <w:sz w:val="20"/>
                <w:szCs w:val="20"/>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2D5DA6E1" w14:textId="1D48E95C" w:rsidR="00D5410F" w:rsidRPr="00984321" w:rsidRDefault="00D5410F" w:rsidP="00E15F87">
            <w:pPr>
              <w:spacing w:after="0" w:line="240" w:lineRule="auto"/>
              <w:jc w:val="center"/>
              <w:rPr>
                <w:rFonts w:cs="Times New Roman"/>
                <w:sz w:val="20"/>
                <w:szCs w:val="20"/>
                <w:lang w:eastAsia="en-GB"/>
              </w:rPr>
            </w:pPr>
            <w:r w:rsidRPr="00984321">
              <w:rPr>
                <w:sz w:val="20"/>
                <w:szCs w:val="20"/>
              </w:rPr>
              <w:t>14</w:t>
            </w:r>
          </w:p>
        </w:tc>
        <w:tc>
          <w:tcPr>
            <w:tcW w:w="850" w:type="dxa"/>
            <w:tcBorders>
              <w:top w:val="single" w:sz="4" w:space="0" w:color="auto"/>
              <w:left w:val="single" w:sz="4" w:space="0" w:color="auto"/>
              <w:bottom w:val="single" w:sz="4" w:space="0" w:color="auto"/>
              <w:right w:val="single" w:sz="4" w:space="0" w:color="auto"/>
            </w:tcBorders>
            <w:noWrap/>
            <w:vAlign w:val="center"/>
          </w:tcPr>
          <w:p w14:paraId="7CD7D11D" w14:textId="65B19247" w:rsidR="00D5410F" w:rsidRPr="00984321" w:rsidRDefault="00D5410F" w:rsidP="00E15F87">
            <w:pPr>
              <w:spacing w:after="0" w:line="240" w:lineRule="auto"/>
              <w:jc w:val="center"/>
              <w:rPr>
                <w:rFonts w:cs="Times New Roman"/>
                <w:sz w:val="20"/>
                <w:szCs w:val="20"/>
                <w:lang w:eastAsia="en-GB"/>
              </w:rPr>
            </w:pPr>
            <w:r w:rsidRPr="00984321">
              <w:rPr>
                <w:sz w:val="20"/>
                <w:szCs w:val="20"/>
              </w:rPr>
              <w:t>6</w:t>
            </w:r>
          </w:p>
        </w:tc>
        <w:tc>
          <w:tcPr>
            <w:tcW w:w="2835" w:type="dxa"/>
            <w:tcBorders>
              <w:top w:val="single" w:sz="4" w:space="0" w:color="auto"/>
              <w:left w:val="single" w:sz="4" w:space="0" w:color="auto"/>
              <w:bottom w:val="single" w:sz="4" w:space="0" w:color="auto"/>
              <w:right w:val="single" w:sz="4" w:space="0" w:color="auto"/>
            </w:tcBorders>
            <w:vAlign w:val="center"/>
          </w:tcPr>
          <w:p w14:paraId="7E7E3B65" w14:textId="05B7FF9C" w:rsidR="00D5410F" w:rsidRPr="00984321" w:rsidRDefault="00984321" w:rsidP="00E15F87">
            <w:pPr>
              <w:spacing w:after="0" w:line="240" w:lineRule="auto"/>
              <w:jc w:val="center"/>
              <w:rPr>
                <w:rFonts w:cs="Times New Roman"/>
                <w:sz w:val="20"/>
                <w:szCs w:val="20"/>
                <w:lang w:eastAsia="en-GB"/>
              </w:rPr>
            </w:pPr>
            <w:r w:rsidRPr="00984321">
              <w:rPr>
                <w:rFonts w:cs="Times New Roman"/>
                <w:sz w:val="20"/>
                <w:szCs w:val="20"/>
                <w:lang w:eastAsia="en-GB"/>
              </w:rPr>
              <w:t>C (RT, L/RF)</w:t>
            </w:r>
            <w:r w:rsidR="00E15F87">
              <w:rPr>
                <w:rFonts w:cs="Times New Roman"/>
                <w:sz w:val="20"/>
                <w:szCs w:val="20"/>
                <w:lang w:eastAsia="en-GB"/>
              </w:rPr>
              <w:t xml:space="preserve">, </w:t>
            </w:r>
            <w:r w:rsidR="00E15F87">
              <w:rPr>
                <w:rFonts w:cs="Times New Roman"/>
                <w:sz w:val="20"/>
                <w:szCs w:val="20"/>
                <w:lang w:val="en-US" w:eastAsia="en-GB"/>
              </w:rPr>
              <w:t>DAI (LT, L/RF)</w:t>
            </w:r>
          </w:p>
        </w:tc>
        <w:tc>
          <w:tcPr>
            <w:tcW w:w="851" w:type="dxa"/>
            <w:tcBorders>
              <w:top w:val="single" w:sz="4" w:space="0" w:color="auto"/>
              <w:left w:val="single" w:sz="4" w:space="0" w:color="auto"/>
              <w:bottom w:val="single" w:sz="4" w:space="0" w:color="auto"/>
              <w:right w:val="single" w:sz="4" w:space="0" w:color="auto"/>
            </w:tcBorders>
            <w:noWrap/>
            <w:vAlign w:val="center"/>
          </w:tcPr>
          <w:p w14:paraId="4BB98741" w14:textId="0C9012ED"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2786A24E" w14:textId="4FB6EDDA"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12" w:type="dxa"/>
            <w:tcBorders>
              <w:top w:val="single" w:sz="4" w:space="0" w:color="auto"/>
              <w:left w:val="single" w:sz="4" w:space="0" w:color="auto"/>
              <w:bottom w:val="single" w:sz="4" w:space="0" w:color="auto"/>
              <w:right w:val="single" w:sz="4" w:space="0" w:color="auto"/>
            </w:tcBorders>
            <w:vAlign w:val="center"/>
          </w:tcPr>
          <w:p w14:paraId="730D4E11" w14:textId="0C6F6030"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52" w:type="dxa"/>
            <w:tcBorders>
              <w:top w:val="single" w:sz="4" w:space="0" w:color="auto"/>
              <w:left w:val="single" w:sz="4" w:space="0" w:color="auto"/>
              <w:bottom w:val="single" w:sz="4" w:space="0" w:color="auto"/>
              <w:right w:val="single" w:sz="4" w:space="0" w:color="auto"/>
            </w:tcBorders>
            <w:vAlign w:val="center"/>
          </w:tcPr>
          <w:p w14:paraId="6078EA2B" w14:textId="36444A88"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r>
      <w:tr w:rsidR="00D5410F" w:rsidRPr="000D273B" w14:paraId="2F76865A"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6BDCCC88" w14:textId="6C11F603"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33</w:t>
            </w:r>
          </w:p>
        </w:tc>
        <w:tc>
          <w:tcPr>
            <w:tcW w:w="845" w:type="dxa"/>
            <w:tcBorders>
              <w:top w:val="single" w:sz="4" w:space="0" w:color="auto"/>
              <w:left w:val="single" w:sz="4" w:space="0" w:color="auto"/>
              <w:bottom w:val="single" w:sz="4" w:space="0" w:color="auto"/>
              <w:right w:val="single" w:sz="4" w:space="0" w:color="auto"/>
            </w:tcBorders>
            <w:vAlign w:val="center"/>
          </w:tcPr>
          <w:p w14:paraId="109F6E7A" w14:textId="112D29B1" w:rsidR="00D5410F" w:rsidRPr="00984321" w:rsidRDefault="00D5410F" w:rsidP="00E15F87">
            <w:pPr>
              <w:spacing w:after="0" w:line="240" w:lineRule="auto"/>
              <w:jc w:val="center"/>
              <w:rPr>
                <w:rFonts w:cs="Times New Roman"/>
                <w:sz w:val="20"/>
                <w:szCs w:val="20"/>
                <w:lang w:eastAsia="en-GB"/>
              </w:rPr>
            </w:pPr>
            <w:r w:rsidRPr="00984321">
              <w:rPr>
                <w:sz w:val="20"/>
                <w:szCs w:val="20"/>
              </w:rPr>
              <w:t>45</w:t>
            </w:r>
          </w:p>
        </w:tc>
        <w:tc>
          <w:tcPr>
            <w:tcW w:w="729" w:type="dxa"/>
            <w:tcBorders>
              <w:top w:val="single" w:sz="4" w:space="0" w:color="auto"/>
              <w:left w:val="single" w:sz="4" w:space="0" w:color="auto"/>
              <w:bottom w:val="single" w:sz="4" w:space="0" w:color="auto"/>
              <w:right w:val="single" w:sz="4" w:space="0" w:color="auto"/>
            </w:tcBorders>
            <w:noWrap/>
            <w:vAlign w:val="center"/>
          </w:tcPr>
          <w:p w14:paraId="4F5DF58B" w14:textId="0CA538C8" w:rsidR="00D5410F" w:rsidRPr="00984321" w:rsidRDefault="00D5410F" w:rsidP="00E15F87">
            <w:pPr>
              <w:spacing w:after="0" w:line="240" w:lineRule="auto"/>
              <w:jc w:val="center"/>
              <w:rPr>
                <w:rFonts w:cs="Times New Roman"/>
                <w:sz w:val="20"/>
                <w:szCs w:val="20"/>
                <w:lang w:eastAsia="en-GB"/>
              </w:rPr>
            </w:pPr>
            <w:r w:rsidRPr="00984321">
              <w:rPr>
                <w:sz w:val="20"/>
                <w:szCs w:val="20"/>
              </w:rPr>
              <w:t>11</w:t>
            </w:r>
          </w:p>
        </w:tc>
        <w:tc>
          <w:tcPr>
            <w:tcW w:w="709" w:type="dxa"/>
            <w:tcBorders>
              <w:top w:val="single" w:sz="4" w:space="0" w:color="auto"/>
              <w:left w:val="single" w:sz="4" w:space="0" w:color="auto"/>
              <w:bottom w:val="single" w:sz="4" w:space="0" w:color="auto"/>
              <w:right w:val="single" w:sz="4" w:space="0" w:color="auto"/>
            </w:tcBorders>
            <w:noWrap/>
            <w:vAlign w:val="center"/>
          </w:tcPr>
          <w:p w14:paraId="62A1AA50" w14:textId="397FFD17" w:rsidR="00D5410F" w:rsidRPr="00984321" w:rsidRDefault="00D5410F" w:rsidP="00E15F87">
            <w:pPr>
              <w:spacing w:after="0" w:line="240" w:lineRule="auto"/>
              <w:jc w:val="center"/>
              <w:rPr>
                <w:rFonts w:cs="Times New Roman"/>
                <w:sz w:val="20"/>
                <w:szCs w:val="20"/>
                <w:lang w:eastAsia="en-GB"/>
              </w:rPr>
            </w:pPr>
            <w:r w:rsidRPr="00984321">
              <w:rPr>
                <w:sz w:val="20"/>
                <w:szCs w:val="20"/>
              </w:rPr>
              <w:t>14</w:t>
            </w:r>
          </w:p>
        </w:tc>
        <w:tc>
          <w:tcPr>
            <w:tcW w:w="850" w:type="dxa"/>
            <w:tcBorders>
              <w:top w:val="single" w:sz="4" w:space="0" w:color="auto"/>
              <w:left w:val="single" w:sz="4" w:space="0" w:color="auto"/>
              <w:bottom w:val="single" w:sz="4" w:space="0" w:color="auto"/>
              <w:right w:val="single" w:sz="4" w:space="0" w:color="auto"/>
            </w:tcBorders>
            <w:noWrap/>
            <w:vAlign w:val="center"/>
          </w:tcPr>
          <w:p w14:paraId="6F0FB094" w14:textId="68459DA9" w:rsidR="00D5410F" w:rsidRPr="00984321" w:rsidRDefault="00D5410F" w:rsidP="00E15F87">
            <w:pPr>
              <w:spacing w:after="0" w:line="240" w:lineRule="auto"/>
              <w:jc w:val="center"/>
              <w:rPr>
                <w:rFonts w:cs="Times New Roman"/>
                <w:sz w:val="20"/>
                <w:szCs w:val="20"/>
                <w:lang w:eastAsia="en-GB"/>
              </w:rPr>
            </w:pPr>
            <w:r w:rsidRPr="00984321">
              <w:rPr>
                <w:sz w:val="20"/>
                <w:szCs w:val="20"/>
              </w:rPr>
              <w:t>6</w:t>
            </w:r>
          </w:p>
        </w:tc>
        <w:tc>
          <w:tcPr>
            <w:tcW w:w="2835" w:type="dxa"/>
            <w:tcBorders>
              <w:top w:val="single" w:sz="4" w:space="0" w:color="auto"/>
              <w:left w:val="single" w:sz="4" w:space="0" w:color="auto"/>
              <w:bottom w:val="single" w:sz="4" w:space="0" w:color="auto"/>
              <w:right w:val="single" w:sz="4" w:space="0" w:color="auto"/>
            </w:tcBorders>
            <w:vAlign w:val="center"/>
          </w:tcPr>
          <w:p w14:paraId="47F5FEB9" w14:textId="64E2BE79" w:rsidR="00D5410F" w:rsidRPr="00984321" w:rsidRDefault="00984321" w:rsidP="00E15F87">
            <w:pPr>
              <w:spacing w:after="0" w:line="240" w:lineRule="auto"/>
              <w:jc w:val="center"/>
              <w:rPr>
                <w:rFonts w:cs="Times New Roman"/>
                <w:sz w:val="20"/>
                <w:szCs w:val="20"/>
                <w:lang w:val="en-US" w:eastAsia="en-GB"/>
              </w:rPr>
            </w:pPr>
            <w:r w:rsidRPr="00984321">
              <w:rPr>
                <w:rFonts w:cs="Times New Roman"/>
                <w:sz w:val="20"/>
                <w:szCs w:val="20"/>
                <w:lang w:eastAsia="en-GB"/>
              </w:rPr>
              <w:t>C (L/RT)</w:t>
            </w:r>
          </w:p>
        </w:tc>
        <w:tc>
          <w:tcPr>
            <w:tcW w:w="851" w:type="dxa"/>
            <w:tcBorders>
              <w:top w:val="single" w:sz="4" w:space="0" w:color="auto"/>
              <w:left w:val="single" w:sz="4" w:space="0" w:color="auto"/>
              <w:bottom w:val="single" w:sz="4" w:space="0" w:color="auto"/>
              <w:right w:val="single" w:sz="4" w:space="0" w:color="auto"/>
            </w:tcBorders>
            <w:noWrap/>
            <w:vAlign w:val="center"/>
          </w:tcPr>
          <w:p w14:paraId="4339DAD8" w14:textId="037A0C56"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996" w:type="dxa"/>
            <w:tcBorders>
              <w:top w:val="single" w:sz="4" w:space="0" w:color="auto"/>
              <w:left w:val="single" w:sz="4" w:space="0" w:color="auto"/>
              <w:bottom w:val="single" w:sz="4" w:space="0" w:color="auto"/>
              <w:right w:val="single" w:sz="4" w:space="0" w:color="auto"/>
            </w:tcBorders>
            <w:vAlign w:val="center"/>
          </w:tcPr>
          <w:p w14:paraId="1D8D6FEE" w14:textId="0BABF465"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12" w:type="dxa"/>
            <w:tcBorders>
              <w:top w:val="single" w:sz="4" w:space="0" w:color="auto"/>
              <w:left w:val="single" w:sz="4" w:space="0" w:color="auto"/>
              <w:bottom w:val="single" w:sz="4" w:space="0" w:color="auto"/>
              <w:right w:val="single" w:sz="4" w:space="0" w:color="auto"/>
            </w:tcBorders>
            <w:vAlign w:val="center"/>
          </w:tcPr>
          <w:p w14:paraId="560BC0AC" w14:textId="21A66600"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1BEB5DB4" w14:textId="32645E6C"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r>
      <w:tr w:rsidR="00D5410F" w:rsidRPr="000D273B" w14:paraId="1EAB3CFA"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710CFADE" w14:textId="0817CB87"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34</w:t>
            </w:r>
          </w:p>
        </w:tc>
        <w:tc>
          <w:tcPr>
            <w:tcW w:w="845" w:type="dxa"/>
            <w:tcBorders>
              <w:top w:val="single" w:sz="4" w:space="0" w:color="auto"/>
              <w:left w:val="single" w:sz="4" w:space="0" w:color="auto"/>
              <w:bottom w:val="single" w:sz="4" w:space="0" w:color="auto"/>
              <w:right w:val="single" w:sz="4" w:space="0" w:color="auto"/>
            </w:tcBorders>
            <w:vAlign w:val="center"/>
          </w:tcPr>
          <w:p w14:paraId="1A00FE21" w14:textId="7E1D2A2D" w:rsidR="00D5410F" w:rsidRPr="00984321" w:rsidRDefault="00D5410F" w:rsidP="00E15F87">
            <w:pPr>
              <w:spacing w:after="0" w:line="240" w:lineRule="auto"/>
              <w:jc w:val="center"/>
              <w:rPr>
                <w:rFonts w:cs="Times New Roman"/>
                <w:sz w:val="20"/>
                <w:szCs w:val="20"/>
                <w:lang w:eastAsia="en-GB"/>
              </w:rPr>
            </w:pPr>
            <w:r w:rsidRPr="00984321">
              <w:rPr>
                <w:sz w:val="20"/>
                <w:szCs w:val="20"/>
              </w:rPr>
              <w:t>28</w:t>
            </w:r>
          </w:p>
        </w:tc>
        <w:tc>
          <w:tcPr>
            <w:tcW w:w="729" w:type="dxa"/>
            <w:tcBorders>
              <w:top w:val="single" w:sz="4" w:space="0" w:color="auto"/>
              <w:left w:val="single" w:sz="4" w:space="0" w:color="auto"/>
              <w:bottom w:val="single" w:sz="4" w:space="0" w:color="auto"/>
              <w:right w:val="single" w:sz="4" w:space="0" w:color="auto"/>
            </w:tcBorders>
            <w:noWrap/>
            <w:vAlign w:val="center"/>
          </w:tcPr>
          <w:p w14:paraId="3321E59F" w14:textId="3FE803D9"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709" w:type="dxa"/>
            <w:tcBorders>
              <w:top w:val="single" w:sz="4" w:space="0" w:color="auto"/>
              <w:left w:val="single" w:sz="4" w:space="0" w:color="auto"/>
              <w:bottom w:val="single" w:sz="4" w:space="0" w:color="auto"/>
              <w:right w:val="single" w:sz="4" w:space="0" w:color="auto"/>
            </w:tcBorders>
            <w:noWrap/>
            <w:vAlign w:val="center"/>
          </w:tcPr>
          <w:p w14:paraId="3672CFFE" w14:textId="42E86D47"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850" w:type="dxa"/>
            <w:tcBorders>
              <w:top w:val="single" w:sz="4" w:space="0" w:color="auto"/>
              <w:left w:val="single" w:sz="4" w:space="0" w:color="auto"/>
              <w:bottom w:val="single" w:sz="4" w:space="0" w:color="auto"/>
              <w:right w:val="single" w:sz="4" w:space="0" w:color="auto"/>
            </w:tcBorders>
            <w:noWrap/>
            <w:vAlign w:val="center"/>
          </w:tcPr>
          <w:p w14:paraId="6DA204D5" w14:textId="51BE3D80" w:rsidR="00D5410F" w:rsidRPr="00984321" w:rsidRDefault="00D5410F" w:rsidP="00E15F87">
            <w:pPr>
              <w:spacing w:after="0" w:line="240" w:lineRule="auto"/>
              <w:jc w:val="center"/>
              <w:rPr>
                <w:rFonts w:cs="Times New Roman"/>
                <w:sz w:val="20"/>
                <w:szCs w:val="20"/>
                <w:lang w:eastAsia="en-GB"/>
              </w:rPr>
            </w:pPr>
            <w:r w:rsidRPr="00984321">
              <w:rPr>
                <w:sz w:val="20"/>
                <w:szCs w:val="20"/>
              </w:rPr>
              <w:t>11</w:t>
            </w:r>
          </w:p>
        </w:tc>
        <w:tc>
          <w:tcPr>
            <w:tcW w:w="2835" w:type="dxa"/>
            <w:tcBorders>
              <w:top w:val="single" w:sz="4" w:space="0" w:color="auto"/>
              <w:left w:val="single" w:sz="4" w:space="0" w:color="auto"/>
              <w:bottom w:val="single" w:sz="4" w:space="0" w:color="auto"/>
              <w:right w:val="single" w:sz="4" w:space="0" w:color="auto"/>
            </w:tcBorders>
            <w:vAlign w:val="center"/>
          </w:tcPr>
          <w:p w14:paraId="7BA05D1B" w14:textId="589145A4" w:rsidR="00D5410F" w:rsidRPr="00984321" w:rsidRDefault="00E15F87" w:rsidP="00E15F87">
            <w:pPr>
              <w:spacing w:after="0" w:line="240" w:lineRule="auto"/>
              <w:jc w:val="center"/>
              <w:rPr>
                <w:rFonts w:cs="Times New Roman"/>
                <w:sz w:val="20"/>
                <w:szCs w:val="20"/>
                <w:lang w:val="en-US" w:eastAsia="en-GB"/>
              </w:rPr>
            </w:pPr>
            <w:r>
              <w:rPr>
                <w:rFonts w:cs="Times New Roman"/>
                <w:sz w:val="20"/>
                <w:szCs w:val="20"/>
                <w:lang w:val="en-US" w:eastAsia="en-GB"/>
              </w:rPr>
              <w:t>DAI (LT, L/RF)</w:t>
            </w:r>
          </w:p>
        </w:tc>
        <w:tc>
          <w:tcPr>
            <w:tcW w:w="851" w:type="dxa"/>
            <w:tcBorders>
              <w:top w:val="single" w:sz="4" w:space="0" w:color="auto"/>
              <w:left w:val="single" w:sz="4" w:space="0" w:color="auto"/>
              <w:bottom w:val="single" w:sz="4" w:space="0" w:color="auto"/>
              <w:right w:val="single" w:sz="4" w:space="0" w:color="auto"/>
            </w:tcBorders>
            <w:noWrap/>
            <w:vAlign w:val="center"/>
          </w:tcPr>
          <w:p w14:paraId="5220CD38" w14:textId="0DB8D983"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4F6DB349" w14:textId="68DD532C"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12" w:type="dxa"/>
            <w:tcBorders>
              <w:top w:val="single" w:sz="4" w:space="0" w:color="auto"/>
              <w:left w:val="single" w:sz="4" w:space="0" w:color="auto"/>
              <w:bottom w:val="single" w:sz="4" w:space="0" w:color="auto"/>
              <w:right w:val="single" w:sz="4" w:space="0" w:color="auto"/>
            </w:tcBorders>
            <w:vAlign w:val="center"/>
          </w:tcPr>
          <w:p w14:paraId="3E83DE79" w14:textId="40C40227"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52" w:type="dxa"/>
            <w:tcBorders>
              <w:top w:val="single" w:sz="4" w:space="0" w:color="auto"/>
              <w:left w:val="single" w:sz="4" w:space="0" w:color="auto"/>
              <w:bottom w:val="single" w:sz="4" w:space="0" w:color="auto"/>
              <w:right w:val="single" w:sz="4" w:space="0" w:color="auto"/>
            </w:tcBorders>
            <w:vAlign w:val="center"/>
          </w:tcPr>
          <w:p w14:paraId="63FA9176" w14:textId="7FB609CD"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r>
      <w:tr w:rsidR="00D5410F" w:rsidRPr="000D273B" w14:paraId="15ABA529"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2A4F05E2" w14:textId="13E7A607"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35</w:t>
            </w:r>
          </w:p>
        </w:tc>
        <w:tc>
          <w:tcPr>
            <w:tcW w:w="845" w:type="dxa"/>
            <w:tcBorders>
              <w:top w:val="single" w:sz="4" w:space="0" w:color="auto"/>
              <w:left w:val="single" w:sz="4" w:space="0" w:color="auto"/>
              <w:bottom w:val="single" w:sz="4" w:space="0" w:color="auto"/>
              <w:right w:val="single" w:sz="4" w:space="0" w:color="auto"/>
            </w:tcBorders>
            <w:vAlign w:val="center"/>
          </w:tcPr>
          <w:p w14:paraId="34A17862" w14:textId="69B527A3" w:rsidR="00D5410F" w:rsidRPr="00984321" w:rsidRDefault="00D5410F" w:rsidP="00E15F87">
            <w:pPr>
              <w:spacing w:after="0" w:line="240" w:lineRule="auto"/>
              <w:jc w:val="center"/>
              <w:rPr>
                <w:rFonts w:cs="Times New Roman"/>
                <w:sz w:val="20"/>
                <w:szCs w:val="20"/>
                <w:lang w:eastAsia="en-GB"/>
              </w:rPr>
            </w:pPr>
            <w:r w:rsidRPr="00984321">
              <w:rPr>
                <w:sz w:val="20"/>
                <w:szCs w:val="20"/>
              </w:rPr>
              <w:t>47</w:t>
            </w:r>
          </w:p>
        </w:tc>
        <w:tc>
          <w:tcPr>
            <w:tcW w:w="729" w:type="dxa"/>
            <w:tcBorders>
              <w:top w:val="single" w:sz="4" w:space="0" w:color="auto"/>
              <w:left w:val="single" w:sz="4" w:space="0" w:color="auto"/>
              <w:bottom w:val="single" w:sz="4" w:space="0" w:color="auto"/>
              <w:right w:val="single" w:sz="4" w:space="0" w:color="auto"/>
            </w:tcBorders>
            <w:noWrap/>
            <w:vAlign w:val="center"/>
          </w:tcPr>
          <w:p w14:paraId="319413CE" w14:textId="65BE992A" w:rsidR="00D5410F" w:rsidRPr="00984321" w:rsidRDefault="00D5410F" w:rsidP="00E15F87">
            <w:pPr>
              <w:spacing w:after="0" w:line="240" w:lineRule="auto"/>
              <w:jc w:val="center"/>
              <w:rPr>
                <w:rFonts w:cs="Times New Roman"/>
                <w:sz w:val="20"/>
                <w:szCs w:val="20"/>
                <w:lang w:eastAsia="en-GB"/>
              </w:rPr>
            </w:pPr>
            <w:r w:rsidRPr="00984321">
              <w:rPr>
                <w:sz w:val="20"/>
                <w:szCs w:val="20"/>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18C89543" w14:textId="5C06D140"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850" w:type="dxa"/>
            <w:tcBorders>
              <w:top w:val="single" w:sz="4" w:space="0" w:color="auto"/>
              <w:left w:val="single" w:sz="4" w:space="0" w:color="auto"/>
              <w:bottom w:val="single" w:sz="4" w:space="0" w:color="auto"/>
              <w:right w:val="single" w:sz="4" w:space="0" w:color="auto"/>
            </w:tcBorders>
            <w:noWrap/>
            <w:vAlign w:val="center"/>
          </w:tcPr>
          <w:p w14:paraId="6212F37E" w14:textId="0A4A40ED" w:rsidR="00D5410F" w:rsidRPr="00984321" w:rsidRDefault="00D5410F" w:rsidP="00E15F87">
            <w:pPr>
              <w:spacing w:after="0" w:line="240" w:lineRule="auto"/>
              <w:jc w:val="center"/>
              <w:rPr>
                <w:rFonts w:cs="Times New Roman"/>
                <w:sz w:val="20"/>
                <w:szCs w:val="20"/>
                <w:lang w:eastAsia="en-GB"/>
              </w:rPr>
            </w:pPr>
            <w:r w:rsidRPr="00984321">
              <w:rPr>
                <w:sz w:val="20"/>
                <w:szCs w:val="20"/>
              </w:rPr>
              <w:t>8</w:t>
            </w:r>
          </w:p>
        </w:tc>
        <w:tc>
          <w:tcPr>
            <w:tcW w:w="2835" w:type="dxa"/>
            <w:tcBorders>
              <w:top w:val="single" w:sz="4" w:space="0" w:color="auto"/>
              <w:left w:val="single" w:sz="4" w:space="0" w:color="auto"/>
              <w:bottom w:val="single" w:sz="4" w:space="0" w:color="auto"/>
              <w:right w:val="single" w:sz="4" w:space="0" w:color="auto"/>
            </w:tcBorders>
            <w:vAlign w:val="center"/>
          </w:tcPr>
          <w:p w14:paraId="0C1425E8" w14:textId="029A990A" w:rsidR="00D5410F" w:rsidRPr="00984321" w:rsidRDefault="00D5410F" w:rsidP="00E15F87">
            <w:pPr>
              <w:spacing w:after="0" w:line="240" w:lineRule="auto"/>
              <w:jc w:val="center"/>
              <w:rPr>
                <w:rFonts w:cs="Times New Roman"/>
                <w:sz w:val="20"/>
                <w:szCs w:val="20"/>
                <w:lang w:val="en-US" w:eastAsia="en-GB"/>
              </w:rPr>
            </w:pPr>
            <w:r w:rsidRPr="00984321">
              <w:rPr>
                <w:rFonts w:cs="Times New Roman"/>
                <w:sz w:val="20"/>
                <w:szCs w:val="20"/>
                <w:lang w:val="en-US" w:eastAsia="en-GB"/>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7BFEF5CB" w14:textId="56D3FFA6"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7F2855A4" w14:textId="45279473"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12" w:type="dxa"/>
            <w:tcBorders>
              <w:top w:val="single" w:sz="4" w:space="0" w:color="auto"/>
              <w:left w:val="single" w:sz="4" w:space="0" w:color="auto"/>
              <w:bottom w:val="single" w:sz="4" w:space="0" w:color="auto"/>
              <w:right w:val="single" w:sz="4" w:space="0" w:color="auto"/>
            </w:tcBorders>
            <w:vAlign w:val="center"/>
          </w:tcPr>
          <w:p w14:paraId="496A802B" w14:textId="02F67C29"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15C3DAC0" w14:textId="0C7614F1"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r>
      <w:tr w:rsidR="00D5410F" w:rsidRPr="000D273B" w14:paraId="2154B10B"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74EBCC37" w14:textId="38D925EC"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36</w:t>
            </w:r>
          </w:p>
        </w:tc>
        <w:tc>
          <w:tcPr>
            <w:tcW w:w="845" w:type="dxa"/>
            <w:tcBorders>
              <w:top w:val="single" w:sz="4" w:space="0" w:color="auto"/>
              <w:left w:val="single" w:sz="4" w:space="0" w:color="auto"/>
              <w:bottom w:val="single" w:sz="4" w:space="0" w:color="auto"/>
              <w:right w:val="single" w:sz="4" w:space="0" w:color="auto"/>
            </w:tcBorders>
            <w:vAlign w:val="center"/>
          </w:tcPr>
          <w:p w14:paraId="15064E46" w14:textId="0C965ACC" w:rsidR="00D5410F" w:rsidRPr="00984321" w:rsidRDefault="00D5410F" w:rsidP="00E15F87">
            <w:pPr>
              <w:spacing w:after="0" w:line="240" w:lineRule="auto"/>
              <w:jc w:val="center"/>
              <w:rPr>
                <w:rFonts w:cs="Times New Roman"/>
                <w:sz w:val="20"/>
                <w:szCs w:val="20"/>
                <w:lang w:eastAsia="en-GB"/>
              </w:rPr>
            </w:pPr>
            <w:r w:rsidRPr="00984321">
              <w:rPr>
                <w:sz w:val="20"/>
                <w:szCs w:val="20"/>
              </w:rPr>
              <w:t>52</w:t>
            </w:r>
          </w:p>
        </w:tc>
        <w:tc>
          <w:tcPr>
            <w:tcW w:w="729" w:type="dxa"/>
            <w:tcBorders>
              <w:top w:val="single" w:sz="4" w:space="0" w:color="auto"/>
              <w:left w:val="single" w:sz="4" w:space="0" w:color="auto"/>
              <w:bottom w:val="single" w:sz="4" w:space="0" w:color="auto"/>
              <w:right w:val="single" w:sz="4" w:space="0" w:color="auto"/>
            </w:tcBorders>
            <w:noWrap/>
            <w:vAlign w:val="center"/>
          </w:tcPr>
          <w:p w14:paraId="2DF5834F" w14:textId="7F25EFB7" w:rsidR="00D5410F" w:rsidRPr="00984321" w:rsidRDefault="00D5410F" w:rsidP="00E15F87">
            <w:pPr>
              <w:spacing w:after="0" w:line="240" w:lineRule="auto"/>
              <w:jc w:val="center"/>
              <w:rPr>
                <w:rFonts w:cs="Times New Roman"/>
                <w:sz w:val="20"/>
                <w:szCs w:val="20"/>
                <w:lang w:eastAsia="en-GB"/>
              </w:rPr>
            </w:pPr>
            <w:r w:rsidRPr="00984321">
              <w:rPr>
                <w:sz w:val="20"/>
                <w:szCs w:val="20"/>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3EBB4A29" w14:textId="6D6A34BE" w:rsidR="00D5410F" w:rsidRPr="00984321" w:rsidRDefault="00D5410F" w:rsidP="00E15F87">
            <w:pPr>
              <w:spacing w:after="0" w:line="240" w:lineRule="auto"/>
              <w:jc w:val="center"/>
              <w:rPr>
                <w:rFonts w:cs="Times New Roman"/>
                <w:sz w:val="20"/>
                <w:szCs w:val="20"/>
                <w:lang w:eastAsia="en-GB"/>
              </w:rPr>
            </w:pPr>
            <w:r w:rsidRPr="00984321">
              <w:rPr>
                <w:sz w:val="20"/>
                <w:szCs w:val="20"/>
              </w:rPr>
              <w:t>15</w:t>
            </w:r>
          </w:p>
        </w:tc>
        <w:tc>
          <w:tcPr>
            <w:tcW w:w="850" w:type="dxa"/>
            <w:tcBorders>
              <w:top w:val="single" w:sz="4" w:space="0" w:color="auto"/>
              <w:left w:val="single" w:sz="4" w:space="0" w:color="auto"/>
              <w:bottom w:val="single" w:sz="4" w:space="0" w:color="auto"/>
              <w:right w:val="single" w:sz="4" w:space="0" w:color="auto"/>
            </w:tcBorders>
            <w:noWrap/>
            <w:vAlign w:val="center"/>
          </w:tcPr>
          <w:p w14:paraId="3218E648" w14:textId="5DA98D60" w:rsidR="00D5410F" w:rsidRPr="00984321" w:rsidRDefault="00D5410F" w:rsidP="00E15F87">
            <w:pPr>
              <w:spacing w:after="0" w:line="240" w:lineRule="auto"/>
              <w:jc w:val="center"/>
              <w:rPr>
                <w:rFonts w:cs="Times New Roman"/>
                <w:sz w:val="20"/>
                <w:szCs w:val="20"/>
                <w:lang w:eastAsia="en-GB"/>
              </w:rPr>
            </w:pPr>
            <w:r w:rsidRPr="00984321">
              <w:rPr>
                <w:sz w:val="20"/>
                <w:szCs w:val="20"/>
              </w:rPr>
              <w:t>14</w:t>
            </w:r>
          </w:p>
        </w:tc>
        <w:tc>
          <w:tcPr>
            <w:tcW w:w="2835" w:type="dxa"/>
            <w:tcBorders>
              <w:top w:val="single" w:sz="4" w:space="0" w:color="auto"/>
              <w:left w:val="single" w:sz="4" w:space="0" w:color="auto"/>
              <w:bottom w:val="single" w:sz="4" w:space="0" w:color="auto"/>
              <w:right w:val="single" w:sz="4" w:space="0" w:color="auto"/>
            </w:tcBorders>
            <w:vAlign w:val="center"/>
          </w:tcPr>
          <w:p w14:paraId="00471467" w14:textId="7FEDBD2A" w:rsidR="00D5410F" w:rsidRPr="00984321" w:rsidRDefault="00D5410F" w:rsidP="00E15F87">
            <w:pPr>
              <w:spacing w:after="0" w:line="240" w:lineRule="auto"/>
              <w:jc w:val="center"/>
              <w:rPr>
                <w:rFonts w:cs="Times New Roman"/>
                <w:sz w:val="20"/>
                <w:szCs w:val="20"/>
                <w:lang w:val="en-US" w:eastAsia="en-GB"/>
              </w:rPr>
            </w:pPr>
            <w:r w:rsidRPr="00984321">
              <w:rPr>
                <w:rFonts w:cs="Times New Roman"/>
                <w:sz w:val="20"/>
                <w:szCs w:val="20"/>
                <w:lang w:val="en-US" w:eastAsia="en-GB"/>
              </w:rPr>
              <w:t>--</w:t>
            </w:r>
          </w:p>
        </w:tc>
        <w:tc>
          <w:tcPr>
            <w:tcW w:w="851" w:type="dxa"/>
            <w:tcBorders>
              <w:top w:val="single" w:sz="4" w:space="0" w:color="auto"/>
              <w:left w:val="single" w:sz="4" w:space="0" w:color="auto"/>
              <w:bottom w:val="single" w:sz="4" w:space="0" w:color="auto"/>
              <w:right w:val="single" w:sz="4" w:space="0" w:color="auto"/>
            </w:tcBorders>
            <w:noWrap/>
            <w:vAlign w:val="center"/>
          </w:tcPr>
          <w:p w14:paraId="41E66864" w14:textId="5CCC50F7"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996" w:type="dxa"/>
            <w:tcBorders>
              <w:top w:val="single" w:sz="4" w:space="0" w:color="auto"/>
              <w:left w:val="single" w:sz="4" w:space="0" w:color="auto"/>
              <w:bottom w:val="single" w:sz="4" w:space="0" w:color="auto"/>
              <w:right w:val="single" w:sz="4" w:space="0" w:color="auto"/>
            </w:tcBorders>
            <w:vAlign w:val="center"/>
          </w:tcPr>
          <w:p w14:paraId="3F3FAE47" w14:textId="48E4708D"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12" w:type="dxa"/>
            <w:tcBorders>
              <w:top w:val="single" w:sz="4" w:space="0" w:color="auto"/>
              <w:left w:val="single" w:sz="4" w:space="0" w:color="auto"/>
              <w:bottom w:val="single" w:sz="4" w:space="0" w:color="auto"/>
              <w:right w:val="single" w:sz="4" w:space="0" w:color="auto"/>
            </w:tcBorders>
            <w:vAlign w:val="center"/>
          </w:tcPr>
          <w:p w14:paraId="090DBBE1" w14:textId="1D3AF45B"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52" w:type="dxa"/>
            <w:tcBorders>
              <w:top w:val="single" w:sz="4" w:space="0" w:color="auto"/>
              <w:left w:val="single" w:sz="4" w:space="0" w:color="auto"/>
              <w:bottom w:val="single" w:sz="4" w:space="0" w:color="auto"/>
              <w:right w:val="single" w:sz="4" w:space="0" w:color="auto"/>
            </w:tcBorders>
            <w:vAlign w:val="center"/>
          </w:tcPr>
          <w:p w14:paraId="6EED514C" w14:textId="61B06DC4"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r>
      <w:tr w:rsidR="00D5410F" w:rsidRPr="000D273B" w14:paraId="4D63519C" w14:textId="77777777" w:rsidTr="002475BE">
        <w:trPr>
          <w:trHeight w:val="300"/>
        </w:trPr>
        <w:tc>
          <w:tcPr>
            <w:tcW w:w="553" w:type="dxa"/>
            <w:tcBorders>
              <w:top w:val="single" w:sz="4" w:space="0" w:color="auto"/>
              <w:left w:val="single" w:sz="4" w:space="0" w:color="auto"/>
              <w:bottom w:val="single" w:sz="4" w:space="0" w:color="auto"/>
              <w:right w:val="single" w:sz="4" w:space="0" w:color="auto"/>
            </w:tcBorders>
            <w:vAlign w:val="center"/>
          </w:tcPr>
          <w:p w14:paraId="4918C425" w14:textId="7D909E3B" w:rsidR="00D5410F" w:rsidRPr="00984321" w:rsidRDefault="00D5410F" w:rsidP="00E15F87">
            <w:pPr>
              <w:spacing w:after="0" w:line="240" w:lineRule="auto"/>
              <w:jc w:val="center"/>
              <w:rPr>
                <w:rFonts w:cs="Times New Roman"/>
                <w:sz w:val="20"/>
                <w:szCs w:val="20"/>
                <w:lang w:val="en-US" w:eastAsia="en-GB"/>
              </w:rPr>
            </w:pPr>
            <w:r w:rsidRPr="00984321">
              <w:rPr>
                <w:rFonts w:ascii="Calibri" w:hAnsi="Calibri" w:cs="Calibri"/>
                <w:color w:val="000000"/>
                <w:sz w:val="20"/>
                <w:szCs w:val="20"/>
              </w:rPr>
              <w:t>37</w:t>
            </w:r>
          </w:p>
        </w:tc>
        <w:tc>
          <w:tcPr>
            <w:tcW w:w="845" w:type="dxa"/>
            <w:tcBorders>
              <w:top w:val="single" w:sz="4" w:space="0" w:color="auto"/>
              <w:left w:val="single" w:sz="4" w:space="0" w:color="auto"/>
              <w:bottom w:val="single" w:sz="4" w:space="0" w:color="auto"/>
              <w:right w:val="single" w:sz="4" w:space="0" w:color="auto"/>
            </w:tcBorders>
            <w:vAlign w:val="center"/>
          </w:tcPr>
          <w:p w14:paraId="56298E6A" w14:textId="1E764134" w:rsidR="00D5410F" w:rsidRPr="00984321" w:rsidRDefault="00D5410F" w:rsidP="00E15F87">
            <w:pPr>
              <w:spacing w:after="0" w:line="240" w:lineRule="auto"/>
              <w:jc w:val="center"/>
              <w:rPr>
                <w:rFonts w:cs="Times New Roman"/>
                <w:sz w:val="20"/>
                <w:szCs w:val="20"/>
                <w:lang w:eastAsia="en-GB"/>
              </w:rPr>
            </w:pPr>
            <w:r w:rsidRPr="00984321">
              <w:rPr>
                <w:sz w:val="20"/>
                <w:szCs w:val="20"/>
              </w:rPr>
              <w:t>18</w:t>
            </w:r>
          </w:p>
        </w:tc>
        <w:tc>
          <w:tcPr>
            <w:tcW w:w="729" w:type="dxa"/>
            <w:tcBorders>
              <w:top w:val="single" w:sz="4" w:space="0" w:color="auto"/>
              <w:left w:val="single" w:sz="4" w:space="0" w:color="auto"/>
              <w:bottom w:val="single" w:sz="4" w:space="0" w:color="auto"/>
              <w:right w:val="single" w:sz="4" w:space="0" w:color="auto"/>
            </w:tcBorders>
            <w:noWrap/>
            <w:vAlign w:val="center"/>
          </w:tcPr>
          <w:p w14:paraId="13496395" w14:textId="39B03C30" w:rsidR="00D5410F" w:rsidRPr="00984321" w:rsidRDefault="00D5410F" w:rsidP="00E15F87">
            <w:pPr>
              <w:spacing w:after="0" w:line="240" w:lineRule="auto"/>
              <w:jc w:val="center"/>
              <w:rPr>
                <w:rFonts w:cs="Times New Roman"/>
                <w:sz w:val="20"/>
                <w:szCs w:val="20"/>
                <w:lang w:eastAsia="en-GB"/>
              </w:rPr>
            </w:pPr>
            <w:r w:rsidRPr="00984321">
              <w:rPr>
                <w:sz w:val="20"/>
                <w:szCs w:val="20"/>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017E1443" w14:textId="3901BE2D" w:rsidR="00D5410F" w:rsidRPr="00984321" w:rsidRDefault="00D5410F" w:rsidP="00E15F87">
            <w:pPr>
              <w:spacing w:after="0" w:line="240" w:lineRule="auto"/>
              <w:jc w:val="center"/>
              <w:rPr>
                <w:rFonts w:cs="Times New Roman"/>
                <w:sz w:val="20"/>
                <w:szCs w:val="20"/>
                <w:lang w:eastAsia="en-GB"/>
              </w:rPr>
            </w:pPr>
            <w:r w:rsidRPr="00984321">
              <w:rPr>
                <w:sz w:val="20"/>
                <w:szCs w:val="20"/>
              </w:rPr>
              <w:t>13</w:t>
            </w:r>
          </w:p>
        </w:tc>
        <w:tc>
          <w:tcPr>
            <w:tcW w:w="850" w:type="dxa"/>
            <w:tcBorders>
              <w:top w:val="single" w:sz="4" w:space="0" w:color="auto"/>
              <w:left w:val="single" w:sz="4" w:space="0" w:color="auto"/>
              <w:bottom w:val="single" w:sz="4" w:space="0" w:color="auto"/>
              <w:right w:val="single" w:sz="4" w:space="0" w:color="auto"/>
            </w:tcBorders>
            <w:noWrap/>
            <w:vAlign w:val="center"/>
          </w:tcPr>
          <w:p w14:paraId="5CDC0C9B" w14:textId="4CA18E71" w:rsidR="00D5410F" w:rsidRPr="00984321" w:rsidRDefault="00D5410F" w:rsidP="00E15F87">
            <w:pPr>
              <w:spacing w:after="0" w:line="240" w:lineRule="auto"/>
              <w:jc w:val="center"/>
              <w:rPr>
                <w:rFonts w:cs="Times New Roman"/>
                <w:sz w:val="20"/>
                <w:szCs w:val="20"/>
                <w:lang w:eastAsia="en-GB"/>
              </w:rPr>
            </w:pPr>
            <w:r w:rsidRPr="00984321">
              <w:rPr>
                <w:sz w:val="20"/>
                <w:szCs w:val="20"/>
              </w:rPr>
              <w:t>7</w:t>
            </w:r>
          </w:p>
        </w:tc>
        <w:tc>
          <w:tcPr>
            <w:tcW w:w="2835" w:type="dxa"/>
            <w:tcBorders>
              <w:top w:val="single" w:sz="4" w:space="0" w:color="auto"/>
              <w:left w:val="single" w:sz="4" w:space="0" w:color="auto"/>
              <w:bottom w:val="single" w:sz="4" w:space="0" w:color="auto"/>
              <w:right w:val="single" w:sz="4" w:space="0" w:color="auto"/>
            </w:tcBorders>
            <w:vAlign w:val="center"/>
          </w:tcPr>
          <w:p w14:paraId="00DC6DFB" w14:textId="291623B2" w:rsidR="00D5410F" w:rsidRPr="00984321" w:rsidRDefault="00E15F87" w:rsidP="00E15F87">
            <w:pPr>
              <w:spacing w:after="0" w:line="240" w:lineRule="auto"/>
              <w:jc w:val="center"/>
              <w:rPr>
                <w:rFonts w:cs="Times New Roman"/>
                <w:sz w:val="20"/>
                <w:szCs w:val="20"/>
                <w:lang w:val="en-US" w:eastAsia="en-GB"/>
              </w:rPr>
            </w:pPr>
            <w:r>
              <w:rPr>
                <w:rFonts w:cs="Times New Roman"/>
                <w:sz w:val="20"/>
                <w:szCs w:val="20"/>
                <w:lang w:val="en-US" w:eastAsia="en-GB"/>
              </w:rPr>
              <w:t>DAI (L/RT)</w:t>
            </w:r>
          </w:p>
        </w:tc>
        <w:tc>
          <w:tcPr>
            <w:tcW w:w="851" w:type="dxa"/>
            <w:tcBorders>
              <w:top w:val="single" w:sz="4" w:space="0" w:color="auto"/>
              <w:left w:val="single" w:sz="4" w:space="0" w:color="auto"/>
              <w:bottom w:val="single" w:sz="4" w:space="0" w:color="auto"/>
              <w:right w:val="single" w:sz="4" w:space="0" w:color="auto"/>
            </w:tcBorders>
            <w:noWrap/>
            <w:vAlign w:val="center"/>
          </w:tcPr>
          <w:p w14:paraId="2373E2B1" w14:textId="0A2684A1"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996" w:type="dxa"/>
            <w:tcBorders>
              <w:top w:val="single" w:sz="4" w:space="0" w:color="auto"/>
              <w:left w:val="single" w:sz="4" w:space="0" w:color="auto"/>
              <w:bottom w:val="single" w:sz="4" w:space="0" w:color="auto"/>
              <w:right w:val="single" w:sz="4" w:space="0" w:color="auto"/>
            </w:tcBorders>
            <w:vAlign w:val="center"/>
          </w:tcPr>
          <w:p w14:paraId="2FCC7619" w14:textId="5439CD85"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w:t>
            </w:r>
          </w:p>
        </w:tc>
        <w:tc>
          <w:tcPr>
            <w:tcW w:w="1112" w:type="dxa"/>
            <w:tcBorders>
              <w:top w:val="single" w:sz="4" w:space="0" w:color="auto"/>
              <w:left w:val="single" w:sz="4" w:space="0" w:color="auto"/>
              <w:bottom w:val="single" w:sz="4" w:space="0" w:color="auto"/>
              <w:right w:val="single" w:sz="4" w:space="0" w:color="auto"/>
            </w:tcBorders>
            <w:vAlign w:val="center"/>
          </w:tcPr>
          <w:p w14:paraId="51DB5B3C" w14:textId="762DBA08"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c>
          <w:tcPr>
            <w:tcW w:w="1152" w:type="dxa"/>
            <w:tcBorders>
              <w:top w:val="single" w:sz="4" w:space="0" w:color="auto"/>
              <w:left w:val="single" w:sz="4" w:space="0" w:color="auto"/>
              <w:bottom w:val="single" w:sz="4" w:space="0" w:color="auto"/>
              <w:right w:val="single" w:sz="4" w:space="0" w:color="auto"/>
            </w:tcBorders>
            <w:vAlign w:val="center"/>
          </w:tcPr>
          <w:p w14:paraId="6747ED31" w14:textId="5955BF56" w:rsidR="00D5410F" w:rsidRPr="00984321" w:rsidRDefault="00D5410F" w:rsidP="00E15F87">
            <w:pPr>
              <w:spacing w:after="0" w:line="240" w:lineRule="auto"/>
              <w:jc w:val="center"/>
              <w:rPr>
                <w:rFonts w:cs="Times New Roman"/>
                <w:sz w:val="20"/>
                <w:szCs w:val="20"/>
                <w:lang w:val="en-US" w:eastAsia="en-GB"/>
              </w:rPr>
            </w:pPr>
            <w:r w:rsidRPr="00984321">
              <w:rPr>
                <w:sz w:val="20"/>
                <w:szCs w:val="20"/>
              </w:rPr>
              <w:t>yes</w:t>
            </w:r>
          </w:p>
        </w:tc>
      </w:tr>
    </w:tbl>
    <w:p w14:paraId="09C0694A" w14:textId="7E8267EE" w:rsidR="001C40F0" w:rsidRPr="00C4072F" w:rsidRDefault="001C40F0" w:rsidP="00C4072F">
      <w:pPr>
        <w:spacing w:before="240" w:line="240" w:lineRule="auto"/>
        <w:ind w:left="-851" w:right="-755"/>
        <w:rPr>
          <w:sz w:val="22"/>
        </w:rPr>
      </w:pPr>
      <w:r w:rsidRPr="006E38EA">
        <w:rPr>
          <w:rFonts w:cs="Times New Roman"/>
          <w:sz w:val="22"/>
          <w:lang w:val="en-US"/>
        </w:rPr>
        <w:t xml:space="preserve">Abbreviations; L: Left and R: Right hemisphere, </w:t>
      </w:r>
      <w:r w:rsidR="000D273B" w:rsidRPr="006E38EA">
        <w:rPr>
          <w:rFonts w:cs="Times New Roman"/>
          <w:sz w:val="22"/>
          <w:lang w:val="en-US"/>
        </w:rPr>
        <w:t xml:space="preserve">T: Temporal, F: Frontal, </w:t>
      </w:r>
      <w:r w:rsidRPr="006E38EA">
        <w:rPr>
          <w:rFonts w:cs="Times New Roman"/>
          <w:sz w:val="22"/>
          <w:lang w:val="en-US"/>
        </w:rPr>
        <w:t xml:space="preserve">GCS: Glasgow Coma Scale, DAI: </w:t>
      </w:r>
      <w:r w:rsidR="00EE6D93" w:rsidRPr="006E38EA">
        <w:rPr>
          <w:rFonts w:cs="Times New Roman"/>
          <w:sz w:val="22"/>
          <w:lang w:val="en-US"/>
        </w:rPr>
        <w:t>1-3 chronic hemorrhagic foci resulting from diffuse axonal injuries</w:t>
      </w:r>
      <w:r w:rsidR="00D5410F" w:rsidRPr="006E38EA">
        <w:rPr>
          <w:rFonts w:cs="Times New Roman"/>
          <w:sz w:val="22"/>
          <w:lang w:val="en-US"/>
        </w:rPr>
        <w:t xml:space="preserve">, C: </w:t>
      </w:r>
      <w:r w:rsidR="00EE6D93" w:rsidRPr="006E38EA">
        <w:rPr>
          <w:rFonts w:cs="Times New Roman"/>
          <w:sz w:val="22"/>
          <w:lang w:val="en-US"/>
        </w:rPr>
        <w:t xml:space="preserve">gliotic areas due to contusions&lt;=3cm, </w:t>
      </w:r>
      <w:r w:rsidR="00E15F87" w:rsidRPr="006E38EA">
        <w:rPr>
          <w:rFonts w:cs="Times New Roman"/>
          <w:sz w:val="22"/>
          <w:lang w:val="en-US"/>
        </w:rPr>
        <w:t>Edu: Education in years, TPI: Time post injury in months.</w:t>
      </w:r>
      <w:r w:rsidR="00E15F87">
        <w:rPr>
          <w:rFonts w:cs="Times New Roman"/>
          <w:sz w:val="22"/>
          <w:lang w:val="en-US"/>
        </w:rPr>
        <w:t xml:space="preserve"> </w:t>
      </w:r>
    </w:p>
    <w:p w14:paraId="243EDD13" w14:textId="70E30EE0" w:rsidR="00EC7416" w:rsidRPr="007675D7" w:rsidRDefault="00A566CB" w:rsidP="000D273B">
      <w:pPr>
        <w:pStyle w:val="Heading1"/>
        <w:spacing w:after="0" w:line="276" w:lineRule="auto"/>
      </w:pPr>
      <w:r w:rsidRPr="007675D7">
        <w:t xml:space="preserve">Supplementary </w:t>
      </w:r>
      <w:r w:rsidR="007354E5" w:rsidRPr="007675D7">
        <w:t>References</w:t>
      </w:r>
    </w:p>
    <w:p w14:paraId="292B901F" w14:textId="0A63247C" w:rsidR="00EA2DE3" w:rsidRPr="00EA2DE3" w:rsidRDefault="00EC7416" w:rsidP="00EA2DE3">
      <w:pPr>
        <w:widowControl w:val="0"/>
        <w:autoSpaceDE w:val="0"/>
        <w:autoSpaceDN w:val="0"/>
        <w:adjustRightInd w:val="0"/>
        <w:spacing w:after="120" w:line="240" w:lineRule="auto"/>
        <w:ind w:left="480" w:hanging="480"/>
        <w:rPr>
          <w:rFonts w:cs="Times New Roman"/>
          <w:noProof/>
          <w:szCs w:val="24"/>
        </w:rPr>
      </w:pPr>
      <w:r w:rsidRPr="00EC7416">
        <w:rPr>
          <w:color w:val="000000" w:themeColor="text1"/>
          <w:szCs w:val="24"/>
        </w:rPr>
        <w:fldChar w:fldCharType="begin" w:fldLock="1"/>
      </w:r>
      <w:r w:rsidRPr="00EC7416">
        <w:rPr>
          <w:color w:val="000000" w:themeColor="text1"/>
          <w:szCs w:val="24"/>
        </w:rPr>
        <w:instrText xml:space="preserve">ADDIN Mendeley Bibliography CSL_BIBLIOGRAPHY </w:instrText>
      </w:r>
      <w:r w:rsidRPr="00EC7416">
        <w:rPr>
          <w:color w:val="000000" w:themeColor="text1"/>
          <w:szCs w:val="24"/>
        </w:rPr>
        <w:fldChar w:fldCharType="separate"/>
      </w:r>
      <w:r w:rsidR="00EA2DE3" w:rsidRPr="00EA2DE3">
        <w:rPr>
          <w:rFonts w:cs="Times New Roman"/>
          <w:noProof/>
          <w:szCs w:val="24"/>
        </w:rPr>
        <w:t xml:space="preserve">Antonakakis, Marios et al. 2016. “Altered Cross-Frequency Coupling in Resting-State MEG after Mild Traumatic Brain Injury.” </w:t>
      </w:r>
      <w:r w:rsidR="00EA2DE3" w:rsidRPr="00EA2DE3">
        <w:rPr>
          <w:rFonts w:cs="Times New Roman"/>
          <w:i/>
          <w:iCs/>
          <w:noProof/>
          <w:szCs w:val="24"/>
        </w:rPr>
        <w:t>International Journal of Psychophysiology</w:t>
      </w:r>
      <w:r w:rsidR="00EA2DE3" w:rsidRPr="00EA2DE3">
        <w:rPr>
          <w:rFonts w:cs="Times New Roman"/>
          <w:noProof/>
          <w:szCs w:val="24"/>
        </w:rPr>
        <w:t xml:space="preserve"> 102: 1–11. http://dx.doi.org/10.1016/j.ijpsycho.2016.02.002.</w:t>
      </w:r>
    </w:p>
    <w:p w14:paraId="0744B601" w14:textId="77777777" w:rsidR="00EA2DE3" w:rsidRPr="00EA2DE3" w:rsidRDefault="00EA2DE3" w:rsidP="00EA2DE3">
      <w:pPr>
        <w:widowControl w:val="0"/>
        <w:autoSpaceDE w:val="0"/>
        <w:autoSpaceDN w:val="0"/>
        <w:adjustRightInd w:val="0"/>
        <w:spacing w:after="120" w:line="240" w:lineRule="auto"/>
        <w:ind w:left="480" w:hanging="480"/>
        <w:rPr>
          <w:rFonts w:cs="Times New Roman"/>
          <w:noProof/>
          <w:szCs w:val="24"/>
        </w:rPr>
      </w:pPr>
      <w:r w:rsidRPr="00EA2DE3">
        <w:rPr>
          <w:rFonts w:cs="Times New Roman"/>
          <w:noProof/>
          <w:szCs w:val="24"/>
        </w:rPr>
        <w:t xml:space="preserve">Barttfelda, Pablo et al. 2015. “Signature of Consciousness in the Dynamics of Resting-State Brain Activity.” </w:t>
      </w:r>
      <w:r w:rsidRPr="00EA2DE3">
        <w:rPr>
          <w:rFonts w:cs="Times New Roman"/>
          <w:i/>
          <w:iCs/>
          <w:noProof/>
          <w:szCs w:val="24"/>
        </w:rPr>
        <w:t>Proceedings of the National Academy of Sciences of the United States of America</w:t>
      </w:r>
      <w:r w:rsidRPr="00EA2DE3">
        <w:rPr>
          <w:rFonts w:cs="Times New Roman"/>
          <w:noProof/>
          <w:szCs w:val="24"/>
        </w:rPr>
        <w:t xml:space="preserve"> 112(3): 887–92.</w:t>
      </w:r>
    </w:p>
    <w:p w14:paraId="7206F570" w14:textId="77777777" w:rsidR="00EA2DE3" w:rsidRPr="00EA2DE3" w:rsidRDefault="00EA2DE3" w:rsidP="00EA2DE3">
      <w:pPr>
        <w:widowControl w:val="0"/>
        <w:autoSpaceDE w:val="0"/>
        <w:autoSpaceDN w:val="0"/>
        <w:adjustRightInd w:val="0"/>
        <w:spacing w:after="120" w:line="240" w:lineRule="auto"/>
        <w:ind w:left="480" w:hanging="480"/>
        <w:rPr>
          <w:rFonts w:cs="Times New Roman"/>
          <w:noProof/>
          <w:szCs w:val="24"/>
        </w:rPr>
      </w:pPr>
      <w:r w:rsidRPr="00EA2DE3">
        <w:rPr>
          <w:rFonts w:cs="Times New Roman"/>
          <w:noProof/>
          <w:szCs w:val="24"/>
        </w:rPr>
        <w:t xml:space="preserve">Bassett, Danielle S., and Edward T. Bullmore. 2017. “Small-World Brain Networks Revisited.” </w:t>
      </w:r>
      <w:r w:rsidRPr="00EA2DE3">
        <w:rPr>
          <w:rFonts w:cs="Times New Roman"/>
          <w:i/>
          <w:iCs/>
          <w:noProof/>
          <w:szCs w:val="24"/>
        </w:rPr>
        <w:t>Neuroscientist</w:t>
      </w:r>
      <w:r w:rsidRPr="00EA2DE3">
        <w:rPr>
          <w:rFonts w:cs="Times New Roman"/>
          <w:noProof/>
          <w:szCs w:val="24"/>
        </w:rPr>
        <w:t xml:space="preserve"> 23(5): 499–516.</w:t>
      </w:r>
    </w:p>
    <w:p w14:paraId="1002C8EB" w14:textId="77777777" w:rsidR="00EA2DE3" w:rsidRPr="00EA2DE3" w:rsidRDefault="00EA2DE3" w:rsidP="00EA2DE3">
      <w:pPr>
        <w:widowControl w:val="0"/>
        <w:autoSpaceDE w:val="0"/>
        <w:autoSpaceDN w:val="0"/>
        <w:adjustRightInd w:val="0"/>
        <w:spacing w:after="120" w:line="240" w:lineRule="auto"/>
        <w:ind w:left="480" w:hanging="480"/>
        <w:rPr>
          <w:rFonts w:cs="Times New Roman"/>
          <w:noProof/>
          <w:szCs w:val="24"/>
        </w:rPr>
      </w:pPr>
      <w:r w:rsidRPr="00EA2DE3">
        <w:rPr>
          <w:rFonts w:cs="Times New Roman"/>
          <w:noProof/>
          <w:szCs w:val="24"/>
        </w:rPr>
        <w:t xml:space="preserve">Dimitriadis, Stavros I., Marios Antonakakis, et al. 2017. “Data-Driven Topological Filtering Based on Orthogonal Minimal Spanning Trees: Application to Multigroup Magnetoencephalography Resting-State Connectivity.” </w:t>
      </w:r>
      <w:r w:rsidRPr="00EA2DE3">
        <w:rPr>
          <w:rFonts w:cs="Times New Roman"/>
          <w:i/>
          <w:iCs/>
          <w:noProof/>
          <w:szCs w:val="24"/>
        </w:rPr>
        <w:t>Brain Connectivity</w:t>
      </w:r>
      <w:r w:rsidRPr="00EA2DE3">
        <w:rPr>
          <w:rFonts w:cs="Times New Roman"/>
          <w:noProof/>
          <w:szCs w:val="24"/>
        </w:rPr>
        <w:t xml:space="preserve"> 7(10): 661–70.</w:t>
      </w:r>
    </w:p>
    <w:p w14:paraId="55E2A354" w14:textId="77777777" w:rsidR="00EA2DE3" w:rsidRPr="00EA2DE3" w:rsidRDefault="00EA2DE3" w:rsidP="00EA2DE3">
      <w:pPr>
        <w:widowControl w:val="0"/>
        <w:autoSpaceDE w:val="0"/>
        <w:autoSpaceDN w:val="0"/>
        <w:adjustRightInd w:val="0"/>
        <w:spacing w:after="120" w:line="240" w:lineRule="auto"/>
        <w:ind w:left="480" w:hanging="480"/>
        <w:rPr>
          <w:rFonts w:cs="Times New Roman"/>
          <w:noProof/>
          <w:szCs w:val="24"/>
        </w:rPr>
      </w:pPr>
      <w:r w:rsidRPr="00EA2DE3">
        <w:rPr>
          <w:rFonts w:cs="Times New Roman"/>
          <w:noProof/>
          <w:szCs w:val="24"/>
        </w:rPr>
        <w:t xml:space="preserve">Dimitriadis, Stavros I., Bethany Routley, David E. Linden, and Krish D. Singh. 2018. </w:t>
      </w:r>
      <w:r w:rsidRPr="00EA2DE3">
        <w:rPr>
          <w:rFonts w:cs="Times New Roman"/>
          <w:noProof/>
          <w:szCs w:val="24"/>
        </w:rPr>
        <w:lastRenderedPageBreak/>
        <w:t xml:space="preserve">“Reliability of Static and Dynamic Network Metrics in the Resting-State: A MEG-Beamformed Connectivity Analysis.” </w:t>
      </w:r>
      <w:r w:rsidRPr="00EA2DE3">
        <w:rPr>
          <w:rFonts w:cs="Times New Roman"/>
          <w:i/>
          <w:iCs/>
          <w:noProof/>
          <w:szCs w:val="24"/>
        </w:rPr>
        <w:t>Frontiers in Neuroscience</w:t>
      </w:r>
      <w:r w:rsidRPr="00EA2DE3">
        <w:rPr>
          <w:rFonts w:cs="Times New Roman"/>
          <w:noProof/>
          <w:szCs w:val="24"/>
        </w:rPr>
        <w:t xml:space="preserve"> 12(AUG).</w:t>
      </w:r>
    </w:p>
    <w:p w14:paraId="72A0C40D" w14:textId="77777777" w:rsidR="00EA2DE3" w:rsidRPr="00EA2DE3" w:rsidRDefault="00EA2DE3" w:rsidP="00EA2DE3">
      <w:pPr>
        <w:widowControl w:val="0"/>
        <w:autoSpaceDE w:val="0"/>
        <w:autoSpaceDN w:val="0"/>
        <w:adjustRightInd w:val="0"/>
        <w:spacing w:after="120" w:line="240" w:lineRule="auto"/>
        <w:ind w:left="480" w:hanging="480"/>
        <w:rPr>
          <w:rFonts w:cs="Times New Roman"/>
          <w:noProof/>
          <w:szCs w:val="24"/>
        </w:rPr>
      </w:pPr>
      <w:r w:rsidRPr="00EA2DE3">
        <w:rPr>
          <w:rFonts w:cs="Times New Roman"/>
          <w:noProof/>
          <w:szCs w:val="24"/>
        </w:rPr>
        <w:t xml:space="preserve">Dimitriadis, Stavros I., Christos Salis, Ioannis Tarnanas, and David E. Linden. 2017. “Topological Filtering of Dynamic Functional Brain Networks Unfolds Informative Chronnectomics: A Novel Data-Driven Thresholding Scheme Based on Orthogonal Minimal Spanning Trees (OMSTs).” </w:t>
      </w:r>
      <w:r w:rsidRPr="00EA2DE3">
        <w:rPr>
          <w:rFonts w:cs="Times New Roman"/>
          <w:i/>
          <w:iCs/>
          <w:noProof/>
          <w:szCs w:val="24"/>
        </w:rPr>
        <w:t>Frontiers in Neuroinformatics</w:t>
      </w:r>
      <w:r w:rsidRPr="00EA2DE3">
        <w:rPr>
          <w:rFonts w:cs="Times New Roman"/>
          <w:noProof/>
          <w:szCs w:val="24"/>
        </w:rPr>
        <w:t xml:space="preserve"> 11(April).</w:t>
      </w:r>
    </w:p>
    <w:p w14:paraId="1C8E0E33" w14:textId="77777777" w:rsidR="00EA2DE3" w:rsidRPr="00EA2DE3" w:rsidRDefault="00EA2DE3" w:rsidP="00EA2DE3">
      <w:pPr>
        <w:widowControl w:val="0"/>
        <w:autoSpaceDE w:val="0"/>
        <w:autoSpaceDN w:val="0"/>
        <w:adjustRightInd w:val="0"/>
        <w:spacing w:after="120" w:line="240" w:lineRule="auto"/>
        <w:ind w:left="480" w:hanging="480"/>
        <w:rPr>
          <w:rFonts w:cs="Times New Roman"/>
          <w:noProof/>
          <w:szCs w:val="24"/>
        </w:rPr>
      </w:pPr>
      <w:r w:rsidRPr="00EA2DE3">
        <w:rPr>
          <w:rFonts w:cs="Times New Roman"/>
          <w:noProof/>
          <w:szCs w:val="24"/>
        </w:rPr>
        <w:t xml:space="preserve">Fukushima, Makoto et al. 2018. “Structure–Function Relationships during Segregated and Integrated Network States of Human Brain Functional Connectivity.” </w:t>
      </w:r>
      <w:r w:rsidRPr="00EA2DE3">
        <w:rPr>
          <w:rFonts w:cs="Times New Roman"/>
          <w:i/>
          <w:iCs/>
          <w:noProof/>
          <w:szCs w:val="24"/>
        </w:rPr>
        <w:t>Brain Structure and Function</w:t>
      </w:r>
      <w:r w:rsidRPr="00EA2DE3">
        <w:rPr>
          <w:rFonts w:cs="Times New Roman"/>
          <w:noProof/>
          <w:szCs w:val="24"/>
        </w:rPr>
        <w:t xml:space="preserve"> 223(3): 1091–1106.</w:t>
      </w:r>
    </w:p>
    <w:p w14:paraId="10C38E86" w14:textId="77777777" w:rsidR="00EA2DE3" w:rsidRPr="00EA2DE3" w:rsidRDefault="00EA2DE3" w:rsidP="00EA2DE3">
      <w:pPr>
        <w:widowControl w:val="0"/>
        <w:autoSpaceDE w:val="0"/>
        <w:autoSpaceDN w:val="0"/>
        <w:adjustRightInd w:val="0"/>
        <w:spacing w:after="120" w:line="240" w:lineRule="auto"/>
        <w:ind w:left="480" w:hanging="480"/>
        <w:rPr>
          <w:rFonts w:cs="Times New Roman"/>
          <w:noProof/>
          <w:szCs w:val="24"/>
        </w:rPr>
      </w:pPr>
      <w:r w:rsidRPr="00EA2DE3">
        <w:rPr>
          <w:rFonts w:cs="Times New Roman"/>
          <w:noProof/>
          <w:szCs w:val="24"/>
        </w:rPr>
        <w:t xml:space="preserve">Huang, Danqing et al. 2021. “Childhood Trauma Is Linked to Decreased Temporal Stability of Functional Brain Networks in Young Adults.” </w:t>
      </w:r>
      <w:r w:rsidRPr="00EA2DE3">
        <w:rPr>
          <w:rFonts w:cs="Times New Roman"/>
          <w:i/>
          <w:iCs/>
          <w:noProof/>
          <w:szCs w:val="24"/>
        </w:rPr>
        <w:t>Journal of Affective Disorders</w:t>
      </w:r>
      <w:r w:rsidRPr="00EA2DE3">
        <w:rPr>
          <w:rFonts w:cs="Times New Roman"/>
          <w:noProof/>
          <w:szCs w:val="24"/>
        </w:rPr>
        <w:t xml:space="preserve"> 290(May): 23–30. https://doi.org/10.1016/j.jad.2021.04.061.</w:t>
      </w:r>
    </w:p>
    <w:p w14:paraId="393F75E9" w14:textId="77777777" w:rsidR="00EA2DE3" w:rsidRPr="00EA2DE3" w:rsidRDefault="00EA2DE3" w:rsidP="00EA2DE3">
      <w:pPr>
        <w:widowControl w:val="0"/>
        <w:autoSpaceDE w:val="0"/>
        <w:autoSpaceDN w:val="0"/>
        <w:adjustRightInd w:val="0"/>
        <w:spacing w:after="120" w:line="240" w:lineRule="auto"/>
        <w:ind w:left="480" w:hanging="480"/>
        <w:rPr>
          <w:rFonts w:cs="Times New Roman"/>
          <w:noProof/>
          <w:szCs w:val="24"/>
        </w:rPr>
      </w:pPr>
      <w:r w:rsidRPr="00EA2DE3">
        <w:rPr>
          <w:rFonts w:cs="Times New Roman"/>
          <w:noProof/>
          <w:szCs w:val="24"/>
        </w:rPr>
        <w:t xml:space="preserve">Long, Yicheng et al. 2019. “Psychological Resilience Negatively Correlates with Resting-State Brain Network Flexibility in Young Healthy Adults: A Dynamic Functional Magnetic Resonance Imaging Study.” </w:t>
      </w:r>
      <w:r w:rsidRPr="00EA2DE3">
        <w:rPr>
          <w:rFonts w:cs="Times New Roman"/>
          <w:i/>
          <w:iCs/>
          <w:noProof/>
          <w:szCs w:val="24"/>
        </w:rPr>
        <w:t>Annals of Translational Medicine</w:t>
      </w:r>
      <w:r w:rsidRPr="00EA2DE3">
        <w:rPr>
          <w:rFonts w:cs="Times New Roman"/>
          <w:noProof/>
          <w:szCs w:val="24"/>
        </w:rPr>
        <w:t xml:space="preserve"> 7(24): 809–809.</w:t>
      </w:r>
    </w:p>
    <w:p w14:paraId="529B2D35" w14:textId="77777777" w:rsidR="00EA2DE3" w:rsidRPr="00EA2DE3" w:rsidRDefault="00EA2DE3" w:rsidP="00EA2DE3">
      <w:pPr>
        <w:widowControl w:val="0"/>
        <w:autoSpaceDE w:val="0"/>
        <w:autoSpaceDN w:val="0"/>
        <w:adjustRightInd w:val="0"/>
        <w:spacing w:after="120" w:line="240" w:lineRule="auto"/>
        <w:ind w:left="480" w:hanging="480"/>
        <w:rPr>
          <w:rFonts w:cs="Times New Roman"/>
          <w:noProof/>
          <w:szCs w:val="24"/>
        </w:rPr>
      </w:pPr>
      <w:r w:rsidRPr="00EA2DE3">
        <w:rPr>
          <w:rFonts w:cs="Times New Roman"/>
          <w:noProof/>
          <w:szCs w:val="24"/>
        </w:rPr>
        <w:t xml:space="preserve">Luppi, Andrea I. et al. 2019. “Consciousness-Specific Dynamic Interactions of Brain Integration and Functional Diversity.” </w:t>
      </w:r>
      <w:r w:rsidRPr="00EA2DE3">
        <w:rPr>
          <w:rFonts w:cs="Times New Roman"/>
          <w:i/>
          <w:iCs/>
          <w:noProof/>
          <w:szCs w:val="24"/>
        </w:rPr>
        <w:t>Nature Communications</w:t>
      </w:r>
      <w:r w:rsidRPr="00EA2DE3">
        <w:rPr>
          <w:rFonts w:cs="Times New Roman"/>
          <w:noProof/>
          <w:szCs w:val="24"/>
        </w:rPr>
        <w:t xml:space="preserve"> 10(1). http://dx.doi.org/10.1038/s41467-019-12658-9.</w:t>
      </w:r>
    </w:p>
    <w:p w14:paraId="2622219F" w14:textId="77777777" w:rsidR="00EA2DE3" w:rsidRPr="00EA2DE3" w:rsidRDefault="00EA2DE3" w:rsidP="00EA2DE3">
      <w:pPr>
        <w:widowControl w:val="0"/>
        <w:autoSpaceDE w:val="0"/>
        <w:autoSpaceDN w:val="0"/>
        <w:adjustRightInd w:val="0"/>
        <w:spacing w:after="120" w:line="240" w:lineRule="auto"/>
        <w:ind w:left="480" w:hanging="480"/>
        <w:rPr>
          <w:rFonts w:cs="Times New Roman"/>
          <w:noProof/>
          <w:szCs w:val="24"/>
        </w:rPr>
      </w:pPr>
      <w:r w:rsidRPr="00EA2DE3">
        <w:rPr>
          <w:rFonts w:cs="Times New Roman"/>
          <w:noProof/>
          <w:szCs w:val="24"/>
        </w:rPr>
        <w:t xml:space="preserve">Luppi, Andrea I., Robin L. Carhart-Harris, et al. 2021. “LSD Alters Dynamic Integration and Segregation in the Human Brain.” </w:t>
      </w:r>
      <w:r w:rsidRPr="00EA2DE3">
        <w:rPr>
          <w:rFonts w:cs="Times New Roman"/>
          <w:i/>
          <w:iCs/>
          <w:noProof/>
          <w:szCs w:val="24"/>
        </w:rPr>
        <w:t>NeuroImage</w:t>
      </w:r>
      <w:r w:rsidRPr="00EA2DE3">
        <w:rPr>
          <w:rFonts w:cs="Times New Roman"/>
          <w:noProof/>
          <w:szCs w:val="24"/>
        </w:rPr>
        <w:t xml:space="preserve"> 227(November 2020).</w:t>
      </w:r>
    </w:p>
    <w:p w14:paraId="0670A2AA" w14:textId="77777777" w:rsidR="00EA2DE3" w:rsidRPr="00EA2DE3" w:rsidRDefault="00EA2DE3" w:rsidP="00EA2DE3">
      <w:pPr>
        <w:widowControl w:val="0"/>
        <w:autoSpaceDE w:val="0"/>
        <w:autoSpaceDN w:val="0"/>
        <w:adjustRightInd w:val="0"/>
        <w:spacing w:after="120" w:line="240" w:lineRule="auto"/>
        <w:ind w:left="480" w:hanging="480"/>
        <w:rPr>
          <w:rFonts w:cs="Times New Roman"/>
          <w:noProof/>
          <w:szCs w:val="24"/>
        </w:rPr>
      </w:pPr>
      <w:r w:rsidRPr="00EA2DE3">
        <w:rPr>
          <w:rFonts w:cs="Times New Roman"/>
          <w:noProof/>
          <w:szCs w:val="24"/>
        </w:rPr>
        <w:t xml:space="preserve">Luppi, Andrea I, Helena M Gellersen, et al. 2021. “Searching for Consistent Brain Network Topologies Across the Garden of (Shortest) Forking Paths.” </w:t>
      </w:r>
      <w:r w:rsidRPr="00EA2DE3">
        <w:rPr>
          <w:rFonts w:cs="Times New Roman"/>
          <w:i/>
          <w:iCs/>
          <w:noProof/>
          <w:szCs w:val="24"/>
        </w:rPr>
        <w:t>bioRxiv</w:t>
      </w:r>
      <w:r w:rsidRPr="00EA2DE3">
        <w:rPr>
          <w:rFonts w:cs="Times New Roman"/>
          <w:noProof/>
          <w:szCs w:val="24"/>
        </w:rPr>
        <w:t>: 2021.07.13.452257. https://www.biorxiv.org/content/10.1101/2021.07.13.452257v1%0Ahttps://www.biorxiv.org/content/10.1101/2021.07.13.452257v1.abstract.</w:t>
      </w:r>
    </w:p>
    <w:p w14:paraId="2A1CF554" w14:textId="77777777" w:rsidR="00EA2DE3" w:rsidRPr="00EA2DE3" w:rsidRDefault="00EA2DE3" w:rsidP="00EA2DE3">
      <w:pPr>
        <w:widowControl w:val="0"/>
        <w:autoSpaceDE w:val="0"/>
        <w:autoSpaceDN w:val="0"/>
        <w:adjustRightInd w:val="0"/>
        <w:spacing w:after="120" w:line="240" w:lineRule="auto"/>
        <w:ind w:left="480" w:hanging="480"/>
        <w:rPr>
          <w:rFonts w:cs="Times New Roman"/>
          <w:noProof/>
          <w:szCs w:val="24"/>
        </w:rPr>
      </w:pPr>
      <w:r w:rsidRPr="00EA2DE3">
        <w:rPr>
          <w:rFonts w:cs="Times New Roman"/>
          <w:noProof/>
          <w:szCs w:val="24"/>
        </w:rPr>
        <w:t xml:space="preserve">Muldoon, Sarah Feldt, Eric W. Bridgeford, and Danielle S. Bassett. 2016. “Small-World Propensity and Weighted Brain Networks.” </w:t>
      </w:r>
      <w:r w:rsidRPr="00EA2DE3">
        <w:rPr>
          <w:rFonts w:cs="Times New Roman"/>
          <w:i/>
          <w:iCs/>
          <w:noProof/>
          <w:szCs w:val="24"/>
        </w:rPr>
        <w:t>Scientific Reports</w:t>
      </w:r>
      <w:r w:rsidRPr="00EA2DE3">
        <w:rPr>
          <w:rFonts w:cs="Times New Roman"/>
          <w:noProof/>
          <w:szCs w:val="24"/>
        </w:rPr>
        <w:t xml:space="preserve"> 6(February): 1–13. http://dx.doi.org/10.1038/srep22057.</w:t>
      </w:r>
    </w:p>
    <w:p w14:paraId="33FC5961" w14:textId="77777777" w:rsidR="00EA2DE3" w:rsidRPr="00EA2DE3" w:rsidRDefault="00EA2DE3" w:rsidP="00EA2DE3">
      <w:pPr>
        <w:widowControl w:val="0"/>
        <w:autoSpaceDE w:val="0"/>
        <w:autoSpaceDN w:val="0"/>
        <w:adjustRightInd w:val="0"/>
        <w:spacing w:after="120" w:line="240" w:lineRule="auto"/>
        <w:ind w:left="480" w:hanging="480"/>
        <w:rPr>
          <w:rFonts w:cs="Times New Roman"/>
          <w:noProof/>
          <w:szCs w:val="24"/>
        </w:rPr>
      </w:pPr>
      <w:r w:rsidRPr="00EA2DE3">
        <w:rPr>
          <w:rFonts w:cs="Times New Roman"/>
          <w:noProof/>
          <w:szCs w:val="24"/>
        </w:rPr>
        <w:t xml:space="preserve">Newman, M. E.J. 2004. “Fast Algorithm for Detecting Community Structure in Networks.” </w:t>
      </w:r>
      <w:r w:rsidRPr="00EA2DE3">
        <w:rPr>
          <w:rFonts w:cs="Times New Roman"/>
          <w:i/>
          <w:iCs/>
          <w:noProof/>
          <w:szCs w:val="24"/>
        </w:rPr>
        <w:t>Physical Review E - Statistical Physics, Plasmas, Fluids, and Related Interdisciplinary Topics</w:t>
      </w:r>
      <w:r w:rsidRPr="00EA2DE3">
        <w:rPr>
          <w:rFonts w:cs="Times New Roman"/>
          <w:noProof/>
          <w:szCs w:val="24"/>
        </w:rPr>
        <w:t xml:space="preserve"> 69(6): 5.</w:t>
      </w:r>
    </w:p>
    <w:p w14:paraId="72FDAB1D" w14:textId="77777777" w:rsidR="00EA2DE3" w:rsidRPr="00EA2DE3" w:rsidRDefault="00EA2DE3" w:rsidP="00EA2DE3">
      <w:pPr>
        <w:widowControl w:val="0"/>
        <w:autoSpaceDE w:val="0"/>
        <w:autoSpaceDN w:val="0"/>
        <w:adjustRightInd w:val="0"/>
        <w:spacing w:after="120" w:line="240" w:lineRule="auto"/>
        <w:ind w:left="480" w:hanging="480"/>
        <w:rPr>
          <w:rFonts w:cs="Times New Roman"/>
          <w:noProof/>
          <w:szCs w:val="24"/>
        </w:rPr>
      </w:pPr>
      <w:r w:rsidRPr="00EA2DE3">
        <w:rPr>
          <w:rFonts w:cs="Times New Roman"/>
          <w:noProof/>
          <w:szCs w:val="24"/>
        </w:rPr>
        <w:t xml:space="preserve">Pedersen, Mangor, Andrew Zalesky, Amir Omidvarnia, and Graeme D. Jackson. 2018. “Multilayer Network Switching Rate Predicts Brain Performance.” </w:t>
      </w:r>
      <w:r w:rsidRPr="00EA2DE3">
        <w:rPr>
          <w:rFonts w:cs="Times New Roman"/>
          <w:i/>
          <w:iCs/>
          <w:noProof/>
          <w:szCs w:val="24"/>
        </w:rPr>
        <w:t>Proceedings of the National Academy of Sciences of the United States of America</w:t>
      </w:r>
      <w:r w:rsidRPr="00EA2DE3">
        <w:rPr>
          <w:rFonts w:cs="Times New Roman"/>
          <w:noProof/>
          <w:szCs w:val="24"/>
        </w:rPr>
        <w:t xml:space="preserve"> 115(52): 13376–81.</w:t>
      </w:r>
    </w:p>
    <w:p w14:paraId="089A5F51" w14:textId="77777777" w:rsidR="00EA2DE3" w:rsidRPr="00EA2DE3" w:rsidRDefault="00EA2DE3" w:rsidP="00EA2DE3">
      <w:pPr>
        <w:widowControl w:val="0"/>
        <w:autoSpaceDE w:val="0"/>
        <w:autoSpaceDN w:val="0"/>
        <w:adjustRightInd w:val="0"/>
        <w:spacing w:after="120" w:line="240" w:lineRule="auto"/>
        <w:ind w:left="480" w:hanging="480"/>
        <w:rPr>
          <w:rFonts w:cs="Times New Roman"/>
          <w:noProof/>
          <w:szCs w:val="24"/>
        </w:rPr>
      </w:pPr>
      <w:r w:rsidRPr="00EA2DE3">
        <w:rPr>
          <w:rFonts w:cs="Times New Roman"/>
          <w:noProof/>
          <w:szCs w:val="24"/>
        </w:rPr>
        <w:t xml:space="preserve">Rubinov, Mikail, and Olaf Sporns. 2010. “Complex Network Measures of Brain Connectivity: Uses and Interpretations.” </w:t>
      </w:r>
      <w:r w:rsidRPr="00EA2DE3">
        <w:rPr>
          <w:rFonts w:cs="Times New Roman"/>
          <w:i/>
          <w:iCs/>
          <w:noProof/>
          <w:szCs w:val="24"/>
        </w:rPr>
        <w:t>NeuroImage</w:t>
      </w:r>
      <w:r w:rsidRPr="00EA2DE3">
        <w:rPr>
          <w:rFonts w:cs="Times New Roman"/>
          <w:noProof/>
          <w:szCs w:val="24"/>
        </w:rPr>
        <w:t xml:space="preserve"> 52(3): 1059–69. http://dx.doi.org/10.1016/j.neuroimage.2009.10.003.</w:t>
      </w:r>
    </w:p>
    <w:p w14:paraId="25474992" w14:textId="77777777" w:rsidR="00EA2DE3" w:rsidRPr="00EA2DE3" w:rsidRDefault="00EA2DE3" w:rsidP="00EA2DE3">
      <w:pPr>
        <w:widowControl w:val="0"/>
        <w:autoSpaceDE w:val="0"/>
        <w:autoSpaceDN w:val="0"/>
        <w:adjustRightInd w:val="0"/>
        <w:spacing w:after="120" w:line="240" w:lineRule="auto"/>
        <w:ind w:left="480" w:hanging="480"/>
        <w:rPr>
          <w:rFonts w:cs="Times New Roman"/>
          <w:noProof/>
          <w:szCs w:val="24"/>
        </w:rPr>
      </w:pPr>
      <w:r w:rsidRPr="00EA2DE3">
        <w:rPr>
          <w:rFonts w:cs="Times New Roman"/>
          <w:noProof/>
          <w:szCs w:val="24"/>
        </w:rPr>
        <w:t xml:space="preserve">———. 2011. “Weight-Conserving Characterization of Complex Functional Brain Networks.” </w:t>
      </w:r>
      <w:r w:rsidRPr="00EA2DE3">
        <w:rPr>
          <w:rFonts w:cs="Times New Roman"/>
          <w:i/>
          <w:iCs/>
          <w:noProof/>
          <w:szCs w:val="24"/>
        </w:rPr>
        <w:t>NeuroImage</w:t>
      </w:r>
      <w:r w:rsidRPr="00EA2DE3">
        <w:rPr>
          <w:rFonts w:cs="Times New Roman"/>
          <w:noProof/>
          <w:szCs w:val="24"/>
        </w:rPr>
        <w:t xml:space="preserve"> 56(4): 2068–79.</w:t>
      </w:r>
    </w:p>
    <w:p w14:paraId="3ADE20C9" w14:textId="77777777" w:rsidR="00EA2DE3" w:rsidRPr="00EA2DE3" w:rsidRDefault="00EA2DE3" w:rsidP="00EA2DE3">
      <w:pPr>
        <w:widowControl w:val="0"/>
        <w:autoSpaceDE w:val="0"/>
        <w:autoSpaceDN w:val="0"/>
        <w:adjustRightInd w:val="0"/>
        <w:spacing w:after="120" w:line="240" w:lineRule="auto"/>
        <w:ind w:left="480" w:hanging="480"/>
        <w:rPr>
          <w:rFonts w:cs="Times New Roman"/>
          <w:noProof/>
          <w:szCs w:val="24"/>
        </w:rPr>
      </w:pPr>
      <w:r w:rsidRPr="00EA2DE3">
        <w:rPr>
          <w:rFonts w:cs="Times New Roman"/>
          <w:noProof/>
          <w:szCs w:val="24"/>
        </w:rPr>
        <w:t xml:space="preserve">Saba, Valentina et al. 2019. “Brain Connectivity and Information-Flow Breakdown Revealed by a Minimum Spanning Tree-Based Analysis of Mri Data in Behavioral Variant Frontotemporal Dementia.” </w:t>
      </w:r>
      <w:r w:rsidRPr="00EA2DE3">
        <w:rPr>
          <w:rFonts w:cs="Times New Roman"/>
          <w:i/>
          <w:iCs/>
          <w:noProof/>
          <w:szCs w:val="24"/>
        </w:rPr>
        <w:t>Frontiers in Neuroscience</w:t>
      </w:r>
      <w:r w:rsidRPr="00EA2DE3">
        <w:rPr>
          <w:rFonts w:cs="Times New Roman"/>
          <w:noProof/>
          <w:szCs w:val="24"/>
        </w:rPr>
        <w:t xml:space="preserve"> 13(March): 1–16.</w:t>
      </w:r>
    </w:p>
    <w:p w14:paraId="769C8214" w14:textId="77777777" w:rsidR="00EA2DE3" w:rsidRPr="00EA2DE3" w:rsidRDefault="00EA2DE3" w:rsidP="00EA2DE3">
      <w:pPr>
        <w:widowControl w:val="0"/>
        <w:autoSpaceDE w:val="0"/>
        <w:autoSpaceDN w:val="0"/>
        <w:adjustRightInd w:val="0"/>
        <w:spacing w:after="120" w:line="240" w:lineRule="auto"/>
        <w:ind w:left="480" w:hanging="480"/>
        <w:rPr>
          <w:rFonts w:cs="Times New Roman"/>
          <w:noProof/>
          <w:szCs w:val="24"/>
        </w:rPr>
      </w:pPr>
      <w:r w:rsidRPr="00EA2DE3">
        <w:rPr>
          <w:rFonts w:cs="Times New Roman"/>
          <w:noProof/>
          <w:szCs w:val="24"/>
        </w:rPr>
        <w:t xml:space="preserve">Shine, James M. et al. 2016. “The Dynamics of Functional Brain Networks: Integrated Network States during Cognitive Task Performance.” </w:t>
      </w:r>
      <w:r w:rsidRPr="00EA2DE3">
        <w:rPr>
          <w:rFonts w:cs="Times New Roman"/>
          <w:i/>
          <w:iCs/>
          <w:noProof/>
          <w:szCs w:val="24"/>
        </w:rPr>
        <w:t>Neuron</w:t>
      </w:r>
      <w:r w:rsidRPr="00EA2DE3">
        <w:rPr>
          <w:rFonts w:cs="Times New Roman"/>
          <w:noProof/>
          <w:szCs w:val="24"/>
        </w:rPr>
        <w:t xml:space="preserve"> 92(2): 544–54. http://dx.doi.org/10.1016/j.neuron.2016.09.018.</w:t>
      </w:r>
    </w:p>
    <w:p w14:paraId="6D3728E8" w14:textId="77777777" w:rsidR="00EA2DE3" w:rsidRPr="00EA2DE3" w:rsidRDefault="00EA2DE3" w:rsidP="00EA2DE3">
      <w:pPr>
        <w:widowControl w:val="0"/>
        <w:autoSpaceDE w:val="0"/>
        <w:autoSpaceDN w:val="0"/>
        <w:adjustRightInd w:val="0"/>
        <w:spacing w:after="120" w:line="240" w:lineRule="auto"/>
        <w:ind w:left="480" w:hanging="480"/>
        <w:rPr>
          <w:rFonts w:cs="Times New Roman"/>
          <w:noProof/>
          <w:szCs w:val="24"/>
        </w:rPr>
      </w:pPr>
      <w:r w:rsidRPr="00EA2DE3">
        <w:rPr>
          <w:rFonts w:cs="Times New Roman"/>
          <w:noProof/>
          <w:szCs w:val="24"/>
        </w:rPr>
        <w:lastRenderedPageBreak/>
        <w:t xml:space="preserve">Watts, Duncan J., and Steven H. Strogatz. 1998. “Collective Dynamics of ‘Small-World’ Networks.” </w:t>
      </w:r>
      <w:r w:rsidRPr="00EA2DE3">
        <w:rPr>
          <w:rFonts w:cs="Times New Roman"/>
          <w:i/>
          <w:iCs/>
          <w:noProof/>
          <w:szCs w:val="24"/>
        </w:rPr>
        <w:t>NATURE</w:t>
      </w:r>
      <w:r w:rsidRPr="00EA2DE3">
        <w:rPr>
          <w:rFonts w:cs="Times New Roman"/>
          <w:noProof/>
          <w:szCs w:val="24"/>
        </w:rPr>
        <w:t xml:space="preserve"> 393: 440–42.</w:t>
      </w:r>
    </w:p>
    <w:p w14:paraId="78293EFE" w14:textId="77777777" w:rsidR="00EA2DE3" w:rsidRPr="00EA2DE3" w:rsidRDefault="00EA2DE3" w:rsidP="00EA2DE3">
      <w:pPr>
        <w:widowControl w:val="0"/>
        <w:autoSpaceDE w:val="0"/>
        <w:autoSpaceDN w:val="0"/>
        <w:adjustRightInd w:val="0"/>
        <w:spacing w:after="120" w:line="240" w:lineRule="auto"/>
        <w:ind w:left="480" w:hanging="480"/>
        <w:rPr>
          <w:rFonts w:cs="Times New Roman"/>
          <w:noProof/>
          <w:szCs w:val="24"/>
        </w:rPr>
      </w:pPr>
      <w:r w:rsidRPr="00EA2DE3">
        <w:rPr>
          <w:rFonts w:cs="Times New Roman"/>
          <w:noProof/>
          <w:szCs w:val="24"/>
        </w:rPr>
        <w:t xml:space="preserve">Xia, Mingrui, Jinhui Wang, and Yong He. 2013. “BrainNet Viewer: A Network Visualization Tool for Human Brain Connectomics.” </w:t>
      </w:r>
      <w:r w:rsidRPr="00EA2DE3">
        <w:rPr>
          <w:rFonts w:cs="Times New Roman"/>
          <w:i/>
          <w:iCs/>
          <w:noProof/>
          <w:szCs w:val="24"/>
        </w:rPr>
        <w:t>PLoS ONE</w:t>
      </w:r>
      <w:r w:rsidRPr="00EA2DE3">
        <w:rPr>
          <w:rFonts w:cs="Times New Roman"/>
          <w:noProof/>
          <w:szCs w:val="24"/>
        </w:rPr>
        <w:t xml:space="preserve"> 8(7).</w:t>
      </w:r>
    </w:p>
    <w:p w14:paraId="61629A12" w14:textId="77777777" w:rsidR="00EA2DE3" w:rsidRPr="00EA2DE3" w:rsidRDefault="00EA2DE3" w:rsidP="00EA2DE3">
      <w:pPr>
        <w:widowControl w:val="0"/>
        <w:autoSpaceDE w:val="0"/>
        <w:autoSpaceDN w:val="0"/>
        <w:adjustRightInd w:val="0"/>
        <w:spacing w:after="120" w:line="240" w:lineRule="auto"/>
        <w:ind w:left="480" w:hanging="480"/>
        <w:rPr>
          <w:rFonts w:cs="Times New Roman"/>
          <w:noProof/>
        </w:rPr>
      </w:pPr>
      <w:r w:rsidRPr="00EA2DE3">
        <w:rPr>
          <w:rFonts w:cs="Times New Roman"/>
          <w:noProof/>
          <w:szCs w:val="24"/>
        </w:rPr>
        <w:t xml:space="preserve">Yang, Jie et al. 2020. “Connectomic Underpinnings of Working Memory Deficits in Schizophrenia: Evidence from a Replication FMRI Study.” </w:t>
      </w:r>
      <w:r w:rsidRPr="00EA2DE3">
        <w:rPr>
          <w:rFonts w:cs="Times New Roman"/>
          <w:i/>
          <w:iCs/>
          <w:noProof/>
          <w:szCs w:val="24"/>
        </w:rPr>
        <w:t>Schizophrenia Bulletin</w:t>
      </w:r>
      <w:r w:rsidRPr="00EA2DE3">
        <w:rPr>
          <w:rFonts w:cs="Times New Roman"/>
          <w:noProof/>
          <w:szCs w:val="24"/>
        </w:rPr>
        <w:t xml:space="preserve"> 46(4): 916–26.</w:t>
      </w:r>
    </w:p>
    <w:p w14:paraId="54B97906" w14:textId="7AEE2C5F" w:rsidR="001C40F0" w:rsidRPr="000D273B" w:rsidRDefault="00EC7416" w:rsidP="002F1CFC">
      <w:pPr>
        <w:pStyle w:val="Heading1"/>
        <w:spacing w:before="0" w:line="240" w:lineRule="auto"/>
        <w:ind w:left="142"/>
        <w:rPr>
          <w:color w:val="000000" w:themeColor="text1"/>
        </w:rPr>
      </w:pPr>
      <w:r w:rsidRPr="00EC7416">
        <w:rPr>
          <w:color w:val="000000" w:themeColor="text1"/>
          <w:sz w:val="24"/>
          <w:szCs w:val="24"/>
        </w:rPr>
        <w:fldChar w:fldCharType="end"/>
      </w:r>
    </w:p>
    <w:sectPr w:rsidR="001C40F0" w:rsidRPr="000D273B" w:rsidSect="00C501C6">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ADC75" w14:textId="77777777" w:rsidR="00F26415" w:rsidRDefault="00F26415" w:rsidP="0074665F">
      <w:pPr>
        <w:spacing w:after="0" w:line="240" w:lineRule="auto"/>
      </w:pPr>
      <w:r>
        <w:separator/>
      </w:r>
    </w:p>
  </w:endnote>
  <w:endnote w:type="continuationSeparator" w:id="0">
    <w:p w14:paraId="405E8DBE" w14:textId="77777777" w:rsidR="00F26415" w:rsidRDefault="00F26415" w:rsidP="00746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5090901"/>
      <w:docPartObj>
        <w:docPartGallery w:val="Page Numbers (Bottom of Page)"/>
        <w:docPartUnique/>
      </w:docPartObj>
    </w:sdtPr>
    <w:sdtEndPr>
      <w:rPr>
        <w:noProof/>
      </w:rPr>
    </w:sdtEndPr>
    <w:sdtContent>
      <w:p w14:paraId="412E39F9" w14:textId="40F90EC9" w:rsidR="0047404C" w:rsidRDefault="004740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DD127D" w14:textId="77777777" w:rsidR="0047404C" w:rsidRDefault="004740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D5E36" w14:textId="77777777" w:rsidR="00F26415" w:rsidRDefault="00F26415" w:rsidP="0074665F">
      <w:pPr>
        <w:spacing w:after="0" w:line="240" w:lineRule="auto"/>
      </w:pPr>
      <w:r>
        <w:separator/>
      </w:r>
    </w:p>
  </w:footnote>
  <w:footnote w:type="continuationSeparator" w:id="0">
    <w:p w14:paraId="5031B432" w14:textId="77777777" w:rsidR="00F26415" w:rsidRDefault="00F26415" w:rsidP="007466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F0A1B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443E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68E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7A0E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0E61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CAC74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0AC6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7CBA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EC290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DAC37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4AD70BA"/>
    <w:multiLevelType w:val="multilevel"/>
    <w:tmpl w:val="C7EEA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F2736E"/>
    <w:multiLevelType w:val="hybridMultilevel"/>
    <w:tmpl w:val="35542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884518799">
    <w:abstractNumId w:val="9"/>
  </w:num>
  <w:num w:numId="2" w16cid:durableId="1659458900">
    <w:abstractNumId w:val="7"/>
  </w:num>
  <w:num w:numId="3" w16cid:durableId="1154101506">
    <w:abstractNumId w:val="6"/>
  </w:num>
  <w:num w:numId="4" w16cid:durableId="1441490643">
    <w:abstractNumId w:val="5"/>
  </w:num>
  <w:num w:numId="5" w16cid:durableId="1101799280">
    <w:abstractNumId w:val="4"/>
  </w:num>
  <w:num w:numId="6" w16cid:durableId="724838534">
    <w:abstractNumId w:val="8"/>
  </w:num>
  <w:num w:numId="7" w16cid:durableId="248194833">
    <w:abstractNumId w:val="3"/>
  </w:num>
  <w:num w:numId="8" w16cid:durableId="1767922241">
    <w:abstractNumId w:val="2"/>
  </w:num>
  <w:num w:numId="9" w16cid:durableId="1686860618">
    <w:abstractNumId w:val="1"/>
  </w:num>
  <w:num w:numId="10" w16cid:durableId="1807624918">
    <w:abstractNumId w:val="0"/>
  </w:num>
  <w:num w:numId="11" w16cid:durableId="1999115316">
    <w:abstractNumId w:val="10"/>
  </w:num>
  <w:num w:numId="12" w16cid:durableId="1250852393">
    <w:abstractNumId w:val="11"/>
  </w:num>
  <w:num w:numId="13" w16cid:durableId="9806161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B7B"/>
    <w:rsid w:val="00000A9A"/>
    <w:rsid w:val="0000705E"/>
    <w:rsid w:val="000106A1"/>
    <w:rsid w:val="00014B47"/>
    <w:rsid w:val="00021C57"/>
    <w:rsid w:val="000259A7"/>
    <w:rsid w:val="00027AAB"/>
    <w:rsid w:val="00033E09"/>
    <w:rsid w:val="00035B21"/>
    <w:rsid w:val="00036D56"/>
    <w:rsid w:val="00043AB6"/>
    <w:rsid w:val="000474C8"/>
    <w:rsid w:val="00065604"/>
    <w:rsid w:val="000679A3"/>
    <w:rsid w:val="00073054"/>
    <w:rsid w:val="00081962"/>
    <w:rsid w:val="000844C7"/>
    <w:rsid w:val="00085A01"/>
    <w:rsid w:val="00090752"/>
    <w:rsid w:val="000923EC"/>
    <w:rsid w:val="000A2373"/>
    <w:rsid w:val="000A39AF"/>
    <w:rsid w:val="000B0754"/>
    <w:rsid w:val="000B5A2E"/>
    <w:rsid w:val="000B5EBF"/>
    <w:rsid w:val="000B6225"/>
    <w:rsid w:val="000B6EB9"/>
    <w:rsid w:val="000B7990"/>
    <w:rsid w:val="000C02A9"/>
    <w:rsid w:val="000C145F"/>
    <w:rsid w:val="000C291E"/>
    <w:rsid w:val="000C35F1"/>
    <w:rsid w:val="000C5403"/>
    <w:rsid w:val="000C6383"/>
    <w:rsid w:val="000D06FA"/>
    <w:rsid w:val="000D273B"/>
    <w:rsid w:val="000D295C"/>
    <w:rsid w:val="000D5C4A"/>
    <w:rsid w:val="000E0201"/>
    <w:rsid w:val="000E0D31"/>
    <w:rsid w:val="000E7E9E"/>
    <w:rsid w:val="000E7F0F"/>
    <w:rsid w:val="000F445E"/>
    <w:rsid w:val="001024FF"/>
    <w:rsid w:val="0010337C"/>
    <w:rsid w:val="00105EE1"/>
    <w:rsid w:val="00107D65"/>
    <w:rsid w:val="00113900"/>
    <w:rsid w:val="00114C02"/>
    <w:rsid w:val="00115289"/>
    <w:rsid w:val="00116317"/>
    <w:rsid w:val="00117484"/>
    <w:rsid w:val="0012227E"/>
    <w:rsid w:val="00125C50"/>
    <w:rsid w:val="0013193D"/>
    <w:rsid w:val="00132DCA"/>
    <w:rsid w:val="00141FB4"/>
    <w:rsid w:val="0014249F"/>
    <w:rsid w:val="0015086B"/>
    <w:rsid w:val="00153F7E"/>
    <w:rsid w:val="00163038"/>
    <w:rsid w:val="001670F5"/>
    <w:rsid w:val="00171BBF"/>
    <w:rsid w:val="00181A93"/>
    <w:rsid w:val="00185B2A"/>
    <w:rsid w:val="001871BE"/>
    <w:rsid w:val="0019420F"/>
    <w:rsid w:val="00194DDD"/>
    <w:rsid w:val="001A39FA"/>
    <w:rsid w:val="001A4B0D"/>
    <w:rsid w:val="001B3EBB"/>
    <w:rsid w:val="001C3903"/>
    <w:rsid w:val="001C40F0"/>
    <w:rsid w:val="001C78A3"/>
    <w:rsid w:val="001D56A6"/>
    <w:rsid w:val="001D5CE9"/>
    <w:rsid w:val="001E090F"/>
    <w:rsid w:val="001E0998"/>
    <w:rsid w:val="001E1D29"/>
    <w:rsid w:val="001E5560"/>
    <w:rsid w:val="001F39CC"/>
    <w:rsid w:val="001F4D0C"/>
    <w:rsid w:val="001F5F5B"/>
    <w:rsid w:val="001F65EE"/>
    <w:rsid w:val="001F67CB"/>
    <w:rsid w:val="0021558D"/>
    <w:rsid w:val="002204F1"/>
    <w:rsid w:val="0022512C"/>
    <w:rsid w:val="002368FF"/>
    <w:rsid w:val="002407AA"/>
    <w:rsid w:val="0024529F"/>
    <w:rsid w:val="00246232"/>
    <w:rsid w:val="002464B1"/>
    <w:rsid w:val="002469C7"/>
    <w:rsid w:val="002475BE"/>
    <w:rsid w:val="00247F88"/>
    <w:rsid w:val="00253765"/>
    <w:rsid w:val="00256060"/>
    <w:rsid w:val="00256CFE"/>
    <w:rsid w:val="00256FE9"/>
    <w:rsid w:val="002630A6"/>
    <w:rsid w:val="0026405F"/>
    <w:rsid w:val="00264E7C"/>
    <w:rsid w:val="00271AF8"/>
    <w:rsid w:val="002735DF"/>
    <w:rsid w:val="00277149"/>
    <w:rsid w:val="00283F86"/>
    <w:rsid w:val="0028454C"/>
    <w:rsid w:val="00287142"/>
    <w:rsid w:val="002956DC"/>
    <w:rsid w:val="0029665D"/>
    <w:rsid w:val="002A62B5"/>
    <w:rsid w:val="002A676F"/>
    <w:rsid w:val="002B43FC"/>
    <w:rsid w:val="002B69B9"/>
    <w:rsid w:val="002D10BF"/>
    <w:rsid w:val="002D1205"/>
    <w:rsid w:val="002E6D09"/>
    <w:rsid w:val="002F08C9"/>
    <w:rsid w:val="002F1CFC"/>
    <w:rsid w:val="002F2498"/>
    <w:rsid w:val="002F5A02"/>
    <w:rsid w:val="00303743"/>
    <w:rsid w:val="00307E52"/>
    <w:rsid w:val="00312550"/>
    <w:rsid w:val="00320866"/>
    <w:rsid w:val="003239EC"/>
    <w:rsid w:val="003246CA"/>
    <w:rsid w:val="0033243C"/>
    <w:rsid w:val="0034359D"/>
    <w:rsid w:val="00345044"/>
    <w:rsid w:val="00350E41"/>
    <w:rsid w:val="00352670"/>
    <w:rsid w:val="003549AB"/>
    <w:rsid w:val="003578D8"/>
    <w:rsid w:val="0036325E"/>
    <w:rsid w:val="003675A4"/>
    <w:rsid w:val="00377430"/>
    <w:rsid w:val="00380305"/>
    <w:rsid w:val="0038335B"/>
    <w:rsid w:val="00387279"/>
    <w:rsid w:val="00392233"/>
    <w:rsid w:val="003923A7"/>
    <w:rsid w:val="003927B0"/>
    <w:rsid w:val="00395325"/>
    <w:rsid w:val="003A3B2E"/>
    <w:rsid w:val="003A518A"/>
    <w:rsid w:val="003B4E33"/>
    <w:rsid w:val="003B5331"/>
    <w:rsid w:val="003C1E13"/>
    <w:rsid w:val="003C60C3"/>
    <w:rsid w:val="003D28EC"/>
    <w:rsid w:val="003D76A0"/>
    <w:rsid w:val="003F0388"/>
    <w:rsid w:val="003F1CD8"/>
    <w:rsid w:val="00412FD4"/>
    <w:rsid w:val="004131F3"/>
    <w:rsid w:val="00416EA2"/>
    <w:rsid w:val="00422765"/>
    <w:rsid w:val="00427937"/>
    <w:rsid w:val="004312C1"/>
    <w:rsid w:val="00432898"/>
    <w:rsid w:val="00432B26"/>
    <w:rsid w:val="00432DEB"/>
    <w:rsid w:val="004515B2"/>
    <w:rsid w:val="00455586"/>
    <w:rsid w:val="00461822"/>
    <w:rsid w:val="004637A9"/>
    <w:rsid w:val="00463A17"/>
    <w:rsid w:val="00464040"/>
    <w:rsid w:val="00465E23"/>
    <w:rsid w:val="00466084"/>
    <w:rsid w:val="0047404C"/>
    <w:rsid w:val="0048040C"/>
    <w:rsid w:val="00483D53"/>
    <w:rsid w:val="00485A84"/>
    <w:rsid w:val="00492FDD"/>
    <w:rsid w:val="004A1998"/>
    <w:rsid w:val="004A521E"/>
    <w:rsid w:val="004A5C55"/>
    <w:rsid w:val="004A690D"/>
    <w:rsid w:val="004B0146"/>
    <w:rsid w:val="004B55FB"/>
    <w:rsid w:val="004B5E90"/>
    <w:rsid w:val="004C2A0E"/>
    <w:rsid w:val="004C4C5C"/>
    <w:rsid w:val="004D0893"/>
    <w:rsid w:val="004D334C"/>
    <w:rsid w:val="004D3ED1"/>
    <w:rsid w:val="004D6A83"/>
    <w:rsid w:val="004E3E0D"/>
    <w:rsid w:val="004E458F"/>
    <w:rsid w:val="004F33F2"/>
    <w:rsid w:val="00502ED1"/>
    <w:rsid w:val="00502FA6"/>
    <w:rsid w:val="00512A87"/>
    <w:rsid w:val="005143B5"/>
    <w:rsid w:val="00515780"/>
    <w:rsid w:val="005164DA"/>
    <w:rsid w:val="005164DB"/>
    <w:rsid w:val="00521FB6"/>
    <w:rsid w:val="00523CC2"/>
    <w:rsid w:val="005323A7"/>
    <w:rsid w:val="00532BAA"/>
    <w:rsid w:val="00535E4E"/>
    <w:rsid w:val="0053717E"/>
    <w:rsid w:val="00544654"/>
    <w:rsid w:val="00544E75"/>
    <w:rsid w:val="00553049"/>
    <w:rsid w:val="00556E4E"/>
    <w:rsid w:val="005661FC"/>
    <w:rsid w:val="00571EBD"/>
    <w:rsid w:val="00573143"/>
    <w:rsid w:val="00582C11"/>
    <w:rsid w:val="005853EC"/>
    <w:rsid w:val="00593C36"/>
    <w:rsid w:val="00595268"/>
    <w:rsid w:val="005978AD"/>
    <w:rsid w:val="00597A81"/>
    <w:rsid w:val="005A0E5A"/>
    <w:rsid w:val="005B204C"/>
    <w:rsid w:val="005B292A"/>
    <w:rsid w:val="005B39CC"/>
    <w:rsid w:val="005B70D1"/>
    <w:rsid w:val="005C00B7"/>
    <w:rsid w:val="005C5A64"/>
    <w:rsid w:val="005C5B8D"/>
    <w:rsid w:val="005C78A3"/>
    <w:rsid w:val="005D15A4"/>
    <w:rsid w:val="005D1C07"/>
    <w:rsid w:val="005D322C"/>
    <w:rsid w:val="005D563A"/>
    <w:rsid w:val="005E5DD7"/>
    <w:rsid w:val="005F0A71"/>
    <w:rsid w:val="005F2BBD"/>
    <w:rsid w:val="005F7275"/>
    <w:rsid w:val="00603135"/>
    <w:rsid w:val="00603BA2"/>
    <w:rsid w:val="00611917"/>
    <w:rsid w:val="00612573"/>
    <w:rsid w:val="006158D4"/>
    <w:rsid w:val="006212A1"/>
    <w:rsid w:val="00623B81"/>
    <w:rsid w:val="00625101"/>
    <w:rsid w:val="00627FE0"/>
    <w:rsid w:val="00631A7D"/>
    <w:rsid w:val="00634EFF"/>
    <w:rsid w:val="00640D6F"/>
    <w:rsid w:val="00654FFD"/>
    <w:rsid w:val="00664931"/>
    <w:rsid w:val="006761F0"/>
    <w:rsid w:val="0067632B"/>
    <w:rsid w:val="0068018A"/>
    <w:rsid w:val="00684997"/>
    <w:rsid w:val="006857E8"/>
    <w:rsid w:val="00686056"/>
    <w:rsid w:val="00686A1A"/>
    <w:rsid w:val="00694226"/>
    <w:rsid w:val="00697996"/>
    <w:rsid w:val="006A5779"/>
    <w:rsid w:val="006A671C"/>
    <w:rsid w:val="006B7F7B"/>
    <w:rsid w:val="006C6A0E"/>
    <w:rsid w:val="006D2F06"/>
    <w:rsid w:val="006D5716"/>
    <w:rsid w:val="006D7741"/>
    <w:rsid w:val="006E38EA"/>
    <w:rsid w:val="006E4EC7"/>
    <w:rsid w:val="006E6CEF"/>
    <w:rsid w:val="006F3B3C"/>
    <w:rsid w:val="00702483"/>
    <w:rsid w:val="00706113"/>
    <w:rsid w:val="00707FCD"/>
    <w:rsid w:val="007155F7"/>
    <w:rsid w:val="00722C05"/>
    <w:rsid w:val="0073045A"/>
    <w:rsid w:val="00735126"/>
    <w:rsid w:val="007354E5"/>
    <w:rsid w:val="00735575"/>
    <w:rsid w:val="00740D3F"/>
    <w:rsid w:val="00741519"/>
    <w:rsid w:val="00741DDD"/>
    <w:rsid w:val="00746168"/>
    <w:rsid w:val="0074665F"/>
    <w:rsid w:val="00756B72"/>
    <w:rsid w:val="00757997"/>
    <w:rsid w:val="007614CF"/>
    <w:rsid w:val="00762A44"/>
    <w:rsid w:val="007675D7"/>
    <w:rsid w:val="00774F60"/>
    <w:rsid w:val="00777A99"/>
    <w:rsid w:val="00781115"/>
    <w:rsid w:val="00782453"/>
    <w:rsid w:val="00787917"/>
    <w:rsid w:val="007951BD"/>
    <w:rsid w:val="00795D04"/>
    <w:rsid w:val="00797829"/>
    <w:rsid w:val="007A71C3"/>
    <w:rsid w:val="007B2F6E"/>
    <w:rsid w:val="007B41F1"/>
    <w:rsid w:val="007B5D6B"/>
    <w:rsid w:val="007C3097"/>
    <w:rsid w:val="007C4824"/>
    <w:rsid w:val="007D0732"/>
    <w:rsid w:val="007E15FB"/>
    <w:rsid w:val="007E28D2"/>
    <w:rsid w:val="007F28A9"/>
    <w:rsid w:val="007F4C1A"/>
    <w:rsid w:val="007F4DFE"/>
    <w:rsid w:val="007F6854"/>
    <w:rsid w:val="007F730C"/>
    <w:rsid w:val="00800894"/>
    <w:rsid w:val="008019BF"/>
    <w:rsid w:val="008052C1"/>
    <w:rsid w:val="0081000F"/>
    <w:rsid w:val="008228FC"/>
    <w:rsid w:val="00823CDE"/>
    <w:rsid w:val="008242A9"/>
    <w:rsid w:val="00824C46"/>
    <w:rsid w:val="008260DF"/>
    <w:rsid w:val="00830B42"/>
    <w:rsid w:val="008413D6"/>
    <w:rsid w:val="00842DB9"/>
    <w:rsid w:val="00843060"/>
    <w:rsid w:val="00851CEE"/>
    <w:rsid w:val="00857A15"/>
    <w:rsid w:val="008620B4"/>
    <w:rsid w:val="0087026D"/>
    <w:rsid w:val="00870E76"/>
    <w:rsid w:val="00874D51"/>
    <w:rsid w:val="00875710"/>
    <w:rsid w:val="00877B93"/>
    <w:rsid w:val="00877F0C"/>
    <w:rsid w:val="00881AA5"/>
    <w:rsid w:val="00882D75"/>
    <w:rsid w:val="008863DA"/>
    <w:rsid w:val="00887196"/>
    <w:rsid w:val="0089363C"/>
    <w:rsid w:val="008A2811"/>
    <w:rsid w:val="008B0840"/>
    <w:rsid w:val="008B2955"/>
    <w:rsid w:val="008B2B27"/>
    <w:rsid w:val="008B3852"/>
    <w:rsid w:val="008C2EE1"/>
    <w:rsid w:val="008C5C1C"/>
    <w:rsid w:val="008C663D"/>
    <w:rsid w:val="008C6F49"/>
    <w:rsid w:val="008C7D88"/>
    <w:rsid w:val="008D1D69"/>
    <w:rsid w:val="008D7EBB"/>
    <w:rsid w:val="008F1522"/>
    <w:rsid w:val="008F1CC3"/>
    <w:rsid w:val="008F391F"/>
    <w:rsid w:val="008F42FA"/>
    <w:rsid w:val="008F6053"/>
    <w:rsid w:val="00902BE5"/>
    <w:rsid w:val="00906EDB"/>
    <w:rsid w:val="00915050"/>
    <w:rsid w:val="00916373"/>
    <w:rsid w:val="00923D38"/>
    <w:rsid w:val="00930054"/>
    <w:rsid w:val="00930937"/>
    <w:rsid w:val="009321B7"/>
    <w:rsid w:val="00932F38"/>
    <w:rsid w:val="00932F84"/>
    <w:rsid w:val="00933B3F"/>
    <w:rsid w:val="00940281"/>
    <w:rsid w:val="0094099E"/>
    <w:rsid w:val="00941057"/>
    <w:rsid w:val="00942D98"/>
    <w:rsid w:val="00944377"/>
    <w:rsid w:val="00946F6E"/>
    <w:rsid w:val="00966361"/>
    <w:rsid w:val="00973ECC"/>
    <w:rsid w:val="00976001"/>
    <w:rsid w:val="00982B93"/>
    <w:rsid w:val="00984321"/>
    <w:rsid w:val="00986267"/>
    <w:rsid w:val="00986BFA"/>
    <w:rsid w:val="00991521"/>
    <w:rsid w:val="00995F93"/>
    <w:rsid w:val="0099689C"/>
    <w:rsid w:val="009A2B04"/>
    <w:rsid w:val="009A462E"/>
    <w:rsid w:val="009A47D8"/>
    <w:rsid w:val="009A5B20"/>
    <w:rsid w:val="009A7D96"/>
    <w:rsid w:val="009B5172"/>
    <w:rsid w:val="009C29E2"/>
    <w:rsid w:val="009C395F"/>
    <w:rsid w:val="009C6275"/>
    <w:rsid w:val="009D3802"/>
    <w:rsid w:val="009E56E6"/>
    <w:rsid w:val="009E7B2E"/>
    <w:rsid w:val="009E7C1F"/>
    <w:rsid w:val="009F3B7B"/>
    <w:rsid w:val="00A0091D"/>
    <w:rsid w:val="00A027CE"/>
    <w:rsid w:val="00A0384A"/>
    <w:rsid w:val="00A03ADB"/>
    <w:rsid w:val="00A1004B"/>
    <w:rsid w:val="00A10F61"/>
    <w:rsid w:val="00A11317"/>
    <w:rsid w:val="00A138E7"/>
    <w:rsid w:val="00A1396E"/>
    <w:rsid w:val="00A21616"/>
    <w:rsid w:val="00A240BA"/>
    <w:rsid w:val="00A315ED"/>
    <w:rsid w:val="00A32488"/>
    <w:rsid w:val="00A33490"/>
    <w:rsid w:val="00A345D1"/>
    <w:rsid w:val="00A351A7"/>
    <w:rsid w:val="00A36970"/>
    <w:rsid w:val="00A43AE1"/>
    <w:rsid w:val="00A44D95"/>
    <w:rsid w:val="00A462FC"/>
    <w:rsid w:val="00A512C4"/>
    <w:rsid w:val="00A566CB"/>
    <w:rsid w:val="00A65CEB"/>
    <w:rsid w:val="00A7113C"/>
    <w:rsid w:val="00A71914"/>
    <w:rsid w:val="00A74FA2"/>
    <w:rsid w:val="00A80E6B"/>
    <w:rsid w:val="00A80FDB"/>
    <w:rsid w:val="00A83254"/>
    <w:rsid w:val="00A858FD"/>
    <w:rsid w:val="00A91142"/>
    <w:rsid w:val="00A95E28"/>
    <w:rsid w:val="00A962A2"/>
    <w:rsid w:val="00AA589E"/>
    <w:rsid w:val="00AC5426"/>
    <w:rsid w:val="00AD15AC"/>
    <w:rsid w:val="00AD4624"/>
    <w:rsid w:val="00AD50FC"/>
    <w:rsid w:val="00AE0947"/>
    <w:rsid w:val="00AF1E42"/>
    <w:rsid w:val="00AF21CC"/>
    <w:rsid w:val="00AF2E9B"/>
    <w:rsid w:val="00AF3D33"/>
    <w:rsid w:val="00B03EEA"/>
    <w:rsid w:val="00B051AB"/>
    <w:rsid w:val="00B12833"/>
    <w:rsid w:val="00B26233"/>
    <w:rsid w:val="00B26282"/>
    <w:rsid w:val="00B26750"/>
    <w:rsid w:val="00B342EB"/>
    <w:rsid w:val="00B3603E"/>
    <w:rsid w:val="00B4791B"/>
    <w:rsid w:val="00B52549"/>
    <w:rsid w:val="00B534E9"/>
    <w:rsid w:val="00B54AD0"/>
    <w:rsid w:val="00B55A4D"/>
    <w:rsid w:val="00B56F52"/>
    <w:rsid w:val="00B64617"/>
    <w:rsid w:val="00B66F23"/>
    <w:rsid w:val="00B959E8"/>
    <w:rsid w:val="00BA16D2"/>
    <w:rsid w:val="00BB11DC"/>
    <w:rsid w:val="00BB7935"/>
    <w:rsid w:val="00BC08BB"/>
    <w:rsid w:val="00BC21E5"/>
    <w:rsid w:val="00BC2801"/>
    <w:rsid w:val="00BC700E"/>
    <w:rsid w:val="00BC78AA"/>
    <w:rsid w:val="00BD67C7"/>
    <w:rsid w:val="00BE5010"/>
    <w:rsid w:val="00BE5E3E"/>
    <w:rsid w:val="00BF0763"/>
    <w:rsid w:val="00BF0F5F"/>
    <w:rsid w:val="00BF1066"/>
    <w:rsid w:val="00BF1836"/>
    <w:rsid w:val="00BF56A7"/>
    <w:rsid w:val="00C025DA"/>
    <w:rsid w:val="00C15BEF"/>
    <w:rsid w:val="00C23D1F"/>
    <w:rsid w:val="00C35D08"/>
    <w:rsid w:val="00C4072F"/>
    <w:rsid w:val="00C41EEA"/>
    <w:rsid w:val="00C4436B"/>
    <w:rsid w:val="00C4574D"/>
    <w:rsid w:val="00C4634A"/>
    <w:rsid w:val="00C501C6"/>
    <w:rsid w:val="00C51340"/>
    <w:rsid w:val="00C57B12"/>
    <w:rsid w:val="00C633B2"/>
    <w:rsid w:val="00C70CEA"/>
    <w:rsid w:val="00C80815"/>
    <w:rsid w:val="00C8096C"/>
    <w:rsid w:val="00C83516"/>
    <w:rsid w:val="00C84134"/>
    <w:rsid w:val="00C93BEF"/>
    <w:rsid w:val="00C946F8"/>
    <w:rsid w:val="00CA0323"/>
    <w:rsid w:val="00CA33DA"/>
    <w:rsid w:val="00CA393F"/>
    <w:rsid w:val="00CB2484"/>
    <w:rsid w:val="00CC011E"/>
    <w:rsid w:val="00CC01AD"/>
    <w:rsid w:val="00CC02BC"/>
    <w:rsid w:val="00CC55CC"/>
    <w:rsid w:val="00CD0006"/>
    <w:rsid w:val="00CD07EE"/>
    <w:rsid w:val="00CD5373"/>
    <w:rsid w:val="00CD57BE"/>
    <w:rsid w:val="00CE51E6"/>
    <w:rsid w:val="00CE59BC"/>
    <w:rsid w:val="00D0531F"/>
    <w:rsid w:val="00D05A55"/>
    <w:rsid w:val="00D0685A"/>
    <w:rsid w:val="00D1066E"/>
    <w:rsid w:val="00D11A42"/>
    <w:rsid w:val="00D134A3"/>
    <w:rsid w:val="00D139AD"/>
    <w:rsid w:val="00D21700"/>
    <w:rsid w:val="00D21B0D"/>
    <w:rsid w:val="00D253E2"/>
    <w:rsid w:val="00D307E9"/>
    <w:rsid w:val="00D42DC4"/>
    <w:rsid w:val="00D5160E"/>
    <w:rsid w:val="00D52F8D"/>
    <w:rsid w:val="00D5410F"/>
    <w:rsid w:val="00D6056E"/>
    <w:rsid w:val="00D72132"/>
    <w:rsid w:val="00D808BF"/>
    <w:rsid w:val="00D8374B"/>
    <w:rsid w:val="00D84706"/>
    <w:rsid w:val="00D97111"/>
    <w:rsid w:val="00D97DCE"/>
    <w:rsid w:val="00DA132C"/>
    <w:rsid w:val="00DA437E"/>
    <w:rsid w:val="00DB05F7"/>
    <w:rsid w:val="00DB0F98"/>
    <w:rsid w:val="00DB2B36"/>
    <w:rsid w:val="00DC24A6"/>
    <w:rsid w:val="00DC65C1"/>
    <w:rsid w:val="00DD23B3"/>
    <w:rsid w:val="00DE3F85"/>
    <w:rsid w:val="00DE7811"/>
    <w:rsid w:val="00DF04E4"/>
    <w:rsid w:val="00DF1DB6"/>
    <w:rsid w:val="00DF2A36"/>
    <w:rsid w:val="00DF3589"/>
    <w:rsid w:val="00DF5B36"/>
    <w:rsid w:val="00DF617B"/>
    <w:rsid w:val="00E0081D"/>
    <w:rsid w:val="00E01473"/>
    <w:rsid w:val="00E0243B"/>
    <w:rsid w:val="00E04C41"/>
    <w:rsid w:val="00E14383"/>
    <w:rsid w:val="00E15F87"/>
    <w:rsid w:val="00E20C10"/>
    <w:rsid w:val="00E2237F"/>
    <w:rsid w:val="00E273FF"/>
    <w:rsid w:val="00E31A20"/>
    <w:rsid w:val="00E31E9D"/>
    <w:rsid w:val="00E35413"/>
    <w:rsid w:val="00E3777E"/>
    <w:rsid w:val="00E40857"/>
    <w:rsid w:val="00E45376"/>
    <w:rsid w:val="00E4693A"/>
    <w:rsid w:val="00E546DF"/>
    <w:rsid w:val="00E56505"/>
    <w:rsid w:val="00E60F28"/>
    <w:rsid w:val="00E659FB"/>
    <w:rsid w:val="00E73B4B"/>
    <w:rsid w:val="00E8765F"/>
    <w:rsid w:val="00E92A7D"/>
    <w:rsid w:val="00E943D0"/>
    <w:rsid w:val="00E962A2"/>
    <w:rsid w:val="00E96F98"/>
    <w:rsid w:val="00EA2DE3"/>
    <w:rsid w:val="00EA4AA1"/>
    <w:rsid w:val="00EA61D8"/>
    <w:rsid w:val="00EB6013"/>
    <w:rsid w:val="00EC46C4"/>
    <w:rsid w:val="00EC7416"/>
    <w:rsid w:val="00ED21C3"/>
    <w:rsid w:val="00EE1927"/>
    <w:rsid w:val="00EE3877"/>
    <w:rsid w:val="00EE6D93"/>
    <w:rsid w:val="00EF1B0B"/>
    <w:rsid w:val="00EF7B41"/>
    <w:rsid w:val="00EF7D1D"/>
    <w:rsid w:val="00F04BFF"/>
    <w:rsid w:val="00F066BB"/>
    <w:rsid w:val="00F12959"/>
    <w:rsid w:val="00F170A0"/>
    <w:rsid w:val="00F203C4"/>
    <w:rsid w:val="00F20BEE"/>
    <w:rsid w:val="00F21AA5"/>
    <w:rsid w:val="00F23669"/>
    <w:rsid w:val="00F25055"/>
    <w:rsid w:val="00F26415"/>
    <w:rsid w:val="00F353FB"/>
    <w:rsid w:val="00F4167C"/>
    <w:rsid w:val="00F422D3"/>
    <w:rsid w:val="00F553FA"/>
    <w:rsid w:val="00F57480"/>
    <w:rsid w:val="00F57B22"/>
    <w:rsid w:val="00F611DC"/>
    <w:rsid w:val="00F67DEA"/>
    <w:rsid w:val="00F83FEA"/>
    <w:rsid w:val="00F90312"/>
    <w:rsid w:val="00F90C10"/>
    <w:rsid w:val="00F91DDF"/>
    <w:rsid w:val="00F94E65"/>
    <w:rsid w:val="00FA1DB3"/>
    <w:rsid w:val="00FA7155"/>
    <w:rsid w:val="00FB1B60"/>
    <w:rsid w:val="00FB3878"/>
    <w:rsid w:val="00FB51DA"/>
    <w:rsid w:val="00FC5BD1"/>
    <w:rsid w:val="00FD0AE9"/>
    <w:rsid w:val="00FD3A9C"/>
    <w:rsid w:val="00FD7DA6"/>
    <w:rsid w:val="00FF1440"/>
    <w:rsid w:val="00FF58B6"/>
    <w:rsid w:val="00FF5E9E"/>
    <w:rsid w:val="00FF6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7D20B6"/>
  <w15:docId w15:val="{6919CE26-11CE-41FD-A913-D7F6E4EF9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CC2"/>
    <w:pPr>
      <w:spacing w:after="160" w:line="480" w:lineRule="auto"/>
      <w:jc w:val="both"/>
    </w:pPr>
    <w:rPr>
      <w:rFonts w:eastAsiaTheme="minorHAnsi" w:cstheme="minorBidi"/>
      <w:sz w:val="24"/>
      <w:szCs w:val="22"/>
      <w:lang w:val="en-CA" w:eastAsia="en-US"/>
    </w:rPr>
  </w:style>
  <w:style w:type="paragraph" w:styleId="Heading1">
    <w:name w:val="heading 1"/>
    <w:basedOn w:val="Normal"/>
    <w:next w:val="Normal"/>
    <w:link w:val="Heading1Char"/>
    <w:uiPriority w:val="9"/>
    <w:qFormat/>
    <w:locked/>
    <w:rsid w:val="00523CC2"/>
    <w:pPr>
      <w:keepNext/>
      <w:keepLines/>
      <w:pBdr>
        <w:top w:val="nil"/>
        <w:left w:val="nil"/>
        <w:bottom w:val="nil"/>
        <w:right w:val="nil"/>
        <w:between w:val="nil"/>
        <w:bar w:val="nil"/>
      </w:pBdr>
      <w:spacing w:before="480" w:after="120"/>
      <w:outlineLvl w:val="0"/>
    </w:pPr>
    <w:rPr>
      <w:rFonts w:eastAsia="Arial Unicode MS"/>
      <w:b/>
      <w:bCs/>
      <w:color w:val="7030A0"/>
      <w:sz w:val="36"/>
      <w:szCs w:val="48"/>
      <w:bdr w:val="nil"/>
      <w:lang w:val="en-US"/>
    </w:rPr>
  </w:style>
  <w:style w:type="paragraph" w:styleId="Heading2">
    <w:name w:val="heading 2"/>
    <w:basedOn w:val="Normal"/>
    <w:next w:val="Normal"/>
    <w:link w:val="Heading2Char"/>
    <w:uiPriority w:val="9"/>
    <w:qFormat/>
    <w:locked/>
    <w:rsid w:val="00523CC2"/>
    <w:pPr>
      <w:keepNext/>
      <w:keepLines/>
      <w:pBdr>
        <w:top w:val="nil"/>
        <w:left w:val="nil"/>
        <w:bottom w:val="nil"/>
        <w:right w:val="nil"/>
        <w:between w:val="nil"/>
        <w:bar w:val="nil"/>
      </w:pBdr>
      <w:spacing w:before="360" w:after="80"/>
      <w:outlineLvl w:val="1"/>
    </w:pPr>
    <w:rPr>
      <w:rFonts w:eastAsia="Arial Unicode MS"/>
      <w:b/>
      <w:bCs/>
      <w:color w:val="0070C0"/>
      <w:sz w:val="32"/>
      <w:szCs w:val="36"/>
      <w:bdr w:val="nil"/>
      <w:lang w:val="en-US"/>
    </w:rPr>
  </w:style>
  <w:style w:type="paragraph" w:styleId="Heading3">
    <w:name w:val="heading 3"/>
    <w:basedOn w:val="Normal"/>
    <w:next w:val="Normal"/>
    <w:link w:val="Heading3Char"/>
    <w:uiPriority w:val="9"/>
    <w:qFormat/>
    <w:locked/>
    <w:rsid w:val="00523CC2"/>
    <w:pPr>
      <w:keepNext/>
      <w:keepLines/>
      <w:spacing w:before="280" w:after="80"/>
      <w:outlineLvl w:val="2"/>
    </w:pPr>
    <w:rPr>
      <w:b/>
      <w:bCs/>
      <w:color w:val="00B0F0"/>
      <w:sz w:val="28"/>
      <w:szCs w:val="28"/>
    </w:rPr>
  </w:style>
  <w:style w:type="paragraph" w:styleId="Heading4">
    <w:name w:val="heading 4"/>
    <w:basedOn w:val="Normal"/>
    <w:next w:val="Normal"/>
    <w:link w:val="Heading4Char"/>
    <w:uiPriority w:val="9"/>
    <w:unhideWhenUsed/>
    <w:qFormat/>
    <w:locked/>
    <w:rsid w:val="00523CC2"/>
    <w:pPr>
      <w:keepNext/>
      <w:keepLines/>
      <w:spacing w:before="200"/>
      <w:outlineLvl w:val="3"/>
    </w:pPr>
    <w:rPr>
      <w:rFonts w:eastAsiaTheme="majorEastAsia" w:cstheme="majorBidi"/>
      <w:b/>
      <w:bCs/>
      <w:iCs/>
    </w:rPr>
  </w:style>
  <w:style w:type="paragraph" w:styleId="Heading5">
    <w:name w:val="heading 5"/>
    <w:basedOn w:val="Normal"/>
    <w:next w:val="Normal"/>
    <w:link w:val="Heading5Char"/>
    <w:semiHidden/>
    <w:unhideWhenUsed/>
    <w:qFormat/>
    <w:locked/>
    <w:rsid w:val="0099689C"/>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61822"/>
    <w:pPr>
      <w:spacing w:before="100" w:beforeAutospacing="1" w:after="100" w:afterAutospacing="1"/>
    </w:pPr>
  </w:style>
  <w:style w:type="character" w:styleId="Strong">
    <w:name w:val="Strong"/>
    <w:uiPriority w:val="99"/>
    <w:qFormat/>
    <w:rsid w:val="00461822"/>
    <w:rPr>
      <w:rFonts w:cs="Times New Roman"/>
      <w:b/>
      <w:bCs/>
    </w:rPr>
  </w:style>
  <w:style w:type="character" w:styleId="Hyperlink">
    <w:name w:val="Hyperlink"/>
    <w:uiPriority w:val="99"/>
    <w:rsid w:val="00461822"/>
    <w:rPr>
      <w:rFonts w:cs="Times New Roman"/>
      <w:color w:val="0000FF"/>
      <w:u w:val="single"/>
    </w:rPr>
  </w:style>
  <w:style w:type="character" w:styleId="Emphasis">
    <w:name w:val="Emphasis"/>
    <w:uiPriority w:val="20"/>
    <w:qFormat/>
    <w:rsid w:val="00461822"/>
    <w:rPr>
      <w:rFonts w:cs="Times New Roman"/>
      <w:i/>
      <w:iCs/>
    </w:rPr>
  </w:style>
  <w:style w:type="table" w:styleId="TableGrid">
    <w:name w:val="Table Grid"/>
    <w:basedOn w:val="TableNormal"/>
    <w:uiPriority w:val="39"/>
    <w:rsid w:val="002640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523CC2"/>
    <w:pPr>
      <w:shd w:val="pct15" w:color="auto" w:fill="auto"/>
      <w:spacing w:after="200" w:line="240" w:lineRule="auto"/>
    </w:pPr>
    <w:rPr>
      <w:rFonts w:eastAsia="Calibri"/>
      <w:sz w:val="18"/>
      <w:szCs w:val="18"/>
    </w:rPr>
  </w:style>
  <w:style w:type="character" w:customStyle="1" w:styleId="BalloonTextChar">
    <w:name w:val="Balloon Text Char"/>
    <w:basedOn w:val="DefaultParagraphFont"/>
    <w:link w:val="BalloonText"/>
    <w:uiPriority w:val="99"/>
    <w:locked/>
    <w:rsid w:val="00523CC2"/>
    <w:rPr>
      <w:rFonts w:eastAsia="Calibri" w:cstheme="minorBidi"/>
      <w:sz w:val="18"/>
      <w:szCs w:val="18"/>
      <w:shd w:val="pct15" w:color="auto" w:fill="auto"/>
      <w:lang w:val="en-CA" w:eastAsia="en-US"/>
    </w:rPr>
  </w:style>
  <w:style w:type="character" w:styleId="PlaceholderText">
    <w:name w:val="Placeholder Text"/>
    <w:basedOn w:val="DefaultParagraphFont"/>
    <w:uiPriority w:val="99"/>
    <w:semiHidden/>
    <w:rsid w:val="001670F5"/>
    <w:rPr>
      <w:color w:val="808080"/>
    </w:rPr>
  </w:style>
  <w:style w:type="character" w:styleId="FollowedHyperlink">
    <w:name w:val="FollowedHyperlink"/>
    <w:basedOn w:val="DefaultParagraphFont"/>
    <w:uiPriority w:val="99"/>
    <w:semiHidden/>
    <w:unhideWhenUsed/>
    <w:rsid w:val="00432DEB"/>
    <w:rPr>
      <w:color w:val="800080" w:themeColor="followedHyperlink"/>
      <w:u w:val="single"/>
    </w:rPr>
  </w:style>
  <w:style w:type="character" w:customStyle="1" w:styleId="Heading1Char">
    <w:name w:val="Heading 1 Char"/>
    <w:basedOn w:val="DefaultParagraphFont"/>
    <w:link w:val="Heading1"/>
    <w:uiPriority w:val="9"/>
    <w:rsid w:val="00523CC2"/>
    <w:rPr>
      <w:rFonts w:eastAsia="Arial Unicode MS" w:cstheme="minorBidi"/>
      <w:b/>
      <w:bCs/>
      <w:color w:val="7030A0"/>
      <w:sz w:val="36"/>
      <w:szCs w:val="48"/>
      <w:bdr w:val="nil"/>
      <w:lang w:val="en-US" w:eastAsia="en-US"/>
    </w:rPr>
  </w:style>
  <w:style w:type="character" w:customStyle="1" w:styleId="Heading2Char">
    <w:name w:val="Heading 2 Char"/>
    <w:basedOn w:val="DefaultParagraphFont"/>
    <w:link w:val="Heading2"/>
    <w:uiPriority w:val="9"/>
    <w:rsid w:val="00523CC2"/>
    <w:rPr>
      <w:rFonts w:eastAsia="Arial Unicode MS" w:cstheme="minorBidi"/>
      <w:b/>
      <w:bCs/>
      <w:color w:val="0070C0"/>
      <w:sz w:val="32"/>
      <w:szCs w:val="36"/>
      <w:bdr w:val="nil"/>
      <w:lang w:val="en-US" w:eastAsia="en-US"/>
    </w:rPr>
  </w:style>
  <w:style w:type="character" w:customStyle="1" w:styleId="Heading3Char">
    <w:name w:val="Heading 3 Char"/>
    <w:basedOn w:val="DefaultParagraphFont"/>
    <w:link w:val="Heading3"/>
    <w:uiPriority w:val="9"/>
    <w:rsid w:val="00523CC2"/>
    <w:rPr>
      <w:rFonts w:eastAsiaTheme="minorHAnsi" w:cstheme="minorBidi"/>
      <w:b/>
      <w:bCs/>
      <w:color w:val="00B0F0"/>
      <w:sz w:val="28"/>
      <w:szCs w:val="28"/>
      <w:lang w:val="en-CA" w:eastAsia="en-US"/>
    </w:rPr>
  </w:style>
  <w:style w:type="character" w:customStyle="1" w:styleId="Heading4Char">
    <w:name w:val="Heading 4 Char"/>
    <w:basedOn w:val="DefaultParagraphFont"/>
    <w:link w:val="Heading4"/>
    <w:uiPriority w:val="9"/>
    <w:rsid w:val="00523CC2"/>
    <w:rPr>
      <w:rFonts w:eastAsiaTheme="majorEastAsia" w:cstheme="majorBidi"/>
      <w:b/>
      <w:bCs/>
      <w:iCs/>
      <w:sz w:val="24"/>
      <w:szCs w:val="22"/>
      <w:lang w:val="en-CA" w:eastAsia="en-US"/>
    </w:rPr>
  </w:style>
  <w:style w:type="paragraph" w:styleId="Title">
    <w:name w:val="Title"/>
    <w:basedOn w:val="Normal"/>
    <w:next w:val="Normal"/>
    <w:link w:val="TitleChar"/>
    <w:uiPriority w:val="10"/>
    <w:qFormat/>
    <w:locked/>
    <w:rsid w:val="00523CC2"/>
    <w:pPr>
      <w:spacing w:after="0"/>
      <w:contextualSpacing/>
      <w:jc w:val="center"/>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523CC2"/>
    <w:rPr>
      <w:rFonts w:eastAsiaTheme="majorEastAsia" w:cstheme="majorBidi"/>
      <w:b/>
      <w:spacing w:val="-10"/>
      <w:kern w:val="28"/>
      <w:sz w:val="36"/>
      <w:szCs w:val="56"/>
      <w:lang w:val="en-CA" w:eastAsia="en-US"/>
    </w:rPr>
  </w:style>
  <w:style w:type="character" w:styleId="UnresolvedMention">
    <w:name w:val="Unresolved Mention"/>
    <w:basedOn w:val="DefaultParagraphFont"/>
    <w:uiPriority w:val="99"/>
    <w:semiHidden/>
    <w:unhideWhenUsed/>
    <w:rsid w:val="00CA0323"/>
    <w:rPr>
      <w:color w:val="605E5C"/>
      <w:shd w:val="clear" w:color="auto" w:fill="E1DFDD"/>
    </w:rPr>
  </w:style>
  <w:style w:type="paragraph" w:customStyle="1" w:styleId="Authors">
    <w:name w:val="Authors"/>
    <w:basedOn w:val="Normal"/>
    <w:rsid w:val="00686056"/>
    <w:pPr>
      <w:spacing w:before="120" w:after="360" w:line="240" w:lineRule="auto"/>
      <w:jc w:val="center"/>
    </w:pPr>
    <w:rPr>
      <w:rFonts w:eastAsia="Times New Roman" w:cs="Times New Roman"/>
      <w:szCs w:val="24"/>
      <w:lang w:val="en-US"/>
    </w:rPr>
  </w:style>
  <w:style w:type="paragraph" w:customStyle="1" w:styleId="Head">
    <w:name w:val="Head"/>
    <w:basedOn w:val="Normal"/>
    <w:rsid w:val="00686056"/>
    <w:pPr>
      <w:keepNext/>
      <w:spacing w:before="120" w:after="120" w:line="240" w:lineRule="auto"/>
      <w:jc w:val="center"/>
      <w:outlineLvl w:val="0"/>
    </w:pPr>
    <w:rPr>
      <w:rFonts w:eastAsia="Times New Roman" w:cs="Times New Roman"/>
      <w:b/>
      <w:bCs/>
      <w:kern w:val="28"/>
      <w:sz w:val="28"/>
      <w:szCs w:val="28"/>
      <w:lang w:val="en-US"/>
    </w:rPr>
  </w:style>
  <w:style w:type="paragraph" w:customStyle="1" w:styleId="AbstractSummary">
    <w:name w:val="Abstract/Summary"/>
    <w:basedOn w:val="Normal"/>
    <w:rsid w:val="00686056"/>
    <w:pPr>
      <w:spacing w:before="120" w:after="0" w:line="240" w:lineRule="auto"/>
      <w:jc w:val="left"/>
    </w:pPr>
    <w:rPr>
      <w:rFonts w:eastAsia="Times New Roman" w:cs="Times New Roman"/>
      <w:szCs w:val="24"/>
      <w:lang w:val="en-US"/>
    </w:rPr>
  </w:style>
  <w:style w:type="paragraph" w:customStyle="1" w:styleId="Paragraph">
    <w:name w:val="Paragraph"/>
    <w:basedOn w:val="Normal"/>
    <w:rsid w:val="00686056"/>
    <w:pPr>
      <w:spacing w:before="120" w:after="0" w:line="240" w:lineRule="auto"/>
      <w:ind w:firstLine="720"/>
      <w:jc w:val="left"/>
    </w:pPr>
    <w:rPr>
      <w:rFonts w:eastAsia="Times New Roman" w:cs="Times New Roman"/>
      <w:szCs w:val="24"/>
      <w:lang w:val="en-US"/>
    </w:rPr>
  </w:style>
  <w:style w:type="paragraph" w:customStyle="1" w:styleId="Teaser">
    <w:name w:val="Teaser"/>
    <w:basedOn w:val="Normal"/>
    <w:rsid w:val="00F422D3"/>
    <w:pPr>
      <w:spacing w:before="120" w:after="0" w:line="240" w:lineRule="auto"/>
      <w:jc w:val="left"/>
    </w:pPr>
    <w:rPr>
      <w:rFonts w:eastAsia="Times New Roman" w:cs="Times New Roman"/>
      <w:szCs w:val="24"/>
      <w:lang w:val="en-US"/>
    </w:rPr>
  </w:style>
  <w:style w:type="paragraph" w:styleId="Header">
    <w:name w:val="header"/>
    <w:basedOn w:val="Normal"/>
    <w:link w:val="HeaderChar"/>
    <w:uiPriority w:val="99"/>
    <w:unhideWhenUsed/>
    <w:rsid w:val="007466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665F"/>
    <w:rPr>
      <w:rFonts w:eastAsiaTheme="minorHAnsi" w:cstheme="minorBidi"/>
      <w:sz w:val="24"/>
      <w:szCs w:val="22"/>
      <w:lang w:val="en-CA" w:eastAsia="en-US"/>
    </w:rPr>
  </w:style>
  <w:style w:type="paragraph" w:styleId="Footer">
    <w:name w:val="footer"/>
    <w:basedOn w:val="Normal"/>
    <w:link w:val="FooterChar"/>
    <w:uiPriority w:val="99"/>
    <w:unhideWhenUsed/>
    <w:rsid w:val="007466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65F"/>
    <w:rPr>
      <w:rFonts w:eastAsiaTheme="minorHAnsi" w:cstheme="minorBidi"/>
      <w:sz w:val="24"/>
      <w:szCs w:val="22"/>
      <w:lang w:val="en-CA" w:eastAsia="en-US"/>
    </w:rPr>
  </w:style>
  <w:style w:type="character" w:customStyle="1" w:styleId="Heading5Char">
    <w:name w:val="Heading 5 Char"/>
    <w:basedOn w:val="DefaultParagraphFont"/>
    <w:link w:val="Heading5"/>
    <w:semiHidden/>
    <w:rsid w:val="0099689C"/>
    <w:rPr>
      <w:rFonts w:asciiTheme="majorHAnsi" w:eastAsiaTheme="majorEastAsia" w:hAnsiTheme="majorHAnsi" w:cstheme="majorBidi"/>
      <w:color w:val="365F91" w:themeColor="accent1" w:themeShade="BF"/>
      <w:sz w:val="24"/>
      <w:szCs w:val="22"/>
      <w:lang w:val="en-CA" w:eastAsia="en-US"/>
    </w:rPr>
  </w:style>
  <w:style w:type="paragraph" w:styleId="Caption">
    <w:name w:val="caption"/>
    <w:basedOn w:val="Normal"/>
    <w:next w:val="Normal"/>
    <w:unhideWhenUsed/>
    <w:qFormat/>
    <w:locked/>
    <w:rsid w:val="0099689C"/>
    <w:pPr>
      <w:spacing w:line="240" w:lineRule="auto"/>
    </w:pPr>
    <w:rPr>
      <w:rFonts w:asciiTheme="minorHAnsi" w:eastAsiaTheme="minorEastAsia" w:hAnsiTheme="minorHAnsi"/>
      <w:b/>
      <w:bCs/>
      <w:smallCaps/>
      <w:color w:val="595959" w:themeColor="text1" w:themeTint="A6"/>
      <w:lang w:val="en-US"/>
    </w:rPr>
  </w:style>
  <w:style w:type="paragraph" w:styleId="ListParagraph">
    <w:name w:val="List Paragraph"/>
    <w:basedOn w:val="Normal"/>
    <w:uiPriority w:val="34"/>
    <w:qFormat/>
    <w:rsid w:val="0099689C"/>
    <w:pPr>
      <w:spacing w:line="360" w:lineRule="auto"/>
      <w:ind w:left="720"/>
      <w:contextualSpacing/>
    </w:pPr>
    <w:rPr>
      <w:rFonts w:asciiTheme="minorHAnsi" w:eastAsiaTheme="minorEastAsia" w:hAnsiTheme="minorHAnsi"/>
      <w:color w:val="000000" w:themeColor="text1"/>
      <w:lang w:val="en-US"/>
    </w:rPr>
  </w:style>
  <w:style w:type="paragraph" w:styleId="CommentText">
    <w:name w:val="annotation text"/>
    <w:basedOn w:val="Normal"/>
    <w:link w:val="CommentTextChar"/>
    <w:uiPriority w:val="99"/>
    <w:semiHidden/>
    <w:unhideWhenUsed/>
    <w:rsid w:val="001C40F0"/>
    <w:pPr>
      <w:spacing w:line="240" w:lineRule="auto"/>
    </w:pPr>
    <w:rPr>
      <w:sz w:val="20"/>
      <w:szCs w:val="20"/>
    </w:rPr>
  </w:style>
  <w:style w:type="character" w:customStyle="1" w:styleId="CommentTextChar">
    <w:name w:val="Comment Text Char"/>
    <w:basedOn w:val="DefaultParagraphFont"/>
    <w:link w:val="CommentText"/>
    <w:uiPriority w:val="99"/>
    <w:semiHidden/>
    <w:rsid w:val="001C40F0"/>
    <w:rPr>
      <w:rFonts w:eastAsiaTheme="minorHAnsi" w:cstheme="minorBidi"/>
      <w:lang w:val="en-CA" w:eastAsia="en-US"/>
    </w:rPr>
  </w:style>
  <w:style w:type="character" w:styleId="CommentReference">
    <w:name w:val="annotation reference"/>
    <w:basedOn w:val="DefaultParagraphFont"/>
    <w:uiPriority w:val="99"/>
    <w:semiHidden/>
    <w:unhideWhenUsed/>
    <w:rsid w:val="001C40F0"/>
    <w:rPr>
      <w:sz w:val="16"/>
      <w:szCs w:val="16"/>
    </w:rPr>
  </w:style>
  <w:style w:type="paragraph" w:styleId="Revision">
    <w:name w:val="Revision"/>
    <w:hidden/>
    <w:uiPriority w:val="99"/>
    <w:semiHidden/>
    <w:rsid w:val="00AC5426"/>
    <w:rPr>
      <w:rFonts w:eastAsiaTheme="minorHAnsi" w:cstheme="minorBidi"/>
      <w:sz w:val="24"/>
      <w:szCs w:val="22"/>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71271">
      <w:bodyDiv w:val="1"/>
      <w:marLeft w:val="0"/>
      <w:marRight w:val="0"/>
      <w:marTop w:val="0"/>
      <w:marBottom w:val="0"/>
      <w:divBdr>
        <w:top w:val="none" w:sz="0" w:space="0" w:color="auto"/>
        <w:left w:val="none" w:sz="0" w:space="0" w:color="auto"/>
        <w:bottom w:val="none" w:sz="0" w:space="0" w:color="auto"/>
        <w:right w:val="none" w:sz="0" w:space="0" w:color="auto"/>
      </w:divBdr>
    </w:div>
    <w:div w:id="423846933">
      <w:bodyDiv w:val="1"/>
      <w:marLeft w:val="0"/>
      <w:marRight w:val="0"/>
      <w:marTop w:val="0"/>
      <w:marBottom w:val="0"/>
      <w:divBdr>
        <w:top w:val="none" w:sz="0" w:space="0" w:color="auto"/>
        <w:left w:val="none" w:sz="0" w:space="0" w:color="auto"/>
        <w:bottom w:val="none" w:sz="0" w:space="0" w:color="auto"/>
        <w:right w:val="none" w:sz="0" w:space="0" w:color="auto"/>
      </w:divBdr>
    </w:div>
    <w:div w:id="635986650">
      <w:bodyDiv w:val="1"/>
      <w:marLeft w:val="0"/>
      <w:marRight w:val="0"/>
      <w:marTop w:val="0"/>
      <w:marBottom w:val="0"/>
      <w:divBdr>
        <w:top w:val="none" w:sz="0" w:space="0" w:color="auto"/>
        <w:left w:val="none" w:sz="0" w:space="0" w:color="auto"/>
        <w:bottom w:val="none" w:sz="0" w:space="0" w:color="auto"/>
        <w:right w:val="none" w:sz="0" w:space="0" w:color="auto"/>
      </w:divBdr>
    </w:div>
    <w:div w:id="662465335">
      <w:bodyDiv w:val="1"/>
      <w:marLeft w:val="0"/>
      <w:marRight w:val="0"/>
      <w:marTop w:val="0"/>
      <w:marBottom w:val="0"/>
      <w:divBdr>
        <w:top w:val="none" w:sz="0" w:space="0" w:color="auto"/>
        <w:left w:val="none" w:sz="0" w:space="0" w:color="auto"/>
        <w:bottom w:val="none" w:sz="0" w:space="0" w:color="auto"/>
        <w:right w:val="none" w:sz="0" w:space="0" w:color="auto"/>
      </w:divBdr>
    </w:div>
    <w:div w:id="742945891">
      <w:bodyDiv w:val="1"/>
      <w:marLeft w:val="0"/>
      <w:marRight w:val="0"/>
      <w:marTop w:val="0"/>
      <w:marBottom w:val="0"/>
      <w:divBdr>
        <w:top w:val="none" w:sz="0" w:space="0" w:color="auto"/>
        <w:left w:val="none" w:sz="0" w:space="0" w:color="auto"/>
        <w:bottom w:val="none" w:sz="0" w:space="0" w:color="auto"/>
        <w:right w:val="none" w:sz="0" w:space="0" w:color="auto"/>
      </w:divBdr>
    </w:div>
    <w:div w:id="1007513760">
      <w:bodyDiv w:val="1"/>
      <w:marLeft w:val="0"/>
      <w:marRight w:val="0"/>
      <w:marTop w:val="0"/>
      <w:marBottom w:val="0"/>
      <w:divBdr>
        <w:top w:val="none" w:sz="0" w:space="0" w:color="auto"/>
        <w:left w:val="none" w:sz="0" w:space="0" w:color="auto"/>
        <w:bottom w:val="none" w:sz="0" w:space="0" w:color="auto"/>
        <w:right w:val="none" w:sz="0" w:space="0" w:color="auto"/>
      </w:divBdr>
    </w:div>
    <w:div w:id="1131707609">
      <w:bodyDiv w:val="1"/>
      <w:marLeft w:val="0"/>
      <w:marRight w:val="0"/>
      <w:marTop w:val="0"/>
      <w:marBottom w:val="0"/>
      <w:divBdr>
        <w:top w:val="none" w:sz="0" w:space="0" w:color="auto"/>
        <w:left w:val="none" w:sz="0" w:space="0" w:color="auto"/>
        <w:bottom w:val="none" w:sz="0" w:space="0" w:color="auto"/>
        <w:right w:val="none" w:sz="0" w:space="0" w:color="auto"/>
      </w:divBdr>
    </w:div>
    <w:div w:id="1248348498">
      <w:bodyDiv w:val="1"/>
      <w:marLeft w:val="0"/>
      <w:marRight w:val="0"/>
      <w:marTop w:val="0"/>
      <w:marBottom w:val="0"/>
      <w:divBdr>
        <w:top w:val="none" w:sz="0" w:space="0" w:color="auto"/>
        <w:left w:val="none" w:sz="0" w:space="0" w:color="auto"/>
        <w:bottom w:val="none" w:sz="0" w:space="0" w:color="auto"/>
        <w:right w:val="none" w:sz="0" w:space="0" w:color="auto"/>
      </w:divBdr>
    </w:div>
    <w:div w:id="1273509784">
      <w:bodyDiv w:val="1"/>
      <w:marLeft w:val="0"/>
      <w:marRight w:val="0"/>
      <w:marTop w:val="0"/>
      <w:marBottom w:val="0"/>
      <w:divBdr>
        <w:top w:val="none" w:sz="0" w:space="0" w:color="auto"/>
        <w:left w:val="none" w:sz="0" w:space="0" w:color="auto"/>
        <w:bottom w:val="none" w:sz="0" w:space="0" w:color="auto"/>
        <w:right w:val="none" w:sz="0" w:space="0" w:color="auto"/>
      </w:divBdr>
    </w:div>
    <w:div w:id="1286884502">
      <w:bodyDiv w:val="1"/>
      <w:marLeft w:val="0"/>
      <w:marRight w:val="0"/>
      <w:marTop w:val="0"/>
      <w:marBottom w:val="0"/>
      <w:divBdr>
        <w:top w:val="none" w:sz="0" w:space="0" w:color="auto"/>
        <w:left w:val="none" w:sz="0" w:space="0" w:color="auto"/>
        <w:bottom w:val="none" w:sz="0" w:space="0" w:color="auto"/>
        <w:right w:val="none" w:sz="0" w:space="0" w:color="auto"/>
      </w:divBdr>
    </w:div>
    <w:div w:id="1345355460">
      <w:bodyDiv w:val="1"/>
      <w:marLeft w:val="0"/>
      <w:marRight w:val="0"/>
      <w:marTop w:val="0"/>
      <w:marBottom w:val="0"/>
      <w:divBdr>
        <w:top w:val="none" w:sz="0" w:space="0" w:color="auto"/>
        <w:left w:val="none" w:sz="0" w:space="0" w:color="auto"/>
        <w:bottom w:val="none" w:sz="0" w:space="0" w:color="auto"/>
        <w:right w:val="none" w:sz="0" w:space="0" w:color="auto"/>
      </w:divBdr>
    </w:div>
    <w:div w:id="1352104656">
      <w:marLeft w:val="0"/>
      <w:marRight w:val="0"/>
      <w:marTop w:val="0"/>
      <w:marBottom w:val="0"/>
      <w:divBdr>
        <w:top w:val="none" w:sz="0" w:space="0" w:color="auto"/>
        <w:left w:val="none" w:sz="0" w:space="0" w:color="auto"/>
        <w:bottom w:val="none" w:sz="0" w:space="0" w:color="auto"/>
        <w:right w:val="none" w:sz="0" w:space="0" w:color="auto"/>
      </w:divBdr>
      <w:divsChild>
        <w:div w:id="1352104659">
          <w:marLeft w:val="0"/>
          <w:marRight w:val="0"/>
          <w:marTop w:val="0"/>
          <w:marBottom w:val="0"/>
          <w:divBdr>
            <w:top w:val="none" w:sz="0" w:space="0" w:color="auto"/>
            <w:left w:val="none" w:sz="0" w:space="0" w:color="auto"/>
            <w:bottom w:val="none" w:sz="0" w:space="0" w:color="auto"/>
            <w:right w:val="none" w:sz="0" w:space="0" w:color="auto"/>
          </w:divBdr>
          <w:divsChild>
            <w:div w:id="1352104661">
              <w:marLeft w:val="0"/>
              <w:marRight w:val="0"/>
              <w:marTop w:val="0"/>
              <w:marBottom w:val="0"/>
              <w:divBdr>
                <w:top w:val="none" w:sz="0" w:space="0" w:color="auto"/>
                <w:left w:val="none" w:sz="0" w:space="0" w:color="auto"/>
                <w:bottom w:val="none" w:sz="0" w:space="0" w:color="auto"/>
                <w:right w:val="none" w:sz="0" w:space="0" w:color="auto"/>
              </w:divBdr>
            </w:div>
          </w:divsChild>
        </w:div>
        <w:div w:id="1352104660">
          <w:marLeft w:val="0"/>
          <w:marRight w:val="0"/>
          <w:marTop w:val="0"/>
          <w:marBottom w:val="0"/>
          <w:divBdr>
            <w:top w:val="none" w:sz="0" w:space="0" w:color="auto"/>
            <w:left w:val="none" w:sz="0" w:space="0" w:color="auto"/>
            <w:bottom w:val="none" w:sz="0" w:space="0" w:color="auto"/>
            <w:right w:val="none" w:sz="0" w:space="0" w:color="auto"/>
          </w:divBdr>
          <w:divsChild>
            <w:div w:id="1352104664">
              <w:marLeft w:val="0"/>
              <w:marRight w:val="0"/>
              <w:marTop w:val="0"/>
              <w:marBottom w:val="0"/>
              <w:divBdr>
                <w:top w:val="none" w:sz="0" w:space="0" w:color="auto"/>
                <w:left w:val="none" w:sz="0" w:space="0" w:color="auto"/>
                <w:bottom w:val="none" w:sz="0" w:space="0" w:color="auto"/>
                <w:right w:val="none" w:sz="0" w:space="0" w:color="auto"/>
              </w:divBdr>
            </w:div>
            <w:div w:id="1352104668">
              <w:marLeft w:val="0"/>
              <w:marRight w:val="0"/>
              <w:marTop w:val="0"/>
              <w:marBottom w:val="0"/>
              <w:divBdr>
                <w:top w:val="none" w:sz="0" w:space="0" w:color="auto"/>
                <w:left w:val="none" w:sz="0" w:space="0" w:color="auto"/>
                <w:bottom w:val="none" w:sz="0" w:space="0" w:color="auto"/>
                <w:right w:val="none" w:sz="0" w:space="0" w:color="auto"/>
              </w:divBdr>
            </w:div>
          </w:divsChild>
        </w:div>
        <w:div w:id="1352104666">
          <w:marLeft w:val="0"/>
          <w:marRight w:val="0"/>
          <w:marTop w:val="0"/>
          <w:marBottom w:val="0"/>
          <w:divBdr>
            <w:top w:val="none" w:sz="0" w:space="0" w:color="auto"/>
            <w:left w:val="none" w:sz="0" w:space="0" w:color="auto"/>
            <w:bottom w:val="none" w:sz="0" w:space="0" w:color="auto"/>
            <w:right w:val="none" w:sz="0" w:space="0" w:color="auto"/>
          </w:divBdr>
        </w:div>
      </w:divsChild>
    </w:div>
    <w:div w:id="1352104657">
      <w:marLeft w:val="0"/>
      <w:marRight w:val="0"/>
      <w:marTop w:val="0"/>
      <w:marBottom w:val="0"/>
      <w:divBdr>
        <w:top w:val="none" w:sz="0" w:space="0" w:color="auto"/>
        <w:left w:val="none" w:sz="0" w:space="0" w:color="auto"/>
        <w:bottom w:val="none" w:sz="0" w:space="0" w:color="auto"/>
        <w:right w:val="none" w:sz="0" w:space="0" w:color="auto"/>
      </w:divBdr>
    </w:div>
    <w:div w:id="1352104662">
      <w:marLeft w:val="0"/>
      <w:marRight w:val="0"/>
      <w:marTop w:val="0"/>
      <w:marBottom w:val="0"/>
      <w:divBdr>
        <w:top w:val="none" w:sz="0" w:space="0" w:color="auto"/>
        <w:left w:val="none" w:sz="0" w:space="0" w:color="auto"/>
        <w:bottom w:val="none" w:sz="0" w:space="0" w:color="auto"/>
        <w:right w:val="none" w:sz="0" w:space="0" w:color="auto"/>
      </w:divBdr>
    </w:div>
    <w:div w:id="1352104663">
      <w:marLeft w:val="0"/>
      <w:marRight w:val="0"/>
      <w:marTop w:val="0"/>
      <w:marBottom w:val="0"/>
      <w:divBdr>
        <w:top w:val="none" w:sz="0" w:space="0" w:color="auto"/>
        <w:left w:val="none" w:sz="0" w:space="0" w:color="auto"/>
        <w:bottom w:val="none" w:sz="0" w:space="0" w:color="auto"/>
        <w:right w:val="none" w:sz="0" w:space="0" w:color="auto"/>
      </w:divBdr>
      <w:divsChild>
        <w:div w:id="1352104658">
          <w:marLeft w:val="0"/>
          <w:marRight w:val="0"/>
          <w:marTop w:val="0"/>
          <w:marBottom w:val="0"/>
          <w:divBdr>
            <w:top w:val="none" w:sz="0" w:space="0" w:color="auto"/>
            <w:left w:val="none" w:sz="0" w:space="0" w:color="auto"/>
            <w:bottom w:val="none" w:sz="0" w:space="0" w:color="auto"/>
            <w:right w:val="none" w:sz="0" w:space="0" w:color="auto"/>
          </w:divBdr>
        </w:div>
      </w:divsChild>
    </w:div>
    <w:div w:id="1352104665">
      <w:marLeft w:val="0"/>
      <w:marRight w:val="0"/>
      <w:marTop w:val="0"/>
      <w:marBottom w:val="0"/>
      <w:divBdr>
        <w:top w:val="none" w:sz="0" w:space="0" w:color="auto"/>
        <w:left w:val="none" w:sz="0" w:space="0" w:color="auto"/>
        <w:bottom w:val="none" w:sz="0" w:space="0" w:color="auto"/>
        <w:right w:val="none" w:sz="0" w:space="0" w:color="auto"/>
      </w:divBdr>
    </w:div>
    <w:div w:id="1352104667">
      <w:marLeft w:val="0"/>
      <w:marRight w:val="0"/>
      <w:marTop w:val="0"/>
      <w:marBottom w:val="0"/>
      <w:divBdr>
        <w:top w:val="none" w:sz="0" w:space="0" w:color="auto"/>
        <w:left w:val="none" w:sz="0" w:space="0" w:color="auto"/>
        <w:bottom w:val="none" w:sz="0" w:space="0" w:color="auto"/>
        <w:right w:val="none" w:sz="0" w:space="0" w:color="auto"/>
      </w:divBdr>
      <w:divsChild>
        <w:div w:id="1352104655">
          <w:marLeft w:val="0"/>
          <w:marRight w:val="0"/>
          <w:marTop w:val="0"/>
          <w:marBottom w:val="0"/>
          <w:divBdr>
            <w:top w:val="none" w:sz="0" w:space="0" w:color="auto"/>
            <w:left w:val="none" w:sz="0" w:space="0" w:color="auto"/>
            <w:bottom w:val="none" w:sz="0" w:space="0" w:color="auto"/>
            <w:right w:val="none" w:sz="0" w:space="0" w:color="auto"/>
          </w:divBdr>
        </w:div>
      </w:divsChild>
    </w:div>
    <w:div w:id="1355233604">
      <w:bodyDiv w:val="1"/>
      <w:marLeft w:val="0"/>
      <w:marRight w:val="0"/>
      <w:marTop w:val="0"/>
      <w:marBottom w:val="0"/>
      <w:divBdr>
        <w:top w:val="none" w:sz="0" w:space="0" w:color="auto"/>
        <w:left w:val="none" w:sz="0" w:space="0" w:color="auto"/>
        <w:bottom w:val="none" w:sz="0" w:space="0" w:color="auto"/>
        <w:right w:val="none" w:sz="0" w:space="0" w:color="auto"/>
      </w:divBdr>
    </w:div>
    <w:div w:id="1551305262">
      <w:bodyDiv w:val="1"/>
      <w:marLeft w:val="0"/>
      <w:marRight w:val="0"/>
      <w:marTop w:val="0"/>
      <w:marBottom w:val="0"/>
      <w:divBdr>
        <w:top w:val="none" w:sz="0" w:space="0" w:color="auto"/>
        <w:left w:val="none" w:sz="0" w:space="0" w:color="auto"/>
        <w:bottom w:val="none" w:sz="0" w:space="0" w:color="auto"/>
        <w:right w:val="none" w:sz="0" w:space="0" w:color="auto"/>
      </w:divBdr>
    </w:div>
    <w:div w:id="1967930732">
      <w:bodyDiv w:val="1"/>
      <w:marLeft w:val="0"/>
      <w:marRight w:val="0"/>
      <w:marTop w:val="0"/>
      <w:marBottom w:val="0"/>
      <w:divBdr>
        <w:top w:val="none" w:sz="0" w:space="0" w:color="auto"/>
        <w:left w:val="none" w:sz="0" w:space="0" w:color="auto"/>
        <w:bottom w:val="none" w:sz="0" w:space="0" w:color="auto"/>
        <w:right w:val="none" w:sz="0" w:space="0" w:color="auto"/>
      </w:divBdr>
    </w:div>
    <w:div w:id="198345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as46@cam.ac.uk" TargetMode="Externa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EC80DB-C144-4B47-8C31-5C8C38A71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21</Pages>
  <Words>5129</Words>
  <Characters>124291</Characters>
  <Application>Microsoft Office Word</Application>
  <DocSecurity>0</DocSecurity>
  <Lines>1035</Lines>
  <Paragraphs>258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Heading is in sentence case, bold, centred and fourteen point</vt:lpstr>
      <vt:lpstr>Heading is in sentence case, bold, centred and fourteen point</vt:lpstr>
    </vt:vector>
  </TitlesOfParts>
  <Company>Clinical School Computing Service</Company>
  <LinksUpToDate>false</LinksUpToDate>
  <CharactersWithSpaces>129162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is in sentence case, bold, centred and fourteen point</dc:title>
  <dc:creator/>
  <cp:lastModifiedBy>Nicholas John Simos</cp:lastModifiedBy>
  <cp:revision>44</cp:revision>
  <dcterms:created xsi:type="dcterms:W3CDTF">2022-06-18T08:30:00Z</dcterms:created>
  <dcterms:modified xsi:type="dcterms:W3CDTF">2022-08-19T17:52:00Z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http://www.zotero.org/styles/neuroimage</vt:lpwstr>
  </property>
  <property fmtid="{D5CDD505-2E9C-101B-9397-08002B2CF9AE}" pid="17" name="Mendeley Recent Style Name 7_1">
    <vt:lpwstr>NeuroImage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http://csl.mendeley.com/styles/638045941/vancouver</vt:lpwstr>
  </property>
  <property fmtid="{D5CDD505-2E9C-101B-9397-08002B2CF9AE}" pid="21" name="Mendeley Recent Style Name 9_1">
    <vt:lpwstr>Vancouver - Nicholas John Simos</vt:lpwstr>
  </property>
  <property fmtid="{D5CDD505-2E9C-101B-9397-08002B2CF9AE}" pid="22" name="Mendeley Document_1">
    <vt:lpwstr>True</vt:lpwstr>
  </property>
  <property fmtid="{D5CDD505-2E9C-101B-9397-08002B2CF9AE}" pid="23" name="Mendeley Unique User Id_1">
    <vt:lpwstr>e7c8296e-d10a-397e-9513-f25460e6b579</vt:lpwstr>
  </property>
  <property fmtid="{D5CDD505-2E9C-101B-9397-08002B2CF9AE}" pid="24" name="Mendeley Citation Style_1">
    <vt:lpwstr>http://www.zotero.org/styles/american-political-science-association</vt:lpwstr>
  </property>
</Properties>
</file>