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18A" w:rsidRDefault="001D5DAE">
      <w:r>
        <w:rPr>
          <w:noProof/>
        </w:rPr>
        <w:drawing>
          <wp:inline distT="0" distB="0" distL="0" distR="0">
            <wp:extent cx="3429000" cy="418894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ata 2 new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383" cy="419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5DAE" w:rsidRDefault="001D5DAE"/>
    <w:p w:rsidR="001D5DAE" w:rsidRPr="00242A77" w:rsidRDefault="001D5DAE">
      <w:pPr>
        <w:rPr>
          <w:rFonts w:ascii="Times New Roman" w:hAnsi="Times New Roman" w:cs="Times New Roman"/>
          <w:sz w:val="20"/>
          <w:szCs w:val="20"/>
        </w:rPr>
      </w:pPr>
      <w:r w:rsidRPr="00242A77">
        <w:rPr>
          <w:rFonts w:ascii="Times New Roman" w:hAnsi="Times New Roman" w:cs="Times New Roman"/>
          <w:sz w:val="20"/>
          <w:szCs w:val="20"/>
        </w:rPr>
        <w:t xml:space="preserve">Supplemental Figure 1: RNA sequencing data showing increased expression of SATB2 in ATC compared to other thyroid malignancies. (NT= Normal thyroid tissue, PTC=Papillary thyroid carcinoma, FTC=Follicular thyroid carcinoma, ATC=Anaplastic thyroid carcinoma). (*, **, *** </w:t>
      </w:r>
      <w:r w:rsidRPr="00242A77">
        <w:rPr>
          <w:rFonts w:ascii="Times New Roman" w:hAnsi="Times New Roman" w:cs="Times New Roman"/>
          <w:i/>
          <w:sz w:val="20"/>
          <w:szCs w:val="20"/>
        </w:rPr>
        <w:t>P &lt; 0.05</w:t>
      </w:r>
      <w:r w:rsidRPr="00242A77">
        <w:rPr>
          <w:rFonts w:ascii="Times New Roman" w:hAnsi="Times New Roman" w:cs="Times New Roman"/>
          <w:sz w:val="20"/>
          <w:szCs w:val="20"/>
        </w:rPr>
        <w:t>)</w:t>
      </w:r>
    </w:p>
    <w:p w:rsidR="00E93040" w:rsidRDefault="00E93040"/>
    <w:p w:rsidR="00E93040" w:rsidRDefault="006911CE">
      <w:r>
        <w:rPr>
          <w:noProof/>
        </w:rPr>
        <w:lastRenderedPageBreak/>
        <w:drawing>
          <wp:inline distT="0" distB="0" distL="0" distR="0">
            <wp:extent cx="5943600" cy="545655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TC and ATC revised 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5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3040" w:rsidRPr="00242A77" w:rsidRDefault="00E93040">
      <w:pPr>
        <w:rPr>
          <w:rFonts w:ascii="Times New Roman" w:hAnsi="Times New Roman" w:cs="Times New Roman"/>
          <w:sz w:val="20"/>
          <w:szCs w:val="20"/>
        </w:rPr>
      </w:pPr>
    </w:p>
    <w:p w:rsidR="00E93040" w:rsidRPr="00242A77" w:rsidRDefault="00E93040">
      <w:pPr>
        <w:rPr>
          <w:rFonts w:ascii="Times New Roman" w:hAnsi="Times New Roman" w:cs="Times New Roman"/>
          <w:sz w:val="20"/>
          <w:szCs w:val="20"/>
        </w:rPr>
      </w:pPr>
      <w:r w:rsidRPr="00242A77">
        <w:rPr>
          <w:rFonts w:ascii="Times New Roman" w:hAnsi="Times New Roman" w:cs="Times New Roman"/>
          <w:sz w:val="20"/>
          <w:szCs w:val="20"/>
        </w:rPr>
        <w:t>Supplemental Figure.2: (A-C) Representative case with anaplastic thyroid carcinoma and papillary thyroid carcinoma. (D</w:t>
      </w:r>
      <w:r w:rsidR="00D63F16" w:rsidRPr="00242A77">
        <w:rPr>
          <w:rFonts w:ascii="Times New Roman" w:hAnsi="Times New Roman" w:cs="Times New Roman"/>
          <w:sz w:val="20"/>
          <w:szCs w:val="20"/>
        </w:rPr>
        <w:t>-F</w:t>
      </w:r>
      <w:r w:rsidRPr="00242A77">
        <w:rPr>
          <w:rFonts w:ascii="Times New Roman" w:hAnsi="Times New Roman" w:cs="Times New Roman"/>
          <w:sz w:val="20"/>
          <w:szCs w:val="20"/>
        </w:rPr>
        <w:t xml:space="preserve">) SATB2 IHC showing positive staining in the anaplastic component and negative immune-reactivity in the PTC component </w:t>
      </w:r>
      <w:bookmarkStart w:id="0" w:name="_GoBack"/>
      <w:bookmarkEnd w:id="0"/>
    </w:p>
    <w:sectPr w:rsidR="00E93040" w:rsidRPr="00242A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AE"/>
    <w:rsid w:val="0007284D"/>
    <w:rsid w:val="001D5DAE"/>
    <w:rsid w:val="00242A77"/>
    <w:rsid w:val="00420A78"/>
    <w:rsid w:val="006911CE"/>
    <w:rsid w:val="008D0537"/>
    <w:rsid w:val="009E218A"/>
    <w:rsid w:val="00D63F16"/>
    <w:rsid w:val="00E9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643B9F-9AE0-4E99-B269-A2013102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URMC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Nkosi, Dingani</dc:creator>
  <cp:keywords/>
  <dc:description/>
  <cp:lastModifiedBy>University of Rochester</cp:lastModifiedBy>
  <cp:revision>2</cp:revision>
  <dcterms:created xsi:type="dcterms:W3CDTF">2024-02-12T22:11:00Z</dcterms:created>
  <dcterms:modified xsi:type="dcterms:W3CDTF">2024-02-12T22:11:00Z</dcterms:modified>
</cp:coreProperties>
</file>