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B682C" w14:textId="6003D6A7" w:rsidR="00FD3891" w:rsidRPr="00227041" w:rsidRDefault="00995AB4" w:rsidP="00FD3891">
      <w:pPr>
        <w:spacing w:after="0" w:line="360" w:lineRule="auto"/>
        <w:rPr>
          <w:rFonts w:ascii="Times New Roman" w:hAnsi="Times New Roman" w:cs="Times New Roman"/>
          <w:b/>
          <w:color w:val="000000" w:themeColor="text1"/>
          <w:lang w:val="en-US"/>
        </w:rPr>
      </w:pPr>
      <w:r w:rsidRPr="00227041">
        <w:rPr>
          <w:rFonts w:ascii="Times New Roman" w:eastAsia="Times New Roman" w:hAnsi="Times New Roman" w:cs="Times New Roman"/>
          <w:b/>
          <w:bCs/>
          <w:color w:val="000000" w:themeColor="text1"/>
          <w:lang w:val="en-US"/>
        </w:rPr>
        <w:t>Supplementary material</w:t>
      </w:r>
      <w:r w:rsidR="00FD3891" w:rsidRPr="00227041">
        <w:rPr>
          <w:rFonts w:ascii="Times New Roman" w:eastAsia="Times New Roman" w:hAnsi="Times New Roman" w:cs="Times New Roman"/>
          <w:b/>
          <w:bCs/>
          <w:color w:val="000000" w:themeColor="text1"/>
          <w:lang w:val="en-US"/>
        </w:rPr>
        <w:t xml:space="preserve"> to: </w:t>
      </w:r>
      <w:r w:rsidR="00AB6301" w:rsidRPr="00AB6301">
        <w:rPr>
          <w:rFonts w:ascii="Times New Roman" w:hAnsi="Times New Roman" w:cs="Times New Roman"/>
          <w:b/>
          <w:color w:val="000000" w:themeColor="text1"/>
          <w:lang w:val="en-US"/>
        </w:rPr>
        <w:t>Suicide by flecainide: a case report and review of the literature</w:t>
      </w:r>
    </w:p>
    <w:p w14:paraId="69C83319" w14:textId="77777777" w:rsidR="006E57EA" w:rsidRPr="00227041" w:rsidRDefault="006E57EA" w:rsidP="00FD3891">
      <w:pPr>
        <w:spacing w:after="0" w:line="360" w:lineRule="auto"/>
        <w:rPr>
          <w:rFonts w:ascii="Times New Roman" w:hAnsi="Times New Roman" w:cs="Times New Roman"/>
          <w:b/>
          <w:color w:val="000000" w:themeColor="text1"/>
          <w:lang w:val="en-US"/>
        </w:rPr>
      </w:pPr>
    </w:p>
    <w:p w14:paraId="51D1D90F" w14:textId="66CA7262" w:rsidR="006E57EA" w:rsidRPr="00227041" w:rsidRDefault="006E57EA" w:rsidP="00FD3891">
      <w:pPr>
        <w:spacing w:after="0" w:line="360" w:lineRule="auto"/>
        <w:rPr>
          <w:rFonts w:ascii="Times New Roman" w:hAnsi="Times New Roman" w:cs="Times New Roman"/>
          <w:bCs/>
          <w:color w:val="000000" w:themeColor="text1"/>
          <w:lang w:val="en-US"/>
        </w:rPr>
      </w:pPr>
      <w:r w:rsidRPr="00227041">
        <w:rPr>
          <w:rFonts w:ascii="Times New Roman" w:hAnsi="Times New Roman" w:cs="Times New Roman"/>
          <w:bCs/>
          <w:color w:val="000000" w:themeColor="text1"/>
          <w:lang w:val="en-US"/>
        </w:rPr>
        <w:t>The following sections are included in the Supplemental material.</w:t>
      </w:r>
    </w:p>
    <w:p w14:paraId="6135C858" w14:textId="73CFFA96" w:rsidR="006E57EA" w:rsidRPr="00227041" w:rsidRDefault="006E57EA" w:rsidP="006E57EA">
      <w:pPr>
        <w:pStyle w:val="ListParagraph"/>
        <w:numPr>
          <w:ilvl w:val="0"/>
          <w:numId w:val="3"/>
        </w:numPr>
        <w:tabs>
          <w:tab w:val="left" w:pos="9072"/>
        </w:tabs>
        <w:spacing w:after="0" w:line="360" w:lineRule="auto"/>
        <w:ind w:right="140"/>
        <w:jc w:val="both"/>
        <w:rPr>
          <w:rFonts w:ascii="Times New Roman" w:eastAsia="Times New Roman" w:hAnsi="Times New Roman" w:cs="Times New Roman"/>
          <w:i/>
          <w:iCs/>
          <w:color w:val="000000" w:themeColor="text1"/>
          <w:lang w:val="en-US"/>
        </w:rPr>
      </w:pPr>
      <w:r w:rsidRPr="00227041">
        <w:rPr>
          <w:rFonts w:ascii="Times New Roman" w:eastAsia="Times New Roman" w:hAnsi="Times New Roman" w:cs="Times New Roman"/>
          <w:i/>
          <w:iCs/>
          <w:color w:val="000000" w:themeColor="text1"/>
          <w:lang w:val="en-US"/>
        </w:rPr>
        <w:t xml:space="preserve">Materials and methods. Details on </w:t>
      </w:r>
      <w:r w:rsidR="000602D1" w:rsidRPr="00227041">
        <w:rPr>
          <w:rFonts w:ascii="Times New Roman" w:eastAsia="Times New Roman" w:hAnsi="Times New Roman" w:cs="Times New Roman"/>
          <w:i/>
          <w:iCs/>
          <w:color w:val="000000" w:themeColor="text1"/>
          <w:lang w:val="en-GB"/>
        </w:rPr>
        <w:t>validation of method</w:t>
      </w:r>
      <w:r w:rsidR="00227041" w:rsidRPr="00227041">
        <w:rPr>
          <w:rFonts w:ascii="Times New Roman" w:eastAsia="Times New Roman" w:hAnsi="Times New Roman" w:cs="Times New Roman"/>
          <w:i/>
          <w:iCs/>
          <w:color w:val="000000" w:themeColor="text1"/>
          <w:lang w:val="en-GB"/>
        </w:rPr>
        <w:t xml:space="preserve"> – Table A</w:t>
      </w:r>
    </w:p>
    <w:p w14:paraId="3469CF85" w14:textId="4421380C" w:rsidR="006E57EA" w:rsidRPr="00227041" w:rsidRDefault="006E57EA" w:rsidP="006E57EA">
      <w:pPr>
        <w:pStyle w:val="ListParagraph"/>
        <w:numPr>
          <w:ilvl w:val="0"/>
          <w:numId w:val="3"/>
        </w:numPr>
        <w:spacing w:after="0" w:line="360" w:lineRule="auto"/>
        <w:rPr>
          <w:rFonts w:ascii="Times New Roman" w:hAnsi="Times New Roman" w:cs="Times New Roman"/>
          <w:b/>
          <w:i/>
          <w:iCs/>
          <w:color w:val="000000" w:themeColor="text1"/>
          <w:lang w:val="en-US"/>
        </w:rPr>
      </w:pPr>
      <w:r w:rsidRPr="00227041">
        <w:rPr>
          <w:rFonts w:ascii="Times New Roman" w:eastAsia="Times New Roman" w:hAnsi="Times New Roman" w:cs="Times New Roman"/>
          <w:i/>
          <w:iCs/>
          <w:color w:val="000000" w:themeColor="text1"/>
          <w:lang w:val="en-US"/>
        </w:rPr>
        <w:t xml:space="preserve">Materials and methods. Details on </w:t>
      </w:r>
      <w:r w:rsidR="000602D1" w:rsidRPr="00227041">
        <w:rPr>
          <w:rFonts w:ascii="Times New Roman" w:eastAsia="Times New Roman" w:hAnsi="Times New Roman" w:cs="Times New Roman"/>
          <w:i/>
          <w:iCs/>
          <w:color w:val="000000" w:themeColor="text1"/>
          <w:lang w:val="en-US"/>
        </w:rPr>
        <w:t>pharmacogenetics testing</w:t>
      </w:r>
    </w:p>
    <w:p w14:paraId="25E98CC1" w14:textId="01E74442" w:rsidR="006E57EA" w:rsidRPr="00227041" w:rsidRDefault="006E57EA" w:rsidP="006E57EA">
      <w:pPr>
        <w:pStyle w:val="ListParagraph"/>
        <w:numPr>
          <w:ilvl w:val="0"/>
          <w:numId w:val="3"/>
        </w:numPr>
        <w:spacing w:after="0" w:line="360" w:lineRule="auto"/>
        <w:rPr>
          <w:rFonts w:ascii="Times New Roman" w:hAnsi="Times New Roman" w:cs="Times New Roman"/>
          <w:b/>
          <w:i/>
          <w:iCs/>
          <w:color w:val="000000" w:themeColor="text1"/>
          <w:lang w:val="en-US"/>
        </w:rPr>
      </w:pPr>
      <w:r w:rsidRPr="00227041">
        <w:rPr>
          <w:rFonts w:ascii="Times New Roman" w:eastAsia="Times New Roman" w:hAnsi="Times New Roman" w:cs="Times New Roman"/>
          <w:i/>
          <w:iCs/>
          <w:color w:val="000000" w:themeColor="text1"/>
          <w:lang w:val="en-GB"/>
        </w:rPr>
        <w:t xml:space="preserve">Results </w:t>
      </w:r>
      <w:r w:rsidRPr="00227041">
        <w:rPr>
          <w:rFonts w:ascii="Times New Roman" w:eastAsia="Times New Roman" w:hAnsi="Times New Roman" w:cs="Times New Roman"/>
          <w:i/>
          <w:iCs/>
          <w:color w:val="000000" w:themeColor="text1"/>
          <w:lang w:val="en-US"/>
        </w:rPr>
        <w:t>of pharmacogenetics testing</w:t>
      </w:r>
      <w:r w:rsidR="00227041" w:rsidRPr="00227041">
        <w:rPr>
          <w:rFonts w:ascii="Times New Roman" w:eastAsia="Times New Roman" w:hAnsi="Times New Roman" w:cs="Times New Roman"/>
          <w:i/>
          <w:iCs/>
          <w:color w:val="000000" w:themeColor="text1"/>
          <w:lang w:val="en-US"/>
        </w:rPr>
        <w:t xml:space="preserve"> – Table C</w:t>
      </w:r>
    </w:p>
    <w:p w14:paraId="555C6059" w14:textId="26C2A078" w:rsidR="00995AB4" w:rsidRPr="00227041" w:rsidRDefault="006E57EA" w:rsidP="006E57EA">
      <w:pPr>
        <w:pStyle w:val="ListParagraph"/>
        <w:numPr>
          <w:ilvl w:val="0"/>
          <w:numId w:val="3"/>
        </w:numPr>
        <w:spacing w:after="0" w:line="480" w:lineRule="auto"/>
        <w:ind w:right="140"/>
        <w:jc w:val="both"/>
        <w:rPr>
          <w:rFonts w:ascii="Times New Roman" w:eastAsia="Calibri" w:hAnsi="Times New Roman" w:cs="Times New Roman"/>
          <w:bCs/>
          <w:i/>
          <w:iCs/>
          <w:color w:val="000000" w:themeColor="text1"/>
          <w:lang w:val="en-US"/>
        </w:rPr>
      </w:pPr>
      <w:r w:rsidRPr="00227041">
        <w:rPr>
          <w:rFonts w:ascii="Times New Roman" w:eastAsia="Calibri" w:hAnsi="Times New Roman" w:cs="Times New Roman"/>
          <w:bCs/>
          <w:i/>
          <w:iCs/>
          <w:color w:val="000000" w:themeColor="text1"/>
          <w:lang w:val="en-US"/>
        </w:rPr>
        <w:t>Results of literature review</w:t>
      </w:r>
      <w:r w:rsidR="00227041" w:rsidRPr="00227041">
        <w:rPr>
          <w:rFonts w:ascii="Times New Roman" w:eastAsia="Calibri" w:hAnsi="Times New Roman" w:cs="Times New Roman"/>
          <w:bCs/>
          <w:i/>
          <w:iCs/>
          <w:color w:val="000000" w:themeColor="text1"/>
          <w:lang w:val="en-US"/>
        </w:rPr>
        <w:t xml:space="preserve"> – Table D</w:t>
      </w:r>
    </w:p>
    <w:p w14:paraId="5ED7609B" w14:textId="77777777" w:rsidR="006E57EA" w:rsidRPr="00227041" w:rsidRDefault="006E57EA" w:rsidP="006E57EA">
      <w:pPr>
        <w:spacing w:after="0" w:line="480" w:lineRule="auto"/>
        <w:ind w:right="140"/>
        <w:jc w:val="both"/>
        <w:rPr>
          <w:rFonts w:ascii="Times New Roman" w:eastAsia="Calibri" w:hAnsi="Times New Roman" w:cs="Times New Roman"/>
          <w:bCs/>
          <w:i/>
          <w:iCs/>
          <w:color w:val="000000" w:themeColor="text1"/>
          <w:lang w:val="en-US"/>
        </w:rPr>
      </w:pPr>
    </w:p>
    <w:p w14:paraId="2E4C0737" w14:textId="77777777" w:rsidR="000602D1" w:rsidRPr="00227041" w:rsidRDefault="000602D1" w:rsidP="000602D1">
      <w:pPr>
        <w:pStyle w:val="ListParagraph"/>
        <w:numPr>
          <w:ilvl w:val="0"/>
          <w:numId w:val="1"/>
        </w:numPr>
        <w:tabs>
          <w:tab w:val="left" w:pos="9072"/>
        </w:tabs>
        <w:spacing w:after="0" w:line="360" w:lineRule="auto"/>
        <w:ind w:right="140"/>
        <w:jc w:val="both"/>
        <w:rPr>
          <w:rFonts w:ascii="Times New Roman" w:eastAsia="Times New Roman" w:hAnsi="Times New Roman" w:cs="Times New Roman"/>
          <w:i/>
          <w:iCs/>
          <w:color w:val="000000" w:themeColor="text1"/>
          <w:lang w:val="en-GB"/>
        </w:rPr>
      </w:pPr>
      <w:r w:rsidRPr="00227041">
        <w:rPr>
          <w:rFonts w:ascii="Times New Roman" w:eastAsia="Times New Roman" w:hAnsi="Times New Roman" w:cs="Times New Roman"/>
          <w:i/>
          <w:iCs/>
          <w:color w:val="000000" w:themeColor="text1"/>
          <w:lang w:val="en-US"/>
        </w:rPr>
        <w:t xml:space="preserve">Materials and methods. Details on </w:t>
      </w:r>
      <w:r w:rsidRPr="00227041">
        <w:rPr>
          <w:rFonts w:ascii="Times New Roman" w:eastAsia="Times New Roman" w:hAnsi="Times New Roman" w:cs="Times New Roman"/>
          <w:i/>
          <w:iCs/>
          <w:color w:val="000000" w:themeColor="text1"/>
          <w:lang w:val="en-GB"/>
        </w:rPr>
        <w:t>validation of method</w:t>
      </w:r>
    </w:p>
    <w:p w14:paraId="0476A046" w14:textId="77777777" w:rsidR="000602D1" w:rsidRPr="00227041" w:rsidRDefault="000602D1" w:rsidP="000602D1">
      <w:pPr>
        <w:tabs>
          <w:tab w:val="left" w:pos="9072"/>
        </w:tabs>
        <w:spacing w:after="0" w:line="360" w:lineRule="auto"/>
        <w:ind w:right="142"/>
        <w:jc w:val="both"/>
        <w:rPr>
          <w:rFonts w:ascii="Times New Roman" w:eastAsia="Times New Roman" w:hAnsi="Times New Roman" w:cs="Times New Roman"/>
          <w:color w:val="000000" w:themeColor="text1"/>
          <w:lang w:val="en-US"/>
        </w:rPr>
      </w:pPr>
      <w:r w:rsidRPr="00227041">
        <w:rPr>
          <w:rFonts w:ascii="Times New Roman" w:eastAsia="Times New Roman" w:hAnsi="Times New Roman" w:cs="Times New Roman"/>
          <w:color w:val="000000" w:themeColor="text1"/>
          <w:lang w:val="en-US"/>
        </w:rPr>
        <w:t xml:space="preserve">The validation of the method included: limit of detection (LOD), lower limit of quantification (LLOQ), linearity, analytical bias, carry-over, matrix effect (ME), recovery (RE), and dilution integrity of the method were previously evaluated throughout the method validation process in accordance with suggestions made by the Organization of Scientific Area Committees (OSAC) for Forensic Science </w:t>
      </w:r>
      <w:r w:rsidRPr="00227041">
        <w:rPr>
          <w:rFonts w:ascii="Times New Roman" w:eastAsia="Times New Roman" w:hAnsi="Times New Roman" w:cs="Times New Roman"/>
          <w:color w:val="000000" w:themeColor="text1"/>
          <w:lang w:val="en-US"/>
        </w:rPr>
        <w:fldChar w:fldCharType="begin"/>
      </w:r>
      <w:r w:rsidRPr="00227041">
        <w:rPr>
          <w:rFonts w:ascii="Times New Roman" w:eastAsia="Times New Roman" w:hAnsi="Times New Roman" w:cs="Times New Roman"/>
          <w:color w:val="000000" w:themeColor="text1"/>
          <w:lang w:val="en-US"/>
        </w:rPr>
        <w:instrText xml:space="preserve"> ADDIN ZOTERO_ITEM CSL_CITATION {"citationID":"t9rRG2uq","properties":{"formattedCitation":"[1]","plainCitation":"[1]","noteIndex":0},"citationItems":[{"id":1809,"uris":["http://zotero.org/users/8822686/items/DELQB9GX"],"itemData":{"id":1809,"type":"article-journal","abstract":"Strengthening the nation's use of forensic science by facilitating the development of technically sound standards and guidelines and encouraging their use throughout the forensic science community.","container-title":"NIST","language":"en","note":"Last Modified: 2024-02-16T11:40-05:00","source":"www.nist.gov","title":"Organization of Scientific Area Committees (OSAC) for Forensic Science Standard Practices for Method Development.","URL":"https://www.nist.gov/organization-scientific-area-committees-forensic-science","author":[{"family":"Yang","given":"KM"}],"accessed":{"date-parts":[["2024",3,2]]},"issued":{"date-parts":[["2016",4,11]]}}}],"schema":"https://github.com/citation-style-language/schema/raw/master/csl-citation.json"} </w:instrText>
      </w:r>
      <w:r w:rsidRPr="00227041">
        <w:rPr>
          <w:rFonts w:ascii="Times New Roman" w:eastAsia="Times New Roman" w:hAnsi="Times New Roman" w:cs="Times New Roman"/>
          <w:color w:val="000000" w:themeColor="text1"/>
          <w:lang w:val="en-US"/>
        </w:rPr>
        <w:fldChar w:fldCharType="separate"/>
      </w:r>
      <w:r w:rsidRPr="00227041">
        <w:rPr>
          <w:rFonts w:ascii="Times New Roman" w:eastAsia="Times New Roman" w:hAnsi="Times New Roman" w:cs="Times New Roman"/>
          <w:noProof/>
          <w:color w:val="000000" w:themeColor="text1"/>
          <w:lang w:val="en-US"/>
        </w:rPr>
        <w:t>[1]</w:t>
      </w:r>
      <w:r w:rsidRPr="00227041">
        <w:rPr>
          <w:rFonts w:ascii="Times New Roman" w:eastAsia="Times New Roman" w:hAnsi="Times New Roman" w:cs="Times New Roman"/>
          <w:color w:val="000000" w:themeColor="text1"/>
          <w:lang w:val="en-US"/>
        </w:rPr>
        <w:fldChar w:fldCharType="end"/>
      </w:r>
      <w:r w:rsidRPr="00227041">
        <w:rPr>
          <w:rFonts w:ascii="Times New Roman" w:eastAsia="Times New Roman" w:hAnsi="Times New Roman" w:cs="Times New Roman"/>
          <w:color w:val="000000" w:themeColor="text1"/>
          <w:lang w:val="en-US"/>
        </w:rPr>
        <w:t>, with calibration curves performed over five consecutive days. Validation parameters of the HPLC-MS/MS method for the quantification of flecainide, showing linearity, limit of detection (LOD), lower limit of quantification (LLOQ), precision and accuracy are shown in Table A.</w:t>
      </w:r>
    </w:p>
    <w:p w14:paraId="55EF448B" w14:textId="77777777" w:rsidR="000602D1" w:rsidRPr="00227041" w:rsidRDefault="000602D1" w:rsidP="000602D1">
      <w:pPr>
        <w:spacing w:after="0" w:line="240" w:lineRule="auto"/>
        <w:rPr>
          <w:rFonts w:ascii="Times New Roman" w:eastAsia="Times New Roman" w:hAnsi="Times New Roman" w:cs="Times New Roman"/>
          <w:color w:val="000000" w:themeColor="text1"/>
          <w:sz w:val="24"/>
          <w:szCs w:val="24"/>
          <w:lang w:val="en-GB" w:eastAsia="it-IT"/>
        </w:rPr>
      </w:pPr>
      <w:r w:rsidRPr="00227041">
        <w:rPr>
          <w:rFonts w:ascii="Times New Roman" w:eastAsia="Times New Roman" w:hAnsi="Times New Roman" w:cs="Times New Roman"/>
          <w:color w:val="000000" w:themeColor="text1"/>
          <w:lang w:val="en-US"/>
        </w:rPr>
        <w:t xml:space="preserve">Table A. Validation parameters of the HPLC-MS/MS method for the quantification of flecainide, showing linearity, </w:t>
      </w:r>
      <w:r w:rsidRPr="00227041">
        <w:rPr>
          <w:rFonts w:ascii="Times New Roman" w:eastAsia="Times New Roman" w:hAnsi="Times New Roman" w:cs="Times New Roman"/>
          <w:color w:val="000000" w:themeColor="text1"/>
          <w:sz w:val="24"/>
          <w:szCs w:val="24"/>
          <w:lang w:val="en-GB" w:eastAsia="it-IT"/>
        </w:rPr>
        <w:t xml:space="preserve">limit of detection (LOD), lower limit of quantification (LLOQ), precision and accuracy. </w:t>
      </w:r>
    </w:p>
    <w:p w14:paraId="57255B4A" w14:textId="77777777" w:rsidR="000602D1" w:rsidRPr="00227041" w:rsidRDefault="000602D1" w:rsidP="000602D1">
      <w:pPr>
        <w:spacing w:after="0" w:line="240" w:lineRule="auto"/>
        <w:rPr>
          <w:rFonts w:ascii="Times New Roman" w:eastAsia="Times New Roman" w:hAnsi="Times New Roman" w:cs="Times New Roman"/>
          <w:b/>
          <w:bCs/>
          <w:color w:val="000000" w:themeColor="text1"/>
          <w:sz w:val="24"/>
          <w:szCs w:val="24"/>
          <w:lang w:val="en-US" w:eastAsia="it-IT"/>
        </w:rPr>
      </w:pPr>
      <w:r w:rsidRPr="00227041">
        <w:rPr>
          <w:rFonts w:ascii="Times New Roman" w:eastAsia="Times New Roman" w:hAnsi="Times New Roman" w:cs="Times New Roman"/>
          <w:color w:val="000000" w:themeColor="text1"/>
          <w:sz w:val="24"/>
          <w:szCs w:val="24"/>
          <w:lang w:val="en-GB" w:eastAsia="it-IT"/>
        </w:rPr>
        <w:t>Occorre anche riportare detailed precision and accuracy results rather than just ranges. E anche carry-over, matrix effect recovery, dilution integrity.</w:t>
      </w:r>
    </w:p>
    <w:p w14:paraId="4F2C1B12" w14:textId="77777777" w:rsidR="000602D1" w:rsidRPr="00227041" w:rsidRDefault="000602D1" w:rsidP="000602D1">
      <w:pPr>
        <w:tabs>
          <w:tab w:val="left" w:pos="9072"/>
        </w:tabs>
        <w:spacing w:after="0" w:line="360" w:lineRule="auto"/>
        <w:ind w:right="142"/>
        <w:jc w:val="both"/>
        <w:rPr>
          <w:rFonts w:ascii="Times New Roman" w:eastAsia="Times New Roman" w:hAnsi="Times New Roman" w:cs="Times New Roman"/>
          <w:color w:val="000000" w:themeColor="text1"/>
          <w:lang w:val="en-US"/>
        </w:rPr>
      </w:pPr>
    </w:p>
    <w:p w14:paraId="12C0871E" w14:textId="38A30798" w:rsidR="00227041" w:rsidRPr="00227041" w:rsidRDefault="00227041" w:rsidP="000602D1">
      <w:pPr>
        <w:tabs>
          <w:tab w:val="left" w:pos="9072"/>
        </w:tabs>
        <w:spacing w:after="0" w:line="360" w:lineRule="auto"/>
        <w:ind w:right="142"/>
        <w:jc w:val="both"/>
        <w:rPr>
          <w:rFonts w:ascii="Times New Roman" w:eastAsia="Times New Roman" w:hAnsi="Times New Roman" w:cs="Times New Roman"/>
          <w:b/>
          <w:bCs/>
          <w:color w:val="000000" w:themeColor="text1"/>
          <w:lang w:val="en-US"/>
        </w:rPr>
      </w:pPr>
      <w:r w:rsidRPr="00227041">
        <w:rPr>
          <w:rFonts w:ascii="Times New Roman" w:eastAsia="Times New Roman" w:hAnsi="Times New Roman" w:cs="Times New Roman"/>
          <w:b/>
          <w:bCs/>
          <w:color w:val="000000" w:themeColor="text1"/>
          <w:lang w:val="en-US"/>
        </w:rPr>
        <w:t>Table A</w:t>
      </w:r>
    </w:p>
    <w:tbl>
      <w:tblPr>
        <w:tblStyle w:val="TableGrid"/>
        <w:tblW w:w="9781" w:type="dxa"/>
        <w:tblLook w:val="04A0" w:firstRow="1" w:lastRow="0" w:firstColumn="1" w:lastColumn="0" w:noHBand="0" w:noVBand="1"/>
      </w:tblPr>
      <w:tblGrid>
        <w:gridCol w:w="1542"/>
        <w:gridCol w:w="1542"/>
        <w:gridCol w:w="1403"/>
        <w:gridCol w:w="2025"/>
        <w:gridCol w:w="2032"/>
        <w:gridCol w:w="1237"/>
      </w:tblGrid>
      <w:tr w:rsidR="00227041" w:rsidRPr="00227041" w14:paraId="6A9849B0" w14:textId="77777777" w:rsidTr="001E31BE">
        <w:trPr>
          <w:trHeight w:val="20"/>
        </w:trPr>
        <w:tc>
          <w:tcPr>
            <w:tcW w:w="1542" w:type="dxa"/>
          </w:tcPr>
          <w:p w14:paraId="6A175EAC"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b/>
                <w:bCs/>
                <w:color w:val="000000" w:themeColor="text1"/>
                <w:sz w:val="20"/>
                <w:szCs w:val="20"/>
                <w:lang w:val="en-GB" w:eastAsia="it-IT"/>
              </w:rPr>
              <w:t>Analytes of interest</w:t>
            </w:r>
          </w:p>
        </w:tc>
        <w:tc>
          <w:tcPr>
            <w:tcW w:w="2945" w:type="dxa"/>
            <w:gridSpan w:val="2"/>
          </w:tcPr>
          <w:p w14:paraId="1D97E439"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it-IT"/>
              </w:rPr>
            </w:pPr>
            <w:r w:rsidRPr="00227041">
              <w:rPr>
                <w:rFonts w:ascii="Times New Roman" w:eastAsia="Times New Roman" w:hAnsi="Times New Roman" w:cs="Times New Roman"/>
                <w:b/>
                <w:bCs/>
                <w:color w:val="000000" w:themeColor="text1"/>
                <w:sz w:val="20"/>
                <w:szCs w:val="20"/>
                <w:lang w:val="en-US" w:eastAsia="it-IT"/>
              </w:rPr>
              <w:t>Calibration range</w:t>
            </w:r>
          </w:p>
        </w:tc>
        <w:tc>
          <w:tcPr>
            <w:tcW w:w="2025" w:type="dxa"/>
          </w:tcPr>
          <w:p w14:paraId="671B1C39"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it-IT"/>
              </w:rPr>
            </w:pPr>
            <w:r w:rsidRPr="00227041">
              <w:rPr>
                <w:rFonts w:ascii="Times New Roman" w:eastAsia="Times New Roman" w:hAnsi="Times New Roman" w:cs="Times New Roman"/>
                <w:b/>
                <w:bCs/>
                <w:color w:val="000000" w:themeColor="text1"/>
                <w:sz w:val="20"/>
                <w:szCs w:val="20"/>
                <w:lang w:val="en-US" w:eastAsia="it-IT"/>
              </w:rPr>
              <w:t>n. calibration point</w:t>
            </w:r>
          </w:p>
        </w:tc>
        <w:tc>
          <w:tcPr>
            <w:tcW w:w="2032" w:type="dxa"/>
          </w:tcPr>
          <w:p w14:paraId="1616956B"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it-IT"/>
              </w:rPr>
            </w:pPr>
            <w:r w:rsidRPr="00227041">
              <w:rPr>
                <w:rFonts w:ascii="Times New Roman" w:eastAsia="Times New Roman" w:hAnsi="Times New Roman" w:cs="Times New Roman"/>
                <w:b/>
                <w:bCs/>
                <w:color w:val="000000" w:themeColor="text1"/>
                <w:sz w:val="20"/>
                <w:szCs w:val="20"/>
                <w:lang w:val="en-US" w:eastAsia="it-IT"/>
              </w:rPr>
              <w:t>R</w:t>
            </w:r>
            <w:r w:rsidRPr="00227041">
              <w:rPr>
                <w:rFonts w:ascii="Times New Roman" w:eastAsia="Times New Roman" w:hAnsi="Times New Roman" w:cs="Times New Roman"/>
                <w:b/>
                <w:bCs/>
                <w:color w:val="000000" w:themeColor="text1"/>
                <w:sz w:val="20"/>
                <w:szCs w:val="20"/>
                <w:vertAlign w:val="superscript"/>
                <w:lang w:val="en-US" w:eastAsia="it-IT"/>
              </w:rPr>
              <w:t xml:space="preserve">2 </w:t>
            </w:r>
            <w:r w:rsidRPr="00227041">
              <w:rPr>
                <w:rFonts w:ascii="Times New Roman" w:eastAsia="Times New Roman" w:hAnsi="Times New Roman" w:cs="Times New Roman"/>
                <w:b/>
                <w:bCs/>
                <w:color w:val="000000" w:themeColor="text1"/>
                <w:sz w:val="20"/>
                <w:szCs w:val="20"/>
                <w:lang w:val="en-US" w:eastAsia="it-IT"/>
              </w:rPr>
              <w:t>and  Mandel test</w:t>
            </w:r>
          </w:p>
        </w:tc>
        <w:tc>
          <w:tcPr>
            <w:tcW w:w="1237" w:type="dxa"/>
          </w:tcPr>
          <w:p w14:paraId="7B6EF41F"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it-IT"/>
              </w:rPr>
            </w:pPr>
            <w:r w:rsidRPr="00227041">
              <w:rPr>
                <w:rFonts w:ascii="Times New Roman" w:eastAsia="Times New Roman" w:hAnsi="Times New Roman" w:cs="Times New Roman"/>
                <w:b/>
                <w:bCs/>
                <w:color w:val="000000" w:themeColor="text1"/>
                <w:sz w:val="20"/>
                <w:szCs w:val="20"/>
                <w:lang w:val="en-US" w:eastAsia="it-IT"/>
              </w:rPr>
              <w:t>weighing</w:t>
            </w:r>
          </w:p>
        </w:tc>
      </w:tr>
      <w:tr w:rsidR="00227041" w:rsidRPr="00227041" w14:paraId="324311A9" w14:textId="77777777" w:rsidTr="001E31BE">
        <w:trPr>
          <w:trHeight w:val="20"/>
        </w:trPr>
        <w:tc>
          <w:tcPr>
            <w:tcW w:w="1542" w:type="dxa"/>
            <w:vMerge w:val="restart"/>
          </w:tcPr>
          <w:p w14:paraId="6F4FCB83"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b/>
                <w:bCs/>
                <w:color w:val="000000" w:themeColor="text1"/>
                <w:sz w:val="20"/>
                <w:szCs w:val="20"/>
                <w:lang w:val="en-US" w:eastAsia="en-GB"/>
              </w:rPr>
              <w:t>Flecainide</w:t>
            </w:r>
          </w:p>
        </w:tc>
        <w:tc>
          <w:tcPr>
            <w:tcW w:w="2945" w:type="dxa"/>
            <w:gridSpan w:val="2"/>
          </w:tcPr>
          <w:p w14:paraId="633F53FA"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r w:rsidRPr="00227041">
              <w:rPr>
                <w:rFonts w:ascii="Times New Roman" w:eastAsia="Times New Roman" w:hAnsi="Times New Roman" w:cs="Times New Roman"/>
                <w:color w:val="000000" w:themeColor="text1"/>
                <w:sz w:val="20"/>
                <w:szCs w:val="20"/>
                <w:lang w:val="en-US" w:eastAsia="en-GB"/>
              </w:rPr>
              <w:t>0.5-1000 ng/ml</w:t>
            </w:r>
          </w:p>
        </w:tc>
        <w:tc>
          <w:tcPr>
            <w:tcW w:w="2025" w:type="dxa"/>
          </w:tcPr>
          <w:p w14:paraId="0F859389"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r w:rsidRPr="00227041">
              <w:rPr>
                <w:rFonts w:ascii="Times New Roman" w:eastAsia="Times New Roman" w:hAnsi="Times New Roman" w:cs="Times New Roman"/>
                <w:color w:val="000000" w:themeColor="text1"/>
                <w:sz w:val="20"/>
                <w:szCs w:val="20"/>
                <w:lang w:val="en-US" w:eastAsia="en-GB"/>
              </w:rPr>
              <w:t>8-points calibration curve</w:t>
            </w:r>
          </w:p>
        </w:tc>
        <w:tc>
          <w:tcPr>
            <w:tcW w:w="2032" w:type="dxa"/>
          </w:tcPr>
          <w:p w14:paraId="1279AFF6"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r w:rsidRPr="00227041">
              <w:rPr>
                <w:rFonts w:ascii="Times New Roman" w:eastAsia="Times New Roman" w:hAnsi="Times New Roman" w:cs="Times New Roman"/>
                <w:color w:val="000000" w:themeColor="text1"/>
                <w:sz w:val="20"/>
                <w:szCs w:val="20"/>
                <w:lang w:val="en-US" w:eastAsia="en-GB"/>
              </w:rPr>
              <w:t>R</w:t>
            </w:r>
            <w:r w:rsidRPr="00227041">
              <w:rPr>
                <w:rFonts w:ascii="Times New Roman" w:eastAsia="Times New Roman" w:hAnsi="Times New Roman" w:cs="Times New Roman"/>
                <w:color w:val="000000" w:themeColor="text1"/>
                <w:sz w:val="20"/>
                <w:szCs w:val="20"/>
                <w:vertAlign w:val="superscript"/>
                <w:lang w:val="en-US" w:eastAsia="en-GB"/>
              </w:rPr>
              <w:t>2</w:t>
            </w:r>
            <w:r w:rsidRPr="00227041">
              <w:rPr>
                <w:rFonts w:ascii="Times New Roman" w:eastAsia="Times New Roman" w:hAnsi="Times New Roman" w:cs="Times New Roman"/>
                <w:color w:val="000000" w:themeColor="text1"/>
                <w:sz w:val="20"/>
                <w:szCs w:val="20"/>
                <w:lang w:val="en-US" w:eastAsia="en-GB"/>
              </w:rPr>
              <w:t>= 0.995</w:t>
            </w:r>
          </w:p>
          <w:p w14:paraId="616024E4"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it-IT"/>
              </w:rPr>
            </w:pPr>
            <w:r w:rsidRPr="00227041">
              <w:rPr>
                <w:rFonts w:ascii="Times New Roman" w:eastAsia="Times New Roman" w:hAnsi="Times New Roman" w:cs="Times New Roman"/>
                <w:color w:val="000000" w:themeColor="text1"/>
                <w:sz w:val="20"/>
                <w:szCs w:val="20"/>
                <w:lang w:val="en-US"/>
              </w:rPr>
              <w:t>Mandel test coefficients (p value and Fcrit 95%)</w:t>
            </w:r>
            <w:r w:rsidRPr="00227041">
              <w:rPr>
                <w:rFonts w:ascii="Times New Roman" w:eastAsia="Times New Roman" w:hAnsi="Times New Roman" w:cs="Times New Roman"/>
                <w:color w:val="000000" w:themeColor="text1"/>
                <w:sz w:val="20"/>
                <w:szCs w:val="20"/>
                <w:lang w:val="en-US"/>
              </w:rPr>
              <w:fldChar w:fldCharType="begin"/>
            </w:r>
            <w:r w:rsidRPr="00227041">
              <w:rPr>
                <w:rFonts w:ascii="Times New Roman" w:eastAsia="Times New Roman" w:hAnsi="Times New Roman" w:cs="Times New Roman"/>
                <w:color w:val="000000" w:themeColor="text1"/>
                <w:sz w:val="20"/>
                <w:szCs w:val="20"/>
                <w:lang w:val="en-US"/>
              </w:rPr>
              <w:instrText xml:space="preserve"> ADDIN ZOTERO_ITEM CSL_CITATION {"citationID":"Vk86JbFg","properties":{"formattedCitation":"[2]","plainCitation":"[2]","noteIndex":0},"citationItems":[{"id":1810,"uris":["http://zotero.org/users/8822686/items/JUISLFXT"],"itemData":{"id":1810,"type":"article-journal","container-title":"Biometrische Zeitschrift","DOI":"10.1002/bimj.19680100407","ISSN":"1521-4036","issue":"4","language":"en","license":"Copyright © 1968 WILEY-VCH Verlag GmbH &amp; Co. KGaA, Weinheim","note":"_eprint: https://onlinelibrary.wiley.com/doi/pdf/10.1002/bimj.19680100407","page":"274-275","source":"Wiley Online Library","title":"Mandel, John: The Statistical Analysis of Experimental Data. Wiley &amp; Sons, Inc., New York 1964, 53 Abb., 109 Tab., 7 Taf.","title-short":"Mandel, John","URL":"https://onlinelibrary.wiley.com/doi/abs/10.1002/bimj.19680100407","volume":"10","author":[{"family":"Ahrens","given":"H."}],"accessed":{"date-parts":[["2024",3,2]]},"issued":{"date-parts":[["1968"]]}}}],"schema":"https://github.com/citation-style-language/schema/raw/master/csl-citation.json"} </w:instrText>
            </w:r>
            <w:r w:rsidRPr="00227041">
              <w:rPr>
                <w:rFonts w:ascii="Times New Roman" w:eastAsia="Times New Roman" w:hAnsi="Times New Roman" w:cs="Times New Roman"/>
                <w:color w:val="000000" w:themeColor="text1"/>
                <w:sz w:val="20"/>
                <w:szCs w:val="20"/>
                <w:lang w:val="en-US"/>
              </w:rPr>
              <w:fldChar w:fldCharType="separate"/>
            </w:r>
            <w:r w:rsidRPr="00227041">
              <w:rPr>
                <w:rFonts w:ascii="Times New Roman" w:eastAsia="Times New Roman" w:hAnsi="Times New Roman" w:cs="Times New Roman"/>
                <w:noProof/>
                <w:color w:val="000000" w:themeColor="text1"/>
                <w:sz w:val="20"/>
                <w:szCs w:val="20"/>
                <w:lang w:val="en-US"/>
              </w:rPr>
              <w:t>[2]</w:t>
            </w:r>
            <w:r w:rsidRPr="00227041">
              <w:rPr>
                <w:rFonts w:ascii="Times New Roman" w:eastAsia="Times New Roman" w:hAnsi="Times New Roman" w:cs="Times New Roman"/>
                <w:color w:val="000000" w:themeColor="text1"/>
                <w:sz w:val="20"/>
                <w:szCs w:val="20"/>
                <w:lang w:val="en-US"/>
              </w:rPr>
              <w:fldChar w:fldCharType="end"/>
            </w:r>
          </w:p>
        </w:tc>
        <w:tc>
          <w:tcPr>
            <w:tcW w:w="1237" w:type="dxa"/>
          </w:tcPr>
          <w:p w14:paraId="40742555"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r w:rsidRPr="00227041">
              <w:rPr>
                <w:rFonts w:ascii="Times New Roman" w:eastAsia="Times New Roman" w:hAnsi="Times New Roman" w:cs="Times New Roman"/>
                <w:color w:val="000000" w:themeColor="text1"/>
                <w:sz w:val="20"/>
                <w:szCs w:val="20"/>
                <w:lang w:val="en-US"/>
              </w:rPr>
              <w:t>1/x</w:t>
            </w:r>
            <w:r w:rsidRPr="00227041">
              <w:rPr>
                <w:rFonts w:ascii="Times New Roman" w:eastAsia="Times New Roman" w:hAnsi="Times New Roman" w:cs="Times New Roman"/>
                <w:color w:val="000000" w:themeColor="text1"/>
                <w:sz w:val="20"/>
                <w:szCs w:val="20"/>
                <w:vertAlign w:val="superscript"/>
                <w:lang w:val="en-US"/>
              </w:rPr>
              <w:t>2</w:t>
            </w:r>
            <w:r w:rsidRPr="00227041">
              <w:rPr>
                <w:rFonts w:ascii="Times New Roman" w:eastAsia="Times New Roman" w:hAnsi="Times New Roman" w:cs="Times New Roman"/>
                <w:color w:val="000000" w:themeColor="text1"/>
                <w:sz w:val="20"/>
                <w:szCs w:val="20"/>
                <w:lang w:val="en-US"/>
              </w:rPr>
              <w:t xml:space="preserve"> weighting</w:t>
            </w:r>
            <w:r w:rsidRPr="00227041">
              <w:rPr>
                <w:rFonts w:ascii="Times New Roman" w:eastAsia="Times New Roman" w:hAnsi="Times New Roman" w:cs="Times New Roman"/>
                <w:color w:val="000000" w:themeColor="text1"/>
                <w:sz w:val="20"/>
                <w:szCs w:val="20"/>
                <w:lang w:val="en-US" w:eastAsia="en-GB"/>
              </w:rPr>
              <w:t xml:space="preserve"> </w:t>
            </w:r>
          </w:p>
          <w:p w14:paraId="42C8F3F0"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p>
        </w:tc>
      </w:tr>
      <w:tr w:rsidR="00227041" w:rsidRPr="00A9423D" w14:paraId="6B123D2F" w14:textId="77777777" w:rsidTr="001E31BE">
        <w:trPr>
          <w:gridAfter w:val="1"/>
          <w:wAfter w:w="1237" w:type="dxa"/>
          <w:trHeight w:val="20"/>
        </w:trPr>
        <w:tc>
          <w:tcPr>
            <w:tcW w:w="1542" w:type="dxa"/>
            <w:vMerge/>
          </w:tcPr>
          <w:p w14:paraId="52094135"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en-GB"/>
              </w:rPr>
            </w:pPr>
          </w:p>
        </w:tc>
        <w:tc>
          <w:tcPr>
            <w:tcW w:w="1542" w:type="dxa"/>
          </w:tcPr>
          <w:p w14:paraId="48176CAA"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b/>
                <w:bCs/>
                <w:color w:val="000000" w:themeColor="text1"/>
                <w:sz w:val="20"/>
                <w:szCs w:val="20"/>
                <w:lang w:val="en-GB" w:eastAsia="it-IT"/>
              </w:rPr>
              <w:t>LOD</w:t>
            </w:r>
          </w:p>
          <w:p w14:paraId="45B08A80"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b/>
                <w:bCs/>
                <w:color w:val="000000" w:themeColor="text1"/>
                <w:sz w:val="20"/>
                <w:szCs w:val="20"/>
                <w:lang w:val="en-GB" w:eastAsia="it-IT"/>
              </w:rPr>
              <w:t>[ng/mg]</w:t>
            </w:r>
          </w:p>
        </w:tc>
        <w:tc>
          <w:tcPr>
            <w:tcW w:w="1403" w:type="dxa"/>
          </w:tcPr>
          <w:p w14:paraId="20BE3B0D"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b/>
                <w:bCs/>
                <w:color w:val="000000" w:themeColor="text1"/>
                <w:sz w:val="20"/>
                <w:szCs w:val="20"/>
                <w:lang w:val="en-GB" w:eastAsia="it-IT"/>
              </w:rPr>
              <w:t>LLOQ</w:t>
            </w:r>
          </w:p>
          <w:p w14:paraId="3CEC2070"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r w:rsidRPr="00227041">
              <w:rPr>
                <w:rFonts w:ascii="Times New Roman" w:eastAsia="Times New Roman" w:hAnsi="Times New Roman" w:cs="Times New Roman"/>
                <w:b/>
                <w:bCs/>
                <w:color w:val="000000" w:themeColor="text1"/>
                <w:sz w:val="20"/>
                <w:szCs w:val="20"/>
                <w:lang w:val="en-GB" w:eastAsia="it-IT"/>
              </w:rPr>
              <w:t>[ng/mg]</w:t>
            </w:r>
          </w:p>
        </w:tc>
        <w:tc>
          <w:tcPr>
            <w:tcW w:w="2025" w:type="dxa"/>
          </w:tcPr>
          <w:p w14:paraId="49A543CD"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b/>
                <w:bCs/>
                <w:color w:val="000000" w:themeColor="text1"/>
                <w:sz w:val="20"/>
                <w:szCs w:val="20"/>
                <w:lang w:val="en-GB" w:eastAsia="it-IT"/>
              </w:rPr>
              <w:t>Precision (CV%)</w:t>
            </w:r>
          </w:p>
          <w:p w14:paraId="6426E484"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r w:rsidRPr="00227041">
              <w:rPr>
                <w:rFonts w:ascii="Times New Roman" w:eastAsia="Times New Roman" w:hAnsi="Times New Roman" w:cs="Times New Roman"/>
                <w:b/>
                <w:bCs/>
                <w:color w:val="000000" w:themeColor="text1"/>
                <w:sz w:val="20"/>
                <w:szCs w:val="20"/>
                <w:lang w:val="en-GB" w:eastAsia="it-IT"/>
              </w:rPr>
              <w:t>Intraday (n=3)</w:t>
            </w:r>
            <w:r w:rsidRPr="00227041">
              <w:rPr>
                <w:rFonts w:ascii="Times New Roman" w:eastAsia="Times New Roman" w:hAnsi="Times New Roman" w:cs="Times New Roman"/>
                <w:b/>
                <w:bCs/>
                <w:color w:val="000000" w:themeColor="text1"/>
                <w:sz w:val="20"/>
                <w:szCs w:val="20"/>
                <w:lang w:val="en-US" w:eastAsia="it-IT"/>
              </w:rPr>
              <w:t xml:space="preserve"> Interday (n=5)</w:t>
            </w:r>
          </w:p>
        </w:tc>
        <w:tc>
          <w:tcPr>
            <w:tcW w:w="2032" w:type="dxa"/>
          </w:tcPr>
          <w:p w14:paraId="43197C03"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en-GB"/>
              </w:rPr>
            </w:pPr>
            <w:r w:rsidRPr="00227041">
              <w:rPr>
                <w:rFonts w:ascii="Times New Roman" w:eastAsia="Times New Roman" w:hAnsi="Times New Roman" w:cs="Times New Roman"/>
                <w:b/>
                <w:bCs/>
                <w:color w:val="000000" w:themeColor="text1"/>
                <w:sz w:val="20"/>
                <w:szCs w:val="20"/>
                <w:lang w:val="en-US" w:eastAsia="en-GB"/>
              </w:rPr>
              <w:t>Accuracy (bias%)</w:t>
            </w:r>
          </w:p>
          <w:p w14:paraId="43B753AF" w14:textId="77777777" w:rsidR="000602D1" w:rsidRPr="00227041" w:rsidRDefault="000602D1" w:rsidP="001E31BE">
            <w:pPr>
              <w:spacing w:after="0" w:line="240" w:lineRule="auto"/>
              <w:jc w:val="center"/>
              <w:rPr>
                <w:rFonts w:ascii="Times New Roman" w:eastAsia="Times New Roman" w:hAnsi="Times New Roman" w:cs="Times New Roman"/>
                <w:color w:val="000000" w:themeColor="text1"/>
                <w:sz w:val="20"/>
                <w:szCs w:val="20"/>
                <w:lang w:val="en-US" w:eastAsia="en-GB"/>
              </w:rPr>
            </w:pPr>
            <w:r w:rsidRPr="00227041">
              <w:rPr>
                <w:rFonts w:ascii="Times New Roman" w:eastAsia="Times New Roman" w:hAnsi="Times New Roman" w:cs="Times New Roman"/>
                <w:b/>
                <w:bCs/>
                <w:color w:val="000000" w:themeColor="text1"/>
                <w:sz w:val="20"/>
                <w:szCs w:val="20"/>
                <w:lang w:val="en-GB" w:eastAsia="it-IT"/>
              </w:rPr>
              <w:t>Intraday (n=3)</w:t>
            </w:r>
            <w:r w:rsidRPr="00227041">
              <w:rPr>
                <w:rFonts w:ascii="Times New Roman" w:eastAsia="Times New Roman" w:hAnsi="Times New Roman" w:cs="Times New Roman"/>
                <w:b/>
                <w:bCs/>
                <w:color w:val="000000" w:themeColor="text1"/>
                <w:sz w:val="20"/>
                <w:szCs w:val="20"/>
                <w:lang w:val="en-US" w:eastAsia="it-IT"/>
              </w:rPr>
              <w:t xml:space="preserve"> Interday (n=5)</w:t>
            </w:r>
          </w:p>
        </w:tc>
      </w:tr>
      <w:tr w:rsidR="00227041" w:rsidRPr="00227041" w14:paraId="11C379AF" w14:textId="77777777" w:rsidTr="001E31BE">
        <w:trPr>
          <w:gridAfter w:val="1"/>
          <w:wAfter w:w="1237" w:type="dxa"/>
          <w:trHeight w:val="230"/>
        </w:trPr>
        <w:tc>
          <w:tcPr>
            <w:tcW w:w="1542" w:type="dxa"/>
            <w:vMerge/>
            <w:tcBorders>
              <w:bottom w:val="single" w:sz="4" w:space="0" w:color="auto"/>
            </w:tcBorders>
          </w:tcPr>
          <w:p w14:paraId="35C22165"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en-GB"/>
              </w:rPr>
            </w:pPr>
          </w:p>
        </w:tc>
        <w:tc>
          <w:tcPr>
            <w:tcW w:w="1542" w:type="dxa"/>
            <w:tcBorders>
              <w:bottom w:val="single" w:sz="4" w:space="0" w:color="auto"/>
            </w:tcBorders>
          </w:tcPr>
          <w:p w14:paraId="7387FA21"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color w:val="000000" w:themeColor="text1"/>
                <w:sz w:val="20"/>
                <w:szCs w:val="20"/>
                <w:lang w:val="en-GB" w:eastAsia="it-IT"/>
              </w:rPr>
              <w:t>0.17 ng/ml</w:t>
            </w:r>
          </w:p>
        </w:tc>
        <w:tc>
          <w:tcPr>
            <w:tcW w:w="1403" w:type="dxa"/>
            <w:tcBorders>
              <w:bottom w:val="single" w:sz="4" w:space="0" w:color="auto"/>
            </w:tcBorders>
          </w:tcPr>
          <w:p w14:paraId="4293A70B"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GB" w:eastAsia="it-IT"/>
              </w:rPr>
            </w:pPr>
            <w:r w:rsidRPr="00227041">
              <w:rPr>
                <w:rFonts w:ascii="Times New Roman" w:eastAsia="Times New Roman" w:hAnsi="Times New Roman" w:cs="Times New Roman"/>
                <w:color w:val="000000" w:themeColor="text1"/>
                <w:sz w:val="20"/>
                <w:szCs w:val="20"/>
                <w:lang w:val="en-US" w:eastAsia="en-GB"/>
              </w:rPr>
              <w:t>0.5 ng/ml</w:t>
            </w:r>
          </w:p>
        </w:tc>
        <w:tc>
          <w:tcPr>
            <w:tcW w:w="2025" w:type="dxa"/>
            <w:tcBorders>
              <w:bottom w:val="single" w:sz="4" w:space="0" w:color="auto"/>
            </w:tcBorders>
          </w:tcPr>
          <w:p w14:paraId="357C2FC8"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en-GB"/>
              </w:rPr>
            </w:pPr>
            <w:r w:rsidRPr="00227041">
              <w:rPr>
                <w:rFonts w:ascii="Times New Roman" w:eastAsia="Times New Roman" w:hAnsi="Times New Roman" w:cs="Times New Roman"/>
                <w:color w:val="000000" w:themeColor="text1"/>
                <w:sz w:val="20"/>
                <w:szCs w:val="20"/>
                <w:lang w:val="en-US"/>
              </w:rPr>
              <w:t>within ± 15%</w:t>
            </w:r>
          </w:p>
        </w:tc>
        <w:tc>
          <w:tcPr>
            <w:tcW w:w="2032" w:type="dxa"/>
            <w:tcBorders>
              <w:bottom w:val="single" w:sz="4" w:space="0" w:color="auto"/>
            </w:tcBorders>
          </w:tcPr>
          <w:p w14:paraId="7841DCE0" w14:textId="77777777" w:rsidR="000602D1" w:rsidRPr="00227041" w:rsidRDefault="000602D1" w:rsidP="001E31BE">
            <w:pPr>
              <w:spacing w:after="0" w:line="240" w:lineRule="auto"/>
              <w:jc w:val="center"/>
              <w:rPr>
                <w:rFonts w:ascii="Times New Roman" w:eastAsia="Times New Roman" w:hAnsi="Times New Roman" w:cs="Times New Roman"/>
                <w:b/>
                <w:bCs/>
                <w:color w:val="000000" w:themeColor="text1"/>
                <w:sz w:val="20"/>
                <w:szCs w:val="20"/>
                <w:lang w:val="en-US" w:eastAsia="it-IT"/>
              </w:rPr>
            </w:pPr>
            <w:r w:rsidRPr="00227041">
              <w:rPr>
                <w:rFonts w:ascii="Times New Roman" w:eastAsia="Times New Roman" w:hAnsi="Times New Roman" w:cs="Times New Roman"/>
                <w:color w:val="000000" w:themeColor="text1"/>
                <w:sz w:val="20"/>
                <w:szCs w:val="20"/>
                <w:lang w:val="en-US"/>
              </w:rPr>
              <w:t>within ± 15%</w:t>
            </w:r>
          </w:p>
        </w:tc>
      </w:tr>
    </w:tbl>
    <w:p w14:paraId="131FEF3E" w14:textId="77777777" w:rsidR="000602D1" w:rsidRPr="00227041" w:rsidRDefault="000602D1" w:rsidP="000602D1">
      <w:pPr>
        <w:pStyle w:val="ListParagraph"/>
        <w:spacing w:after="0" w:line="240" w:lineRule="auto"/>
        <w:rPr>
          <w:rFonts w:ascii="Times New Roman" w:eastAsia="Times New Roman" w:hAnsi="Times New Roman" w:cs="Times New Roman"/>
          <w:color w:val="000000" w:themeColor="text1"/>
          <w:sz w:val="18"/>
          <w:szCs w:val="18"/>
          <w:lang w:val="en-GB" w:eastAsia="it-IT"/>
        </w:rPr>
      </w:pPr>
      <w:r w:rsidRPr="00227041">
        <w:rPr>
          <w:rFonts w:ascii="Times New Roman" w:eastAsia="Times New Roman" w:hAnsi="Times New Roman" w:cs="Times New Roman"/>
          <w:color w:val="000000" w:themeColor="text1"/>
          <w:sz w:val="18"/>
          <w:szCs w:val="18"/>
          <w:lang w:val="en-GB" w:eastAsia="it-IT"/>
        </w:rPr>
        <w:t>Linearity as tested by five calibration curves performed in five different days.</w:t>
      </w:r>
    </w:p>
    <w:p w14:paraId="4B29C7A2" w14:textId="77777777" w:rsidR="000602D1" w:rsidRPr="00227041" w:rsidRDefault="000602D1" w:rsidP="000602D1">
      <w:pPr>
        <w:pStyle w:val="ListParagraph"/>
        <w:spacing w:after="0" w:line="240" w:lineRule="auto"/>
        <w:rPr>
          <w:rFonts w:ascii="Times New Roman" w:eastAsia="Times New Roman" w:hAnsi="Times New Roman" w:cs="Times New Roman"/>
          <w:color w:val="000000" w:themeColor="text1"/>
          <w:sz w:val="18"/>
          <w:szCs w:val="18"/>
          <w:lang w:val="en-US" w:eastAsia="it-IT"/>
        </w:rPr>
      </w:pPr>
      <w:r w:rsidRPr="00227041">
        <w:rPr>
          <w:rFonts w:ascii="Times New Roman" w:eastAsia="Times New Roman" w:hAnsi="Times New Roman" w:cs="Times New Roman"/>
          <w:color w:val="000000" w:themeColor="text1"/>
          <w:sz w:val="18"/>
          <w:szCs w:val="18"/>
          <w:lang w:val="en-GB" w:eastAsia="it-IT"/>
        </w:rPr>
        <w:t xml:space="preserve">Precision (coefficient of variation or CV%) = </w:t>
      </w:r>
      <w:r w:rsidRPr="00227041">
        <w:rPr>
          <w:rFonts w:ascii="Times New Roman" w:eastAsia="Times New Roman" w:hAnsi="Times New Roman" w:cs="Times New Roman"/>
          <w:color w:val="000000" w:themeColor="text1"/>
          <w:sz w:val="18"/>
          <w:szCs w:val="18"/>
          <w:lang w:val="en-US" w:eastAsia="it-IT"/>
        </w:rPr>
        <w:t>100 x standard deviation/mean.</w:t>
      </w:r>
    </w:p>
    <w:p w14:paraId="1CDC6ED7" w14:textId="77777777" w:rsidR="000602D1" w:rsidRPr="00227041" w:rsidRDefault="000602D1" w:rsidP="000602D1">
      <w:pPr>
        <w:pStyle w:val="ListParagraph"/>
        <w:spacing w:after="0" w:line="240" w:lineRule="auto"/>
        <w:rPr>
          <w:rFonts w:ascii="Times New Roman" w:eastAsia="Times New Roman" w:hAnsi="Times New Roman" w:cs="Times New Roman"/>
          <w:color w:val="000000" w:themeColor="text1"/>
          <w:sz w:val="18"/>
          <w:szCs w:val="18"/>
          <w:lang w:val="en-US" w:eastAsia="it-IT"/>
        </w:rPr>
      </w:pPr>
      <w:r w:rsidRPr="00227041">
        <w:rPr>
          <w:rFonts w:ascii="Times New Roman" w:eastAsia="Times New Roman" w:hAnsi="Times New Roman" w:cs="Times New Roman"/>
          <w:color w:val="000000" w:themeColor="text1"/>
          <w:sz w:val="18"/>
          <w:szCs w:val="18"/>
          <w:lang w:val="en-US" w:eastAsia="it-IT"/>
        </w:rPr>
        <w:t>Accuracy (bias%) = 100 x [(mean concentration found – nominal concentration)/nominal concentration].</w:t>
      </w:r>
    </w:p>
    <w:p w14:paraId="4F94F18A" w14:textId="77777777" w:rsidR="000602D1" w:rsidRPr="00227041" w:rsidRDefault="000602D1" w:rsidP="000602D1">
      <w:pPr>
        <w:pStyle w:val="ListParagraph"/>
        <w:spacing w:after="0" w:line="240" w:lineRule="auto"/>
        <w:rPr>
          <w:rFonts w:ascii="Times New Roman" w:eastAsia="Times New Roman" w:hAnsi="Times New Roman" w:cs="Times New Roman"/>
          <w:color w:val="000000" w:themeColor="text1"/>
          <w:sz w:val="18"/>
          <w:szCs w:val="18"/>
          <w:lang w:val="en-US" w:eastAsia="it-IT"/>
        </w:rPr>
      </w:pPr>
      <w:r w:rsidRPr="00227041">
        <w:rPr>
          <w:rFonts w:ascii="Times New Roman" w:eastAsia="Times New Roman" w:hAnsi="Times New Roman" w:cs="Times New Roman"/>
          <w:color w:val="000000" w:themeColor="text1"/>
          <w:sz w:val="18"/>
          <w:szCs w:val="18"/>
          <w:lang w:val="en-US" w:eastAsia="it-IT"/>
        </w:rPr>
        <w:t>LOD = defined by signal to noise 1:3 with respect to LLOQ.</w:t>
      </w:r>
    </w:p>
    <w:p w14:paraId="20032742" w14:textId="77777777" w:rsidR="000602D1" w:rsidRPr="00227041" w:rsidRDefault="000602D1" w:rsidP="000602D1">
      <w:pPr>
        <w:pStyle w:val="ListParagraph"/>
        <w:spacing w:after="0" w:line="240" w:lineRule="auto"/>
        <w:rPr>
          <w:rFonts w:ascii="Times New Roman" w:eastAsia="Times New Roman" w:hAnsi="Times New Roman" w:cs="Times New Roman"/>
          <w:color w:val="000000" w:themeColor="text1"/>
          <w:sz w:val="18"/>
          <w:szCs w:val="18"/>
          <w:lang w:val="en-US" w:eastAsia="it-IT"/>
        </w:rPr>
      </w:pPr>
      <w:r w:rsidRPr="00227041">
        <w:rPr>
          <w:rFonts w:ascii="Times New Roman" w:eastAsia="Times New Roman" w:hAnsi="Times New Roman" w:cs="Times New Roman"/>
          <w:color w:val="000000" w:themeColor="text1"/>
          <w:sz w:val="18"/>
          <w:szCs w:val="18"/>
          <w:lang w:val="en-US" w:eastAsia="it-IT"/>
        </w:rPr>
        <w:t>LLOQ = accuracy and precision were within ± 20%</w:t>
      </w:r>
    </w:p>
    <w:p w14:paraId="3405C693" w14:textId="77777777" w:rsidR="000602D1" w:rsidRPr="00227041" w:rsidRDefault="000602D1" w:rsidP="000602D1">
      <w:pPr>
        <w:pStyle w:val="ListParagraph"/>
        <w:tabs>
          <w:tab w:val="left" w:pos="9072"/>
        </w:tabs>
        <w:spacing w:after="0" w:line="360" w:lineRule="auto"/>
        <w:ind w:right="142"/>
        <w:jc w:val="both"/>
        <w:rPr>
          <w:rFonts w:ascii="Times New Roman" w:eastAsia="Times New Roman" w:hAnsi="Times New Roman" w:cs="Times New Roman"/>
          <w:color w:val="000000" w:themeColor="text1"/>
          <w:sz w:val="20"/>
          <w:szCs w:val="20"/>
          <w:lang w:val="en-US"/>
        </w:rPr>
      </w:pPr>
    </w:p>
    <w:p w14:paraId="5C9FC6B3" w14:textId="77777777" w:rsidR="000602D1" w:rsidRPr="00227041" w:rsidRDefault="000602D1" w:rsidP="000602D1">
      <w:pPr>
        <w:pStyle w:val="ListParagraph"/>
        <w:tabs>
          <w:tab w:val="left" w:pos="9072"/>
        </w:tabs>
        <w:spacing w:after="0" w:line="360" w:lineRule="auto"/>
        <w:ind w:right="142"/>
        <w:jc w:val="both"/>
        <w:rPr>
          <w:rFonts w:ascii="Times New Roman" w:hAnsi="Times New Roman" w:cs="Times New Roman"/>
          <w:color w:val="000000" w:themeColor="text1"/>
          <w:sz w:val="20"/>
          <w:szCs w:val="20"/>
          <w:lang w:val="en-GB"/>
        </w:rPr>
      </w:pPr>
    </w:p>
    <w:p w14:paraId="78969DEF" w14:textId="77777777" w:rsidR="000602D1" w:rsidRPr="00227041" w:rsidRDefault="000602D1" w:rsidP="000602D1">
      <w:pPr>
        <w:pStyle w:val="ListParagraph"/>
        <w:jc w:val="both"/>
        <w:rPr>
          <w:rFonts w:ascii="Times New Roman" w:hAnsi="Times New Roman" w:cs="Times New Roman"/>
          <w:color w:val="000000" w:themeColor="text1"/>
          <w:sz w:val="20"/>
          <w:szCs w:val="20"/>
          <w:lang w:val="en-GB"/>
        </w:rPr>
      </w:pPr>
      <w:r w:rsidRPr="00227041">
        <w:rPr>
          <w:rFonts w:ascii="Times New Roman" w:hAnsi="Times New Roman" w:cs="Times New Roman"/>
          <w:color w:val="000000" w:themeColor="text1"/>
          <w:sz w:val="20"/>
          <w:szCs w:val="20"/>
          <w:lang w:val="en-GB"/>
        </w:rPr>
        <w:t>References</w:t>
      </w:r>
    </w:p>
    <w:p w14:paraId="4535E305" w14:textId="77777777" w:rsidR="000602D1" w:rsidRPr="00227041" w:rsidRDefault="000602D1" w:rsidP="000602D1">
      <w:pPr>
        <w:pStyle w:val="Bibliografia1"/>
        <w:ind w:left="720" w:firstLine="0"/>
        <w:jc w:val="both"/>
        <w:rPr>
          <w:rFonts w:ascii="Times New Roman" w:hAnsi="Times New Roman" w:cs="Times New Roman"/>
          <w:color w:val="000000" w:themeColor="text1"/>
          <w:sz w:val="20"/>
          <w:szCs w:val="20"/>
        </w:rPr>
      </w:pPr>
      <w:r w:rsidRPr="00227041">
        <w:rPr>
          <w:rFonts w:ascii="Times New Roman" w:hAnsi="Times New Roman" w:cs="Times New Roman"/>
          <w:color w:val="000000" w:themeColor="text1"/>
          <w:sz w:val="20"/>
          <w:szCs w:val="20"/>
        </w:rPr>
        <w:fldChar w:fldCharType="begin"/>
      </w:r>
      <w:r w:rsidRPr="00227041">
        <w:rPr>
          <w:rFonts w:ascii="Times New Roman" w:hAnsi="Times New Roman" w:cs="Times New Roman"/>
          <w:color w:val="000000" w:themeColor="text1"/>
          <w:sz w:val="20"/>
          <w:szCs w:val="20"/>
        </w:rPr>
        <w:instrText xml:space="preserve"> ADDIN ZOTERO_BIBL {"uncited":[],"omitted":[],"custom":[]} CSL_BIBLIOGRAPHY </w:instrText>
      </w:r>
      <w:r w:rsidRPr="00227041">
        <w:rPr>
          <w:rFonts w:ascii="Times New Roman" w:hAnsi="Times New Roman" w:cs="Times New Roman"/>
          <w:color w:val="000000" w:themeColor="text1"/>
          <w:sz w:val="20"/>
          <w:szCs w:val="20"/>
        </w:rPr>
        <w:fldChar w:fldCharType="separate"/>
      </w:r>
      <w:r w:rsidRPr="00227041">
        <w:rPr>
          <w:rFonts w:ascii="Times New Roman" w:hAnsi="Times New Roman" w:cs="Times New Roman"/>
          <w:color w:val="000000" w:themeColor="text1"/>
          <w:sz w:val="20"/>
          <w:szCs w:val="20"/>
        </w:rPr>
        <w:t>[1]</w:t>
      </w:r>
      <w:r w:rsidRPr="00227041">
        <w:rPr>
          <w:rFonts w:ascii="Times New Roman" w:hAnsi="Times New Roman" w:cs="Times New Roman"/>
          <w:color w:val="000000" w:themeColor="text1"/>
          <w:sz w:val="20"/>
          <w:szCs w:val="20"/>
        </w:rPr>
        <w:tab/>
        <w:t>K. Yang, Organization of Scientific Area Committees (OSAC) for Forensic Science Standard Practices for Method Development., NIST (2016). https://www.nist.gov/organization-scientific-area-committees-forensic-science (accessed March 2, 2024).</w:t>
      </w:r>
    </w:p>
    <w:p w14:paraId="3F5300C5" w14:textId="77777777" w:rsidR="000602D1" w:rsidRPr="00227041" w:rsidRDefault="000602D1" w:rsidP="000602D1">
      <w:pPr>
        <w:pStyle w:val="Bibliografia1"/>
        <w:ind w:left="720" w:firstLine="0"/>
        <w:jc w:val="both"/>
        <w:rPr>
          <w:rFonts w:ascii="Times New Roman" w:hAnsi="Times New Roman" w:cs="Times New Roman"/>
          <w:color w:val="000000" w:themeColor="text1"/>
          <w:sz w:val="20"/>
          <w:szCs w:val="20"/>
        </w:rPr>
      </w:pPr>
      <w:r w:rsidRPr="00227041">
        <w:rPr>
          <w:rFonts w:ascii="Times New Roman" w:hAnsi="Times New Roman" w:cs="Times New Roman"/>
          <w:color w:val="000000" w:themeColor="text1"/>
          <w:sz w:val="20"/>
          <w:szCs w:val="20"/>
        </w:rPr>
        <w:t>[2]</w:t>
      </w:r>
      <w:r w:rsidRPr="00227041">
        <w:rPr>
          <w:rFonts w:ascii="Times New Roman" w:hAnsi="Times New Roman" w:cs="Times New Roman"/>
          <w:color w:val="000000" w:themeColor="text1"/>
          <w:sz w:val="20"/>
          <w:szCs w:val="20"/>
        </w:rPr>
        <w:tab/>
        <w:t>H. Ahrens, Mandel, John: The Statistical Analysis of Experimental Data. Wiley &amp; Sons, Inc., New York 1964, 53 Abb., 109 Tab., 7 Taf., Biom. Z. 10 (1968) 274–275. https://doi.org/10.1002/bimj.19680100407.</w:t>
      </w:r>
    </w:p>
    <w:p w14:paraId="6E516A1E" w14:textId="77777777" w:rsidR="000602D1" w:rsidRPr="00227041" w:rsidRDefault="000602D1" w:rsidP="000602D1">
      <w:pPr>
        <w:pStyle w:val="ListParagraph"/>
        <w:rPr>
          <w:color w:val="000000" w:themeColor="text1"/>
          <w:lang w:val="en-GB"/>
        </w:rPr>
      </w:pPr>
      <w:r w:rsidRPr="00227041">
        <w:rPr>
          <w:color w:val="000000" w:themeColor="text1"/>
          <w:lang w:val="en-GB"/>
        </w:rPr>
        <w:fldChar w:fldCharType="end"/>
      </w:r>
    </w:p>
    <w:p w14:paraId="4C48F84C" w14:textId="77777777" w:rsidR="006E57EA" w:rsidRPr="00227041" w:rsidRDefault="006E57EA" w:rsidP="006E57EA">
      <w:pPr>
        <w:spacing w:after="0" w:line="480" w:lineRule="auto"/>
        <w:ind w:right="140"/>
        <w:jc w:val="both"/>
        <w:rPr>
          <w:rFonts w:ascii="Times New Roman" w:eastAsia="Calibri" w:hAnsi="Times New Roman" w:cs="Times New Roman"/>
          <w:bCs/>
          <w:i/>
          <w:iCs/>
          <w:color w:val="000000" w:themeColor="text1"/>
          <w:lang w:val="en-US"/>
        </w:rPr>
      </w:pPr>
    </w:p>
    <w:p w14:paraId="376DEDC3" w14:textId="48F74BF5" w:rsidR="009E1B81" w:rsidRPr="00227041" w:rsidRDefault="009E1B81" w:rsidP="009E1B81">
      <w:pPr>
        <w:pStyle w:val="ListParagraph"/>
        <w:numPr>
          <w:ilvl w:val="0"/>
          <w:numId w:val="1"/>
        </w:numPr>
        <w:tabs>
          <w:tab w:val="left" w:pos="9072"/>
        </w:tabs>
        <w:spacing w:after="0" w:line="360" w:lineRule="auto"/>
        <w:ind w:right="140"/>
        <w:jc w:val="both"/>
        <w:rPr>
          <w:rFonts w:ascii="Times New Roman" w:eastAsia="Times New Roman" w:hAnsi="Times New Roman" w:cs="Times New Roman"/>
          <w:i/>
          <w:iCs/>
          <w:color w:val="000000" w:themeColor="text1"/>
          <w:lang w:val="en-US"/>
        </w:rPr>
      </w:pPr>
      <w:r w:rsidRPr="00227041">
        <w:rPr>
          <w:rFonts w:ascii="Times New Roman" w:eastAsia="Times New Roman" w:hAnsi="Times New Roman" w:cs="Times New Roman"/>
          <w:i/>
          <w:iCs/>
          <w:color w:val="000000" w:themeColor="text1"/>
          <w:lang w:val="en-US"/>
        </w:rPr>
        <w:t>Materials and methods. Details on pharmacogenetics testing</w:t>
      </w:r>
    </w:p>
    <w:p w14:paraId="66983A66" w14:textId="77777777" w:rsidR="000602D1" w:rsidRPr="00227041" w:rsidRDefault="000602D1" w:rsidP="000602D1">
      <w:pPr>
        <w:tabs>
          <w:tab w:val="left" w:pos="9072"/>
        </w:tabs>
        <w:spacing w:after="0" w:line="360" w:lineRule="auto"/>
        <w:ind w:right="140"/>
        <w:jc w:val="both"/>
        <w:rPr>
          <w:rFonts w:ascii="Times New Roman" w:eastAsia="Times New Roman" w:hAnsi="Times New Roman" w:cs="Times New Roman"/>
          <w:color w:val="000000" w:themeColor="text1"/>
          <w:lang w:val="en-US"/>
        </w:rPr>
      </w:pPr>
      <w:r w:rsidRPr="00227041">
        <w:rPr>
          <w:rFonts w:ascii="Times New Roman" w:hAnsi="Times New Roman" w:cs="Times New Roman"/>
          <w:color w:val="000000" w:themeColor="text1"/>
          <w:lang w:val="en-US"/>
        </w:rPr>
        <w:t>Libraries were prepared according to the Ion AmpliSeq™ Library Kit 2.0 protocol (Life Technologies, Thermo Fisher Scientific, MAN0006735 rev C.0). Libraries enrichment and chip loading steps was performed by using the Ion Chef™ (TFS) and the Ion 520™ Kit. Sequencing was performed on Ion Gene Studio S5</w:t>
      </w:r>
      <w:r w:rsidRPr="00227041">
        <w:rPr>
          <w:rFonts w:ascii="Times New Roman" w:hAnsi="Times New Roman" w:cs="Times New Roman"/>
          <w:color w:val="000000" w:themeColor="text1"/>
          <w:vertAlign w:val="superscript"/>
          <w:lang w:val="en-US"/>
        </w:rPr>
        <w:t>TM</w:t>
      </w:r>
      <w:r w:rsidRPr="00227041">
        <w:rPr>
          <w:rFonts w:ascii="Times New Roman" w:hAnsi="Times New Roman" w:cs="Times New Roman"/>
          <w:color w:val="000000" w:themeColor="text1"/>
          <w:lang w:val="en-US"/>
        </w:rPr>
        <w:t xml:space="preserve"> (TFS). All raw data was processed by the Torrent Suite (v. 5.12.3) and the reads aligned against human reference genome (GRCh37/hg19). Coverage analysis was carried out by Coverage Analysis (v5.12.0.0) plugin, which provided information about mapped reads, on-target percentage and mean depth of coverage downloadable for each sample library. Allelic call for each library were performed through variantCaller Plugin (v.5.12.0.4). The software Integrative Genomics Viewer (IGV) was used to verify the call variants.</w:t>
      </w:r>
    </w:p>
    <w:p w14:paraId="7905587B" w14:textId="77777777" w:rsidR="000602D1" w:rsidRPr="00227041" w:rsidRDefault="000602D1" w:rsidP="000602D1">
      <w:pPr>
        <w:tabs>
          <w:tab w:val="left" w:pos="9072"/>
        </w:tabs>
        <w:spacing w:after="0" w:line="360" w:lineRule="auto"/>
        <w:jc w:val="both"/>
        <w:rPr>
          <w:rFonts w:ascii="Times New Roman" w:eastAsia="Calibri" w:hAnsi="Times New Roman" w:cs="Times New Roman"/>
          <w:color w:val="000000" w:themeColor="text1"/>
          <w:lang w:val="en-US"/>
        </w:rPr>
      </w:pPr>
      <w:r w:rsidRPr="00227041">
        <w:rPr>
          <w:rFonts w:ascii="Times New Roman" w:eastAsia="Calibri" w:hAnsi="Times New Roman" w:cs="Times New Roman"/>
          <w:color w:val="000000" w:themeColor="text1"/>
          <w:lang w:val="en-US"/>
        </w:rPr>
        <w:t>Haplotype translation files were created using data from PharmGKB and used in conjunction with AlleleTyper™ Software (ThermoFisher Scientific) to determines the star-allele results.</w:t>
      </w:r>
    </w:p>
    <w:p w14:paraId="19A3AE99" w14:textId="77777777" w:rsidR="009E1B81" w:rsidRPr="00227041" w:rsidRDefault="009E1B81" w:rsidP="00995AB4">
      <w:pPr>
        <w:tabs>
          <w:tab w:val="left" w:pos="9072"/>
        </w:tabs>
        <w:spacing w:after="0" w:line="360" w:lineRule="auto"/>
        <w:ind w:right="142"/>
        <w:jc w:val="both"/>
        <w:rPr>
          <w:rFonts w:ascii="Times New Roman" w:eastAsia="Times New Roman" w:hAnsi="Times New Roman" w:cs="Times New Roman"/>
          <w:b/>
          <w:bCs/>
          <w:color w:val="000000" w:themeColor="text1"/>
          <w:lang w:val="en-US"/>
        </w:rPr>
      </w:pPr>
    </w:p>
    <w:p w14:paraId="43ADABF7" w14:textId="77777777" w:rsidR="009E1B81" w:rsidRPr="00227041" w:rsidRDefault="009E1B81">
      <w:pPr>
        <w:rPr>
          <w:rFonts w:ascii="Times New Roman" w:hAnsi="Times New Roman" w:cs="Times New Roman"/>
          <w:b/>
          <w:bCs/>
          <w:color w:val="000000" w:themeColor="text1"/>
          <w:lang w:val="en-GB"/>
        </w:rPr>
      </w:pPr>
    </w:p>
    <w:p w14:paraId="3118838E" w14:textId="68B07D5C" w:rsidR="009E1B81" w:rsidRPr="00227041" w:rsidRDefault="009E1B81" w:rsidP="006E57EA">
      <w:pPr>
        <w:pStyle w:val="ListParagraph"/>
        <w:numPr>
          <w:ilvl w:val="0"/>
          <w:numId w:val="1"/>
        </w:numPr>
        <w:spacing w:after="0" w:line="360" w:lineRule="auto"/>
        <w:rPr>
          <w:rFonts w:ascii="Times New Roman" w:hAnsi="Times New Roman" w:cs="Times New Roman"/>
          <w:i/>
          <w:iCs/>
          <w:color w:val="000000" w:themeColor="text1"/>
          <w:lang w:val="en-US"/>
        </w:rPr>
      </w:pPr>
      <w:r w:rsidRPr="00227041">
        <w:rPr>
          <w:rFonts w:ascii="Times New Roman" w:eastAsia="Times New Roman" w:hAnsi="Times New Roman" w:cs="Times New Roman"/>
          <w:i/>
          <w:iCs/>
          <w:color w:val="000000" w:themeColor="text1"/>
          <w:lang w:val="en-US"/>
        </w:rPr>
        <w:t>.</w:t>
      </w:r>
      <w:r w:rsidR="006E57EA" w:rsidRPr="00227041">
        <w:rPr>
          <w:rFonts w:ascii="Times New Roman" w:eastAsia="Times New Roman" w:hAnsi="Times New Roman" w:cs="Times New Roman"/>
          <w:i/>
          <w:iCs/>
          <w:color w:val="000000" w:themeColor="text1"/>
          <w:lang w:val="en-US"/>
        </w:rPr>
        <w:t xml:space="preserve"> </w:t>
      </w:r>
      <w:r w:rsidR="006E57EA" w:rsidRPr="00227041">
        <w:rPr>
          <w:rFonts w:ascii="Times New Roman" w:eastAsia="Times New Roman" w:hAnsi="Times New Roman" w:cs="Times New Roman"/>
          <w:i/>
          <w:iCs/>
          <w:color w:val="000000" w:themeColor="text1"/>
          <w:lang w:val="en-GB"/>
        </w:rPr>
        <w:t xml:space="preserve">Results </w:t>
      </w:r>
      <w:r w:rsidR="006E57EA" w:rsidRPr="00227041">
        <w:rPr>
          <w:rFonts w:ascii="Times New Roman" w:eastAsia="Times New Roman" w:hAnsi="Times New Roman" w:cs="Times New Roman"/>
          <w:i/>
          <w:iCs/>
          <w:color w:val="000000" w:themeColor="text1"/>
          <w:lang w:val="en-US"/>
        </w:rPr>
        <w:t>of pharmacogenetics testing.</w:t>
      </w:r>
    </w:p>
    <w:p w14:paraId="4FC85FD1" w14:textId="6155ED79" w:rsidR="009E1B81" w:rsidRPr="00227041" w:rsidRDefault="009E1B81">
      <w:pPr>
        <w:rPr>
          <w:rFonts w:ascii="Times New Roman" w:hAnsi="Times New Roman" w:cs="Times New Roman"/>
          <w:b/>
          <w:bCs/>
          <w:color w:val="000000" w:themeColor="text1"/>
          <w:lang w:val="en-GB"/>
        </w:rPr>
      </w:pPr>
      <w:r w:rsidRPr="00227041">
        <w:rPr>
          <w:rFonts w:ascii="Times New Roman" w:eastAsia="Times New Roman" w:hAnsi="Times New Roman" w:cs="Times New Roman"/>
          <w:color w:val="000000" w:themeColor="text1"/>
          <w:lang w:val="en-US"/>
        </w:rPr>
        <w:t>Sequencing generated 261510 reads (aligned reads 261190, mean read length 132 bp). The average base coverage depth was 1741 (uniformity of base coverage 99.99%) and all target bases had a coverage of at least 30X. Copy number variations (CNVs) in CYP2D6 were not investigated.</w:t>
      </w:r>
    </w:p>
    <w:p w14:paraId="539BC42E" w14:textId="4D5CF545" w:rsidR="009E1B81" w:rsidRPr="00227041" w:rsidRDefault="009E1B81" w:rsidP="009E1B81">
      <w:pPr>
        <w:spacing w:after="0" w:line="480" w:lineRule="auto"/>
        <w:ind w:right="140"/>
        <w:jc w:val="both"/>
        <w:rPr>
          <w:rFonts w:ascii="Times New Roman" w:hAnsi="Times New Roman" w:cs="Times New Roman"/>
          <w:bCs/>
          <w:color w:val="000000" w:themeColor="text1"/>
          <w:lang w:val="en-US"/>
        </w:rPr>
      </w:pPr>
      <w:r w:rsidRPr="00227041">
        <w:rPr>
          <w:rFonts w:ascii="Times New Roman" w:hAnsi="Times New Roman" w:cs="Times New Roman"/>
          <w:b/>
          <w:color w:val="000000" w:themeColor="text1"/>
          <w:lang w:val="en-US"/>
        </w:rPr>
        <w:t xml:space="preserve">Table </w:t>
      </w:r>
      <w:r w:rsidR="00227041" w:rsidRPr="00227041">
        <w:rPr>
          <w:rFonts w:ascii="Times New Roman" w:hAnsi="Times New Roman" w:cs="Times New Roman"/>
          <w:b/>
          <w:color w:val="000000" w:themeColor="text1"/>
          <w:lang w:val="en-US"/>
        </w:rPr>
        <w:t>C</w:t>
      </w:r>
      <w:r w:rsidRPr="00227041">
        <w:rPr>
          <w:rFonts w:ascii="Times New Roman" w:hAnsi="Times New Roman" w:cs="Times New Roman"/>
          <w:bCs/>
          <w:color w:val="000000" w:themeColor="text1"/>
          <w:lang w:val="en-US"/>
        </w:rPr>
        <w:t xml:space="preserve">. </w:t>
      </w:r>
      <w:r w:rsidRPr="00227041">
        <w:rPr>
          <w:rFonts w:ascii="Times New Roman" w:eastAsia="Times New Roman" w:hAnsi="Times New Roman" w:cs="Times New Roman"/>
          <w:color w:val="000000" w:themeColor="text1"/>
          <w:lang w:val="en-US"/>
        </w:rPr>
        <w:t xml:space="preserve">CYP2D6 genotype and reference as reported in pharmvar </w:t>
      </w:r>
      <w:r w:rsidRPr="00227041">
        <w:rPr>
          <w:rFonts w:ascii="Times New Roman" w:eastAsia="Times New Roman" w:hAnsi="Times New Roman" w:cs="Times New Roman"/>
          <w:color w:val="000000" w:themeColor="text1"/>
          <w:lang w:val="en-US"/>
        </w:rPr>
        <w:fldChar w:fldCharType="begin"/>
      </w:r>
      <w:r w:rsidRPr="00227041">
        <w:rPr>
          <w:rFonts w:ascii="Times New Roman" w:eastAsia="Times New Roman" w:hAnsi="Times New Roman" w:cs="Times New Roman"/>
          <w:color w:val="000000" w:themeColor="text1"/>
          <w:lang w:val="en-US"/>
        </w:rPr>
        <w:instrText xml:space="preserve"> ADDIN ZOTERO_ITEM CSL_CITATION {"citationID":"NbbKVJnL","properties":{"formattedCitation":"[65]","plainCitation":"[65]","noteIndex":0},"citationItems":[{"id":1041,"uris":["http://zotero.org/users/8822686/items/KR9876NV"],"itemData":{"id":1041,"type":"webpage","title":"PharmVar","URL":"https://www.pharmvar.org/","accessed":{"date-parts":[["2023",3,13]]}}}],"schema":"https://github.com/citation-style-language/schema/raw/master/csl-citation.json"} </w:instrText>
      </w:r>
      <w:r w:rsidRPr="00227041">
        <w:rPr>
          <w:rFonts w:ascii="Times New Roman" w:eastAsia="Times New Roman" w:hAnsi="Times New Roman" w:cs="Times New Roman"/>
          <w:color w:val="000000" w:themeColor="text1"/>
          <w:lang w:val="en-US"/>
        </w:rPr>
        <w:fldChar w:fldCharType="separate"/>
      </w:r>
      <w:r w:rsidRPr="00227041">
        <w:rPr>
          <w:rFonts w:ascii="Times New Roman" w:eastAsia="Times New Roman" w:hAnsi="Times New Roman" w:cs="Times New Roman"/>
          <w:noProof/>
          <w:color w:val="000000" w:themeColor="text1"/>
          <w:lang w:val="en-US"/>
        </w:rPr>
        <w:t>[65]</w:t>
      </w:r>
      <w:r w:rsidRPr="00227041">
        <w:rPr>
          <w:rFonts w:ascii="Times New Roman" w:eastAsia="Times New Roman" w:hAnsi="Times New Roman" w:cs="Times New Roman"/>
          <w:color w:val="000000" w:themeColor="text1"/>
          <w:lang w:val="en-US"/>
        </w:rPr>
        <w:fldChar w:fldCharType="end"/>
      </w:r>
    </w:p>
    <w:tbl>
      <w:tblPr>
        <w:tblW w:w="5412" w:type="pct"/>
        <w:tblInd w:w="-572" w:type="dxa"/>
        <w:tblLayout w:type="fixed"/>
        <w:tblCellMar>
          <w:left w:w="0" w:type="dxa"/>
          <w:right w:w="0" w:type="dxa"/>
        </w:tblCellMar>
        <w:tblLook w:val="04A0" w:firstRow="1" w:lastRow="0" w:firstColumn="1" w:lastColumn="0" w:noHBand="0" w:noVBand="1"/>
      </w:tblPr>
      <w:tblGrid>
        <w:gridCol w:w="620"/>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gridCol w:w="363"/>
      </w:tblGrid>
      <w:tr w:rsidR="00227041" w:rsidRPr="00227041" w14:paraId="75F6DDB8" w14:textId="77777777" w:rsidTr="001E31BE">
        <w:trPr>
          <w:trHeight w:val="836"/>
        </w:trPr>
        <w:tc>
          <w:tcPr>
            <w:tcW w:w="298" w:type="pct"/>
            <w:vMerge w:val="restar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9C1F28D"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CYP 2D6</w:t>
            </w:r>
          </w:p>
        </w:tc>
        <w:tc>
          <w:tcPr>
            <w:tcW w:w="174" w:type="pct"/>
            <w:tcBorders>
              <w:top w:val="single" w:sz="4" w:space="0" w:color="auto"/>
              <w:left w:val="nil"/>
              <w:bottom w:val="single" w:sz="4" w:space="0" w:color="auto"/>
              <w:right w:val="single" w:sz="4" w:space="0" w:color="auto"/>
            </w:tcBorders>
            <w:textDirection w:val="btLr"/>
          </w:tcPr>
          <w:p w14:paraId="4082DCE5"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rs1135840</w:t>
            </w:r>
          </w:p>
        </w:tc>
        <w:tc>
          <w:tcPr>
            <w:tcW w:w="17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textDirection w:val="btLr"/>
            <w:vAlign w:val="bottom"/>
            <w:hideMark/>
          </w:tcPr>
          <w:p w14:paraId="77611694"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rs28371730</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62AC205A"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rs2004511</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00620ED1"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rs59421388</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4CDF0D8A"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rs28371725</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24174805"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rs5030867</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2C32A45C"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rs16947</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2DD82E45"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rs5030656</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5973E688"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rs35742686</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4E5FC499"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rs2267447</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4B060F94"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rs111564371</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42906D1E"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rs112568578</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39B6F543"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rs113889384</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3AEBCB41"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rs72549354</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02E15422"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rs3892097</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196555D3"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rs5030865</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5F9A3F58"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rs5030655</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3B7CEC95"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rs1058164</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428CF342"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rs61736512</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345D10BB"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rs1081003</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7157A308"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rs28371706</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4A166696"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rs201377835</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586A6BEC"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rs72549357</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05BB1800"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rs5030862</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7594749D"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rs1065852</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5B4AA937"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rs769258</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textDirection w:val="btLr"/>
            <w:vAlign w:val="bottom"/>
            <w:hideMark/>
          </w:tcPr>
          <w:p w14:paraId="5A4A7853"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rs1080985</w:t>
            </w:r>
          </w:p>
        </w:tc>
      </w:tr>
      <w:tr w:rsidR="00227041" w:rsidRPr="00227041" w14:paraId="3185CB8B" w14:textId="77777777" w:rsidTr="001E31BE">
        <w:trPr>
          <w:trHeight w:val="405"/>
        </w:trPr>
        <w:tc>
          <w:tcPr>
            <w:tcW w:w="298" w:type="pct"/>
            <w:vMerge/>
            <w:tcBorders>
              <w:top w:val="single" w:sz="4" w:space="0" w:color="auto"/>
              <w:left w:val="single" w:sz="4" w:space="0" w:color="auto"/>
              <w:bottom w:val="single" w:sz="4" w:space="0" w:color="auto"/>
              <w:right w:val="single" w:sz="4" w:space="0" w:color="auto"/>
            </w:tcBorders>
            <w:vAlign w:val="center"/>
            <w:hideMark/>
          </w:tcPr>
          <w:p w14:paraId="1AA4C652" w14:textId="77777777" w:rsidR="009E1B81" w:rsidRPr="00227041" w:rsidRDefault="009E1B81" w:rsidP="001E31BE">
            <w:pPr>
              <w:tabs>
                <w:tab w:val="left" w:pos="9072"/>
              </w:tabs>
              <w:spacing w:after="0" w:line="480" w:lineRule="auto"/>
              <w:ind w:right="140"/>
              <w:jc w:val="both"/>
              <w:rPr>
                <w:rFonts w:ascii="Times New Roman" w:eastAsia="Times New Roman" w:hAnsi="Times New Roman" w:cs="Times New Roman"/>
                <w:color w:val="000000" w:themeColor="text1"/>
              </w:rPr>
            </w:pPr>
          </w:p>
        </w:tc>
        <w:tc>
          <w:tcPr>
            <w:tcW w:w="174" w:type="pct"/>
            <w:tcBorders>
              <w:top w:val="nil"/>
              <w:left w:val="nil"/>
              <w:bottom w:val="single" w:sz="4" w:space="0" w:color="auto"/>
              <w:right w:val="single" w:sz="4" w:space="0" w:color="auto"/>
            </w:tcBorders>
            <w:vAlign w:val="center"/>
          </w:tcPr>
          <w:p w14:paraId="3E58EF9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w:t>
            </w:r>
          </w:p>
          <w:p w14:paraId="74ED19DF"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676E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E0D1FC3"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88687D"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1D456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1FD1B0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T/T</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6037AE4"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G/G</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E8E6D5E"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T/T</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906A89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T/T</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F7F2D15"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CF1523F"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0ED3000"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C/G</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57462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G/A</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D2BB51E"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0CFFD0B"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62B4ADD"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E3DF26"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A/A</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F47219"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9C9F2E2"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377C516"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G/A</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4D08F92"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G/G</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0209ED1"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799C68"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720B97"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33501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G/A</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F951B1C"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C/C</w:t>
            </w:r>
          </w:p>
        </w:tc>
        <w:tc>
          <w:tcPr>
            <w:tcW w:w="174" w:type="pct"/>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3DF251" w14:textId="77777777" w:rsidR="009E1B81" w:rsidRPr="00227041" w:rsidRDefault="009E1B81" w:rsidP="001E31BE">
            <w:pPr>
              <w:tabs>
                <w:tab w:val="left" w:pos="9072"/>
              </w:tabs>
              <w:spacing w:after="0" w:line="48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G/G</w:t>
            </w:r>
          </w:p>
        </w:tc>
      </w:tr>
      <w:tr w:rsidR="00227041" w:rsidRPr="00227041" w14:paraId="2CECEDB5" w14:textId="77777777" w:rsidTr="001E31BE">
        <w:trPr>
          <w:trHeight w:val="300"/>
        </w:trPr>
        <w:tc>
          <w:tcPr>
            <w:tcW w:w="298" w:type="pct"/>
            <w:tcBorders>
              <w:top w:val="single" w:sz="4" w:space="0" w:color="auto"/>
              <w:left w:val="single" w:sz="4" w:space="0" w:color="auto"/>
              <w:bottom w:val="single" w:sz="4" w:space="0" w:color="auto"/>
              <w:right w:val="single" w:sz="4" w:space="0" w:color="auto"/>
            </w:tcBorders>
            <w:vAlign w:val="center"/>
          </w:tcPr>
          <w:p w14:paraId="74DE5D39" w14:textId="77777777" w:rsidR="009E1B81" w:rsidRPr="00227041" w:rsidRDefault="009E1B81" w:rsidP="001E31BE">
            <w:pPr>
              <w:tabs>
                <w:tab w:val="left" w:pos="9072"/>
              </w:tabs>
              <w:spacing w:after="0" w:line="360" w:lineRule="auto"/>
              <w:ind w:right="140"/>
              <w:jc w:val="both"/>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 xml:space="preserve">Ref. </w:t>
            </w:r>
            <w:r w:rsidRPr="00227041">
              <w:rPr>
                <w:rFonts w:ascii="Times New Roman" w:eastAsia="Times New Roman" w:hAnsi="Times New Roman" w:cs="Times New Roman"/>
                <w:i/>
                <w:iCs/>
                <w:color w:val="000000" w:themeColor="text1"/>
              </w:rPr>
              <w:t>*1</w:t>
            </w:r>
          </w:p>
        </w:tc>
        <w:tc>
          <w:tcPr>
            <w:tcW w:w="174" w:type="pct"/>
            <w:tcBorders>
              <w:top w:val="single" w:sz="4" w:space="0" w:color="auto"/>
              <w:left w:val="nil"/>
              <w:bottom w:val="single" w:sz="4" w:space="0" w:color="auto"/>
              <w:right w:val="single" w:sz="4" w:space="0" w:color="auto"/>
            </w:tcBorders>
            <w:vAlign w:val="center"/>
          </w:tcPr>
          <w:p w14:paraId="11AB49B9"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337F4FA"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4BE128E"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ADAB577"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37074F1"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C430BCE"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328B7E6"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C23D923"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TCT</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64DBA60"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EF3EA95"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E7B640A"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T</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EB9D4E3"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A28C8AF"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9A7883C"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B225B83"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01D71C7"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4A2BA2E"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A</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1CD5D37"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E7DCD0A"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B2FCC1B"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B5E89F"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4A9FA2C"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7EF3EBB"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046501E"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47C73FA"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7A18EF"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C</w:t>
            </w:r>
          </w:p>
        </w:tc>
        <w:tc>
          <w:tcPr>
            <w:tcW w:w="174"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81B5DDE" w14:textId="77777777" w:rsidR="009E1B81" w:rsidRPr="00227041" w:rsidRDefault="009E1B81" w:rsidP="001E31BE">
            <w:pPr>
              <w:tabs>
                <w:tab w:val="left" w:pos="9072"/>
              </w:tabs>
              <w:spacing w:after="0" w:line="360" w:lineRule="auto"/>
              <w:ind w:right="140"/>
              <w:jc w:val="center"/>
              <w:rPr>
                <w:rFonts w:ascii="Times New Roman" w:eastAsia="Times New Roman" w:hAnsi="Times New Roman" w:cs="Times New Roman"/>
                <w:color w:val="000000" w:themeColor="text1"/>
              </w:rPr>
            </w:pPr>
            <w:r w:rsidRPr="00227041">
              <w:rPr>
                <w:rFonts w:ascii="Times New Roman" w:eastAsia="Times New Roman" w:hAnsi="Times New Roman" w:cs="Times New Roman"/>
                <w:color w:val="000000" w:themeColor="text1"/>
              </w:rPr>
              <w:t>G</w:t>
            </w:r>
          </w:p>
        </w:tc>
      </w:tr>
    </w:tbl>
    <w:p w14:paraId="2565F604" w14:textId="73C8A39A" w:rsidR="00227041" w:rsidRPr="00227041" w:rsidRDefault="00227041">
      <w:pPr>
        <w:rPr>
          <w:color w:val="000000" w:themeColor="text1"/>
          <w:lang w:val="en-GB"/>
        </w:rPr>
      </w:pPr>
    </w:p>
    <w:p w14:paraId="733945C0" w14:textId="77777777" w:rsidR="00227041" w:rsidRPr="00227041" w:rsidRDefault="00227041">
      <w:pPr>
        <w:spacing w:after="0" w:line="240" w:lineRule="auto"/>
        <w:rPr>
          <w:color w:val="000000" w:themeColor="text1"/>
          <w:lang w:val="en-GB"/>
        </w:rPr>
      </w:pPr>
      <w:r w:rsidRPr="00227041">
        <w:rPr>
          <w:color w:val="000000" w:themeColor="text1"/>
          <w:lang w:val="en-GB"/>
        </w:rPr>
        <w:br w:type="page"/>
      </w:r>
    </w:p>
    <w:p w14:paraId="7F3A1F1D" w14:textId="77777777" w:rsidR="009E1B81" w:rsidRPr="00227041" w:rsidRDefault="009E1B81">
      <w:pPr>
        <w:rPr>
          <w:color w:val="000000" w:themeColor="text1"/>
          <w:lang w:val="en-GB"/>
        </w:rPr>
      </w:pPr>
    </w:p>
    <w:p w14:paraId="32C68E1D" w14:textId="63C90463" w:rsidR="009E1B81" w:rsidRPr="00227041" w:rsidRDefault="009E1B81" w:rsidP="006E57EA">
      <w:pPr>
        <w:pStyle w:val="ListParagraph"/>
        <w:numPr>
          <w:ilvl w:val="0"/>
          <w:numId w:val="1"/>
        </w:numPr>
        <w:spacing w:after="0" w:line="480" w:lineRule="auto"/>
        <w:ind w:right="140"/>
        <w:jc w:val="both"/>
        <w:rPr>
          <w:rFonts w:ascii="Times New Roman" w:eastAsia="Calibri" w:hAnsi="Times New Roman" w:cs="Times New Roman"/>
          <w:bCs/>
          <w:i/>
          <w:iCs/>
          <w:color w:val="000000" w:themeColor="text1"/>
          <w:lang w:val="en-US"/>
        </w:rPr>
      </w:pPr>
      <w:r w:rsidRPr="00227041">
        <w:rPr>
          <w:rFonts w:ascii="Times New Roman" w:eastAsia="Calibri" w:hAnsi="Times New Roman" w:cs="Times New Roman"/>
          <w:bCs/>
          <w:i/>
          <w:iCs/>
          <w:color w:val="000000" w:themeColor="text1"/>
          <w:lang w:val="en-US"/>
        </w:rPr>
        <w:t>Results of literature review</w:t>
      </w:r>
      <w:r w:rsidR="006E57EA" w:rsidRPr="00227041">
        <w:rPr>
          <w:rFonts w:ascii="Times New Roman" w:eastAsia="Calibri" w:hAnsi="Times New Roman" w:cs="Times New Roman"/>
          <w:bCs/>
          <w:i/>
          <w:iCs/>
          <w:color w:val="000000" w:themeColor="text1"/>
          <w:lang w:val="en-US"/>
        </w:rPr>
        <w:t>.</w:t>
      </w:r>
    </w:p>
    <w:p w14:paraId="2B618177" w14:textId="053AF364" w:rsidR="00DF70B8" w:rsidRPr="00227041" w:rsidRDefault="00DF70B8" w:rsidP="009E1B81">
      <w:pPr>
        <w:spacing w:after="0" w:line="480" w:lineRule="auto"/>
        <w:ind w:right="140"/>
        <w:jc w:val="both"/>
        <w:rPr>
          <w:rFonts w:ascii="Times New Roman" w:eastAsia="Calibri" w:hAnsi="Times New Roman" w:cs="Times New Roman"/>
          <w:b/>
          <w:color w:val="000000" w:themeColor="text1"/>
          <w:lang w:val="en-US"/>
        </w:rPr>
      </w:pPr>
      <w:r w:rsidRPr="00227041">
        <w:rPr>
          <w:rFonts w:ascii="Times New Roman" w:eastAsia="Calibri" w:hAnsi="Times New Roman" w:cs="Times New Roman"/>
          <w:b/>
          <w:color w:val="000000" w:themeColor="text1"/>
          <w:lang w:val="en-US"/>
        </w:rPr>
        <w:t xml:space="preserve">Table </w:t>
      </w:r>
      <w:r w:rsidR="00227041" w:rsidRPr="00227041">
        <w:rPr>
          <w:rFonts w:ascii="Times New Roman" w:eastAsia="Calibri" w:hAnsi="Times New Roman" w:cs="Times New Roman"/>
          <w:b/>
          <w:color w:val="000000" w:themeColor="text1"/>
          <w:lang w:val="en-US"/>
        </w:rPr>
        <w:t>D</w:t>
      </w:r>
      <w:r w:rsidRPr="00227041">
        <w:rPr>
          <w:rFonts w:ascii="Times New Roman" w:eastAsia="Calibri" w:hAnsi="Times New Roman" w:cs="Times New Roman"/>
          <w:bCs/>
          <w:color w:val="000000" w:themeColor="text1"/>
          <w:lang w:val="en-US"/>
        </w:rPr>
        <w:t xml:space="preserve">. </w:t>
      </w:r>
      <w:r w:rsidRPr="00227041">
        <w:rPr>
          <w:rFonts w:ascii="Times New Roman" w:eastAsia="Times New Roman" w:hAnsi="Times New Roman" w:cs="Times New Roman"/>
          <w:color w:val="000000" w:themeColor="text1"/>
          <w:lang w:val="en-US"/>
        </w:rPr>
        <w:t>Cases of non-fatal acute intoxication related to flecainide</w:t>
      </w:r>
    </w:p>
    <w:tbl>
      <w:tblPr>
        <w:tblW w:w="5221" w:type="pct"/>
        <w:jc w:val="center"/>
        <w:tblBorders>
          <w:top w:val="single" w:sz="8" w:space="0" w:color="auto"/>
          <w:bottom w:val="single" w:sz="8" w:space="0" w:color="auto"/>
          <w:insideH w:val="single" w:sz="4" w:space="0" w:color="auto"/>
        </w:tblBorders>
        <w:tblLayout w:type="fixed"/>
        <w:tblCellMar>
          <w:left w:w="70" w:type="dxa"/>
          <w:right w:w="70" w:type="dxa"/>
        </w:tblCellMar>
        <w:tblLook w:val="04A0" w:firstRow="1" w:lastRow="0" w:firstColumn="1" w:lastColumn="0" w:noHBand="0" w:noVBand="1"/>
      </w:tblPr>
      <w:tblGrid>
        <w:gridCol w:w="851"/>
        <w:gridCol w:w="1844"/>
        <w:gridCol w:w="1558"/>
        <w:gridCol w:w="1417"/>
        <w:gridCol w:w="3545"/>
        <w:gridCol w:w="849"/>
      </w:tblGrid>
      <w:tr w:rsidR="00227041" w:rsidRPr="00227041" w14:paraId="187E170B" w14:textId="77777777" w:rsidTr="00B11806">
        <w:trPr>
          <w:jc w:val="center"/>
        </w:trPr>
        <w:tc>
          <w:tcPr>
            <w:tcW w:w="423" w:type="pct"/>
            <w:vAlign w:val="center"/>
            <w:hideMark/>
          </w:tcPr>
          <w:p w14:paraId="48F7C15C" w14:textId="7D99D3A5" w:rsidR="00DF70B8" w:rsidRPr="00227041" w:rsidRDefault="00A9423D" w:rsidP="00B11806">
            <w:pPr>
              <w:autoSpaceDE w:val="0"/>
              <w:autoSpaceDN w:val="0"/>
              <w:adjustRightInd w:val="0"/>
              <w:snapToGrid w:val="0"/>
              <w:spacing w:after="0" w:line="276" w:lineRule="auto"/>
              <w:rPr>
                <w:rFonts w:ascii="Times New Roman" w:eastAsia="Calibri" w:hAnsi="Times New Roman" w:cs="Times New Roman"/>
                <w:b/>
                <w:bCs/>
                <w:color w:val="000000" w:themeColor="text1"/>
                <w:sz w:val="18"/>
                <w:szCs w:val="18"/>
                <w:lang w:val="en-US" w:eastAsia="ar-SA"/>
              </w:rPr>
            </w:pPr>
            <w:r>
              <w:rPr>
                <w:rFonts w:ascii="Times New Roman" w:eastAsia="Calibri" w:hAnsi="Times New Roman" w:cs="Times New Roman"/>
                <w:b/>
                <w:bCs/>
                <w:color w:val="000000" w:themeColor="text1"/>
                <w:sz w:val="18"/>
                <w:szCs w:val="18"/>
                <w:lang w:val="en-US" w:eastAsia="ar-SA"/>
              </w:rPr>
              <w:t>Gender</w:t>
            </w:r>
            <w:r w:rsidR="00DF70B8" w:rsidRPr="00227041">
              <w:rPr>
                <w:rFonts w:ascii="Times New Roman" w:eastAsia="Calibri" w:hAnsi="Times New Roman" w:cs="Times New Roman"/>
                <w:b/>
                <w:bCs/>
                <w:color w:val="000000" w:themeColor="text1"/>
                <w:sz w:val="18"/>
                <w:szCs w:val="18"/>
                <w:lang w:val="en-US" w:eastAsia="ar-SA"/>
              </w:rPr>
              <w:t>, Age</w:t>
            </w:r>
          </w:p>
          <w:p w14:paraId="63C1CC06" w14:textId="77777777" w:rsidR="00DF70B8" w:rsidRPr="00227041" w:rsidRDefault="00DF70B8" w:rsidP="00B11806">
            <w:pPr>
              <w:autoSpaceDE w:val="0"/>
              <w:autoSpaceDN w:val="0"/>
              <w:adjustRightInd w:val="0"/>
              <w:snapToGrid w:val="0"/>
              <w:spacing w:after="0" w:line="276" w:lineRule="auto"/>
              <w:rPr>
                <w:rFonts w:ascii="Times New Roman" w:eastAsia="Times New Roman" w:hAnsi="Times New Roman" w:cs="Times New Roman"/>
                <w:b/>
                <w:bCs/>
                <w:color w:val="000000" w:themeColor="text1"/>
                <w:sz w:val="18"/>
                <w:szCs w:val="18"/>
                <w:lang w:val="en-US" w:eastAsia="it-IT"/>
              </w:rPr>
            </w:pPr>
            <w:r w:rsidRPr="00227041">
              <w:rPr>
                <w:rFonts w:ascii="Times New Roman" w:eastAsia="Times New Roman" w:hAnsi="Times New Roman" w:cs="Times New Roman"/>
                <w:b/>
                <w:bCs/>
                <w:color w:val="000000" w:themeColor="text1"/>
                <w:sz w:val="18"/>
                <w:szCs w:val="18"/>
                <w:lang w:val="en-US" w:eastAsia="it-IT"/>
              </w:rPr>
              <w:t>(y-o)</w:t>
            </w:r>
          </w:p>
        </w:tc>
        <w:tc>
          <w:tcPr>
            <w:tcW w:w="916" w:type="pct"/>
            <w:vAlign w:val="center"/>
            <w:hideMark/>
          </w:tcPr>
          <w:p w14:paraId="1CBCE7B6" w14:textId="77777777" w:rsidR="00DF70B8" w:rsidRPr="00227041" w:rsidRDefault="00DF70B8" w:rsidP="00B11806">
            <w:pPr>
              <w:autoSpaceDE w:val="0"/>
              <w:autoSpaceDN w:val="0"/>
              <w:adjustRightInd w:val="0"/>
              <w:snapToGrid w:val="0"/>
              <w:spacing w:after="0" w:line="276" w:lineRule="auto"/>
              <w:jc w:val="center"/>
              <w:rPr>
                <w:rFonts w:ascii="Times New Roman" w:eastAsia="Times New Roman" w:hAnsi="Times New Roman" w:cs="Times New Roman"/>
                <w:b/>
                <w:bCs/>
                <w:color w:val="000000" w:themeColor="text1"/>
                <w:sz w:val="18"/>
                <w:szCs w:val="18"/>
                <w:lang w:val="en-US" w:eastAsia="it-IT"/>
              </w:rPr>
            </w:pPr>
            <w:r w:rsidRPr="00227041">
              <w:rPr>
                <w:rFonts w:ascii="Times New Roman" w:eastAsia="Calibri" w:hAnsi="Times New Roman" w:cs="Times New Roman"/>
                <w:b/>
                <w:bCs/>
                <w:color w:val="000000" w:themeColor="text1"/>
                <w:sz w:val="18"/>
                <w:szCs w:val="18"/>
                <w:lang w:val="en-US" w:eastAsia="ar-SA"/>
              </w:rPr>
              <w:t>Flecanide concentrations (mg/l or mg/kg)</w:t>
            </w:r>
          </w:p>
        </w:tc>
        <w:tc>
          <w:tcPr>
            <w:tcW w:w="774" w:type="pct"/>
            <w:vAlign w:val="center"/>
          </w:tcPr>
          <w:p w14:paraId="1611E95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b/>
                <w:bCs/>
                <w:color w:val="000000" w:themeColor="text1"/>
                <w:sz w:val="18"/>
                <w:szCs w:val="18"/>
                <w:lang w:val="en-US" w:eastAsia="ar-SA"/>
              </w:rPr>
            </w:pPr>
            <w:r w:rsidRPr="00227041">
              <w:rPr>
                <w:rFonts w:ascii="Times New Roman" w:eastAsia="Calibri" w:hAnsi="Times New Roman" w:cs="Times New Roman"/>
                <w:b/>
                <w:bCs/>
                <w:color w:val="000000" w:themeColor="text1"/>
                <w:sz w:val="18"/>
                <w:szCs w:val="18"/>
                <w:lang w:val="en-US" w:eastAsia="ar-SA"/>
              </w:rPr>
              <w:t>Other drugs detected in blood (mg/l or mg/kg)</w:t>
            </w:r>
          </w:p>
        </w:tc>
        <w:tc>
          <w:tcPr>
            <w:tcW w:w="704" w:type="pct"/>
            <w:vAlign w:val="center"/>
            <w:hideMark/>
          </w:tcPr>
          <w:p w14:paraId="483084BE" w14:textId="77777777" w:rsidR="00DF70B8" w:rsidRPr="00227041" w:rsidRDefault="00DF70B8" w:rsidP="00B11806">
            <w:pPr>
              <w:autoSpaceDE w:val="0"/>
              <w:autoSpaceDN w:val="0"/>
              <w:adjustRightInd w:val="0"/>
              <w:snapToGrid w:val="0"/>
              <w:spacing w:after="0" w:line="276" w:lineRule="auto"/>
              <w:jc w:val="center"/>
              <w:rPr>
                <w:rFonts w:ascii="Times New Roman" w:eastAsia="Times New Roman" w:hAnsi="Times New Roman" w:cs="Times New Roman"/>
                <w:b/>
                <w:bCs/>
                <w:color w:val="000000" w:themeColor="text1"/>
                <w:sz w:val="18"/>
                <w:szCs w:val="18"/>
                <w:lang w:val="en-US" w:eastAsia="it-IT"/>
              </w:rPr>
            </w:pPr>
            <w:r w:rsidRPr="00227041">
              <w:rPr>
                <w:rFonts w:ascii="Times New Roman" w:eastAsia="Calibri" w:hAnsi="Times New Roman" w:cs="Times New Roman"/>
                <w:b/>
                <w:bCs/>
                <w:color w:val="000000" w:themeColor="text1"/>
                <w:sz w:val="18"/>
                <w:szCs w:val="18"/>
                <w:lang w:val="en-US" w:eastAsia="ar-SA"/>
              </w:rPr>
              <w:t>Manner of intoxication</w:t>
            </w:r>
          </w:p>
        </w:tc>
        <w:tc>
          <w:tcPr>
            <w:tcW w:w="1761" w:type="pct"/>
            <w:vAlign w:val="center"/>
            <w:hideMark/>
          </w:tcPr>
          <w:p w14:paraId="08614F55" w14:textId="77777777" w:rsidR="00DF70B8" w:rsidRPr="00227041" w:rsidRDefault="00DF70B8" w:rsidP="00B11806">
            <w:pPr>
              <w:autoSpaceDE w:val="0"/>
              <w:autoSpaceDN w:val="0"/>
              <w:adjustRightInd w:val="0"/>
              <w:snapToGrid w:val="0"/>
              <w:spacing w:after="0" w:line="276" w:lineRule="auto"/>
              <w:jc w:val="center"/>
              <w:rPr>
                <w:rFonts w:ascii="Times New Roman" w:eastAsia="Times New Roman" w:hAnsi="Times New Roman" w:cs="Times New Roman"/>
                <w:b/>
                <w:bCs/>
                <w:color w:val="000000" w:themeColor="text1"/>
                <w:sz w:val="18"/>
                <w:szCs w:val="18"/>
                <w:lang w:val="en-US" w:eastAsia="it-IT"/>
              </w:rPr>
            </w:pPr>
            <w:r w:rsidRPr="00227041">
              <w:rPr>
                <w:rFonts w:ascii="Times New Roman" w:eastAsia="Calibri" w:hAnsi="Times New Roman" w:cs="Times New Roman"/>
                <w:b/>
                <w:bCs/>
                <w:color w:val="000000" w:themeColor="text1"/>
                <w:sz w:val="18"/>
                <w:szCs w:val="18"/>
                <w:lang w:val="en-US" w:eastAsia="ar-SA"/>
              </w:rPr>
              <w:t>Main clinical findings</w:t>
            </w:r>
          </w:p>
        </w:tc>
        <w:tc>
          <w:tcPr>
            <w:tcW w:w="422" w:type="pct"/>
            <w:vAlign w:val="center"/>
          </w:tcPr>
          <w:p w14:paraId="182D2F59"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b/>
                <w:bCs/>
                <w:color w:val="000000" w:themeColor="text1"/>
                <w:sz w:val="18"/>
                <w:szCs w:val="18"/>
                <w:lang w:val="en-US" w:eastAsia="ar-SA"/>
              </w:rPr>
            </w:pPr>
            <w:r w:rsidRPr="00731360">
              <w:rPr>
                <w:rFonts w:ascii="Times New Roman" w:eastAsia="Calibri" w:hAnsi="Times New Roman" w:cs="Times New Roman"/>
                <w:b/>
                <w:bCs/>
                <w:color w:val="000000" w:themeColor="text1"/>
                <w:sz w:val="18"/>
                <w:szCs w:val="18"/>
                <w:lang w:val="en-US" w:eastAsia="ar-SA"/>
              </w:rPr>
              <w:t>Ref.</w:t>
            </w:r>
          </w:p>
        </w:tc>
      </w:tr>
      <w:tr w:rsidR="00227041" w:rsidRPr="00227041" w14:paraId="688E8321" w14:textId="77777777" w:rsidTr="00B11806">
        <w:trPr>
          <w:jc w:val="center"/>
        </w:trPr>
        <w:tc>
          <w:tcPr>
            <w:tcW w:w="423" w:type="pct"/>
            <w:vAlign w:val="center"/>
          </w:tcPr>
          <w:p w14:paraId="3846ACD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M, 72</w:t>
            </w:r>
          </w:p>
        </w:tc>
        <w:tc>
          <w:tcPr>
            <w:tcW w:w="916" w:type="pct"/>
            <w:vAlign w:val="center"/>
          </w:tcPr>
          <w:p w14:paraId="0A6124D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Serum</w:t>
            </w:r>
          </w:p>
          <w:p w14:paraId="4BCE640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- 3 h after ingestion 2.8 </w:t>
            </w:r>
          </w:p>
          <w:p w14:paraId="47E0554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-27 h: 2.1 </w:t>
            </w:r>
          </w:p>
          <w:p w14:paraId="043484D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-32/44 h: 1.9 </w:t>
            </w:r>
          </w:p>
          <w:p w14:paraId="6DD93C9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-56 h: 1.6 </w:t>
            </w:r>
          </w:p>
          <w:p w14:paraId="41F5684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Urine</w:t>
            </w:r>
          </w:p>
          <w:p w14:paraId="7EAF6C3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from 3 h to 56 h :&gt; 5 </w:t>
            </w:r>
          </w:p>
        </w:tc>
        <w:tc>
          <w:tcPr>
            <w:tcW w:w="774" w:type="pct"/>
            <w:vAlign w:val="center"/>
          </w:tcPr>
          <w:p w14:paraId="2AD8AD0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227041">
              <w:rPr>
                <w:rFonts w:ascii="Times New Roman" w:eastAsia="Calibri" w:hAnsi="Times New Roman" w:cs="Times New Roman"/>
                <w:color w:val="000000" w:themeColor="text1"/>
                <w:sz w:val="18"/>
                <w:szCs w:val="18"/>
                <w:lang w:eastAsia="ar-SA"/>
              </w:rPr>
              <w:t>-</w:t>
            </w:r>
          </w:p>
        </w:tc>
        <w:tc>
          <w:tcPr>
            <w:tcW w:w="704" w:type="pct"/>
            <w:vAlign w:val="center"/>
          </w:tcPr>
          <w:p w14:paraId="55723D4E"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1AA6C4C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coronary artery disease, sick sinus syndrome with a pacemaker, and ischemic cardiomyopathy. Loss of consciousness, hypotension, tachycardia, QRS prolongation</w:t>
            </w:r>
          </w:p>
        </w:tc>
        <w:tc>
          <w:tcPr>
            <w:tcW w:w="422" w:type="pct"/>
            <w:vAlign w:val="center"/>
          </w:tcPr>
          <w:p w14:paraId="0AD818A2"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731360">
              <w:rPr>
                <w:rFonts w:ascii="Times New Roman" w:eastAsia="Calibri" w:hAnsi="Times New Roman" w:cs="Times New Roman"/>
                <w:color w:val="000000" w:themeColor="text1"/>
                <w:sz w:val="18"/>
                <w:szCs w:val="18"/>
                <w:lang w:eastAsia="ar-SA"/>
              </w:rPr>
              <w:t>McCabe  DJ. et al 2022</w:t>
            </w:r>
          </w:p>
          <w:p w14:paraId="1F35A884"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731360">
              <w:rPr>
                <w:rFonts w:ascii="Times New Roman" w:eastAsia="Calibri" w:hAnsi="Times New Roman" w:cs="Times New Roman"/>
                <w:color w:val="000000" w:themeColor="text1"/>
                <w:sz w:val="18"/>
                <w:szCs w:val="18"/>
                <w:lang w:eastAsia="ar-SA"/>
              </w:rPr>
              <w:fldChar w:fldCharType="begin"/>
            </w:r>
            <w:r w:rsidRPr="00731360">
              <w:rPr>
                <w:rFonts w:ascii="Times New Roman" w:eastAsia="Calibri" w:hAnsi="Times New Roman" w:cs="Times New Roman"/>
                <w:color w:val="000000" w:themeColor="text1"/>
                <w:sz w:val="18"/>
                <w:szCs w:val="18"/>
                <w:lang w:eastAsia="ar-SA"/>
              </w:rPr>
              <w:instrText xml:space="preserve"> ADDIN ZOTERO_ITEM CSL_CITATION {"citationID":"ady7XgrK","properties":{"formattedCitation":"[34]","plainCitation":"[34]","noteIndex":0},"citationItems":[{"id":1778,"uris":["http://zotero.org/users/8822686/items/PNSEX8A5"],"itemData":{"id":1778,"type":"article-journal","abstract":"BACKGROUND: Flecainide is a 1C antidysrhythmic that is primarily used for ventricular tachycardia or premature ventricular contractions when other treatment is ineffective. It has a very narrow therapeutic window which may cause death in a double dose and requires inpatient initiation for cardiac monitoring. Despite established pharmacokinetic data from flecainide in therapeutic dosing, there is negligible data on flecainide toxicokinetics after an intentional overdose. Due to the inherent differences in pharmacokinetic and toxicokinetic principles, rarely can the peak effect or elimination half-life accurately be applied to the poisoned patient after an overdose. In overdose, flecainide can cause a variety of fatal dysrhythmias which may require sodium bicarbonate for stabilization but also may reduce the renal elimination of flecainide, meaning the life-saving treatment may prolong the time of toxicity.\nCASE REPORT: We present a case of an acute ingestion of flecainide with a known time of ingestion and known amount of ingestion who experienced subsequent life-threatening effects which required endotracheal intubation, sodium bicarbonate, aggressive electrolyte repletion, and multiple days in an intensive care unit.\nRESULTS: Serial serum and urine samples revealed a prolonged toxic serum concentration of flecainide.\nCONCLUSION: These results demonstrate the change in elimination kinetics of flecainide in the setting of urinary alkalization which is evident through prolonged morphologic changes present on serial electrocardiograms.","container-title":"The American Journal of Emergency Medicine","DOI":"10.1016/j.ajem.2022.03.006","ISSN":"1532-8171","journalAbbreviation":"Am J Emerg Med","language":"eng","note":"PMID: 35287973","page":"394.e1-394.e4","source":"PubMed","title":"Flecainide poisoning and prolongation of elimination due to alkalinization","volume":"56","author":[{"family":"McCabe","given":"Daniel J."},{"family":"Walsh","given":"Rachel D."},{"family":"Georgakakos","given":"Peter K."},{"family":"Radke","given":"Joshua B."},{"family":"Wilson","given":"Bryan Z."}],"issued":{"date-parts":[["2022",6]]}}}],"schema":"https://github.com/citation-style-language/schema/raw/master/csl-citation.json"} </w:instrText>
            </w:r>
            <w:r w:rsidRPr="00731360">
              <w:rPr>
                <w:rFonts w:ascii="Times New Roman" w:eastAsia="Calibri" w:hAnsi="Times New Roman" w:cs="Times New Roman"/>
                <w:color w:val="000000" w:themeColor="text1"/>
                <w:sz w:val="18"/>
                <w:szCs w:val="18"/>
                <w:lang w:eastAsia="ar-SA"/>
              </w:rPr>
              <w:fldChar w:fldCharType="separate"/>
            </w:r>
            <w:r w:rsidRPr="00731360">
              <w:rPr>
                <w:rFonts w:ascii="Times New Roman" w:eastAsia="Calibri" w:hAnsi="Times New Roman" w:cs="Times New Roman"/>
                <w:noProof/>
                <w:color w:val="000000" w:themeColor="text1"/>
                <w:sz w:val="18"/>
                <w:szCs w:val="18"/>
                <w:lang w:eastAsia="ar-SA"/>
              </w:rPr>
              <w:t>[34]</w:t>
            </w:r>
            <w:r w:rsidRPr="00731360">
              <w:rPr>
                <w:rFonts w:ascii="Times New Roman" w:eastAsia="Calibri" w:hAnsi="Times New Roman" w:cs="Times New Roman"/>
                <w:color w:val="000000" w:themeColor="text1"/>
                <w:sz w:val="18"/>
                <w:szCs w:val="18"/>
                <w:lang w:eastAsia="ar-SA"/>
              </w:rPr>
              <w:fldChar w:fldCharType="end"/>
            </w:r>
          </w:p>
        </w:tc>
      </w:tr>
      <w:tr w:rsidR="00227041" w:rsidRPr="00227041" w14:paraId="6ECF0960" w14:textId="77777777" w:rsidTr="00B11806">
        <w:trPr>
          <w:jc w:val="center"/>
        </w:trPr>
        <w:tc>
          <w:tcPr>
            <w:tcW w:w="423" w:type="pct"/>
            <w:vAlign w:val="center"/>
          </w:tcPr>
          <w:p w14:paraId="3E49652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M, 47</w:t>
            </w:r>
          </w:p>
        </w:tc>
        <w:tc>
          <w:tcPr>
            <w:tcW w:w="916" w:type="pct"/>
            <w:vAlign w:val="center"/>
          </w:tcPr>
          <w:p w14:paraId="20BA4CAE"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Blood</w:t>
            </w:r>
          </w:p>
          <w:p w14:paraId="261C7BF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Flecainide: 2.98 </w:t>
            </w:r>
          </w:p>
        </w:tc>
        <w:tc>
          <w:tcPr>
            <w:tcW w:w="774" w:type="pct"/>
            <w:vAlign w:val="center"/>
          </w:tcPr>
          <w:p w14:paraId="2DCB800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Amiodarone 4.8</w:t>
            </w:r>
          </w:p>
        </w:tc>
        <w:tc>
          <w:tcPr>
            <w:tcW w:w="704" w:type="pct"/>
            <w:vAlign w:val="center"/>
          </w:tcPr>
          <w:p w14:paraId="72FB5E36"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and amiodarone intoxication</w:t>
            </w:r>
          </w:p>
        </w:tc>
        <w:tc>
          <w:tcPr>
            <w:tcW w:w="1761" w:type="pct"/>
            <w:vAlign w:val="center"/>
          </w:tcPr>
          <w:p w14:paraId="305A3D5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depression and atrial fibrillation. ED symptoms: fatigue, anxiety, headache, GCS 12. The patient developed cardiotoxicity, with PR prolongation, AV block, widened QRS</w:t>
            </w:r>
          </w:p>
        </w:tc>
        <w:tc>
          <w:tcPr>
            <w:tcW w:w="422" w:type="pct"/>
            <w:vAlign w:val="center"/>
          </w:tcPr>
          <w:p w14:paraId="10F133D1"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Bologa C. et al. 2021</w:t>
            </w:r>
          </w:p>
          <w:p w14:paraId="105D8549"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{"citationID":"LeRMYatl","properties":{"formattedCitation":"[35]","plainCitation":"[35]","noteIndex":0},"citationItems":[{"id":1797,"uris":["http://zotero.org/users/8822686/items/J6PZ6YX2"],"itemData":{"id":1797,"type":"article-journal","abstract":"Acute antiarrhythmics poisoning represents a challenge in the Emergency Department (ED). These patients often develop malignant arrhythmias in need of exceptional therapeutic measures in the ICU. We report a 47-year-old patient admitted to the ED 5 h after the ingestion of a large dose of amiodarone and flecainide in a suicide attempt. During their ED stay, the patient developed signs of cardiotoxicity evidenced by electrocardiogram and ventricular arrhythmias. The toxicological results showed a level of 4.8 mg/L amiodarone and 2.98 mg/L flecainide. He was successfully treated in the ED using a large dose of sodium bicarbonate and lipid emulsion therapy. After hospital admission, he remained stable, with no need for exceptional therapeutic measures such as mechanical circulatory support, cardiac pacing or ECMO. We emphasize the importance of an early start of pharmacological therapies in the ED, which might improve the outcome in antiarrhythmic acute poisoning.","container-title":"Healthcare (Basel, Switzerland)","DOI":"10.3390/healthcare9060671","ISSN":"2227-9032","issue":"6","journalAbbreviation":"Healthcare (Basel)","language":"eng","note":"PMID: 34199756\nPMCID: PMC8226996","page":"671","source":"PubMed","title":"First Case of Acute Poisoning with Amiodarone and Flecainide in Attempted Suicide Successfully Managed with Lipid Emulsion Therapy in the Emergency Department: Case Report and Literature Review","title-short":"First Case of Acute Poisoning with Amiodarone and Flecainide in Attempted Suicide Successfully Managed with Lipid Emulsion Therapy in the Emergency Department","volume":"9","author":[{"family":"Bologa","given":"Cristina"},{"family":"Lionte","given":"Catalina"},{"family":"Popescu","given":"Alexandra"},{"family":"Sorodoc","given":"Victorita"},{"family":"Sorodoc","given":"Laurentiu"}],"issued":{"date-parts":[["2021",6,4]]}}}],"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[35]</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236EAA44" w14:textId="77777777" w:rsidTr="00B11806">
        <w:trPr>
          <w:jc w:val="center"/>
        </w:trPr>
        <w:tc>
          <w:tcPr>
            <w:tcW w:w="423" w:type="pct"/>
            <w:vAlign w:val="center"/>
          </w:tcPr>
          <w:p w14:paraId="17A7892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3 months</w:t>
            </w:r>
          </w:p>
        </w:tc>
        <w:tc>
          <w:tcPr>
            <w:tcW w:w="916" w:type="pct"/>
            <w:vAlign w:val="center"/>
          </w:tcPr>
          <w:p w14:paraId="1144AE8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 xml:space="preserve">Serum: 1.2 </w:t>
            </w:r>
          </w:p>
        </w:tc>
        <w:tc>
          <w:tcPr>
            <w:tcW w:w="774" w:type="pct"/>
            <w:vAlign w:val="center"/>
          </w:tcPr>
          <w:p w14:paraId="12E7337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4AAE940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 xml:space="preserve">Accidental flecainide </w:t>
            </w:r>
            <w:r w:rsidRPr="00227041">
              <w:rPr>
                <w:rFonts w:ascii="Times New Roman" w:eastAsia="Calibri" w:hAnsi="Times New Roman" w:cs="Times New Roman"/>
                <w:iCs/>
                <w:color w:val="000000" w:themeColor="text1"/>
                <w:sz w:val="18"/>
                <w:szCs w:val="18"/>
                <w:lang w:val="en-US" w:eastAsia="ar-SA"/>
              </w:rPr>
              <w:t>intoxication</w:t>
            </w:r>
          </w:p>
        </w:tc>
        <w:tc>
          <w:tcPr>
            <w:tcW w:w="1761" w:type="pct"/>
            <w:vAlign w:val="center"/>
          </w:tcPr>
          <w:p w14:paraId="2671C00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Drowsiness, lack of appetite, prolonged AV interval, QRS widening, acute intra-atrial re-entrant tachycardia</w:t>
            </w:r>
          </w:p>
        </w:tc>
        <w:tc>
          <w:tcPr>
            <w:tcW w:w="422" w:type="pct"/>
            <w:vAlign w:val="center"/>
          </w:tcPr>
          <w:p w14:paraId="74E0FDE5"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Correra A. et al. 2021</w:t>
            </w:r>
          </w:p>
          <w:p w14:paraId="76793838"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{"citationID":"xzf5RzwR","properties":{"formattedCitation":"[36]","plainCitation":"[36]","noteIndex":0},"citationItems":[{"id":1777,"uris":["http://zotero.org/users/8822686/items/2WB2LNCY"],"itemData":{"id":1777,"type":"article-journal","abstract":"A 3-months-old infant was urgently admitted for drowsiness and lack of appetite started 24 h before. The ECG showed sinus rhythm with a prolonged AV interval (200 ms) and very large QRS complexes (280 ms) due to Flecainide overdosing following incorrectly administration for poor communication between parents resulted in both giving a dose to the infant. Flecainide serum level was 1.2μg/ml, confirming the diagnosis of an accidental drug intoxication. The patient started continue hydration with a close monitoring. Three hours later a significant narrowing of the QRS complex (150 ms) was observed, then over the following 24 h, the QRS almost completely normalized.","container-title":"Journal of Electrocardiology","DOI":"10.1016/j.jelectrocard.2020.07.012","ISSN":"1532-8430","journalAbbreviation":"J Electrocardiol","language":"eng","note":"PMID: 33690022","page":"16-17","source":"PubMed","title":"A frightening giant QRS complex in a 3-months-old infant","volume":"66","author":[{"family":"Correra","given":"Anna"},{"family":"Merola","given":"Assunta"},{"family":"Palma","given":"Michela"},{"family":"Romeo","given":"Emanuele"},{"family":"Colonna","given":"Diego"},{"family":"Passariello","given":"Annalisa"},{"family":"Russo","given":"Maria Giovanna"},{"family":"Sarubbi","given":"Berardo"}],"issued":{"date-parts":[["2021"]]}}}],"schema":"https://github.com/citation-style-language/schema/raw/master/csl-citation.json"}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[36]</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550586D5" w14:textId="77777777" w:rsidTr="00B11806">
        <w:trPr>
          <w:jc w:val="center"/>
        </w:trPr>
        <w:tc>
          <w:tcPr>
            <w:tcW w:w="423" w:type="pct"/>
            <w:vAlign w:val="center"/>
          </w:tcPr>
          <w:p w14:paraId="6786B82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M, 86</w:t>
            </w:r>
          </w:p>
        </w:tc>
        <w:tc>
          <w:tcPr>
            <w:tcW w:w="916" w:type="pct"/>
            <w:vAlign w:val="center"/>
          </w:tcPr>
          <w:p w14:paraId="3653E55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Serum/plasma: 2.44</w:t>
            </w:r>
          </w:p>
        </w:tc>
        <w:tc>
          <w:tcPr>
            <w:tcW w:w="774" w:type="pct"/>
            <w:vAlign w:val="center"/>
          </w:tcPr>
          <w:p w14:paraId="4B9242C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45179B2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Accidental flecainide intoxication</w:t>
            </w:r>
          </w:p>
        </w:tc>
        <w:tc>
          <w:tcPr>
            <w:tcW w:w="1761" w:type="pct"/>
            <w:vAlign w:val="center"/>
          </w:tcPr>
          <w:p w14:paraId="35A864D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Heart failure in a patient with pacemaker, wide QRS</w:t>
            </w:r>
          </w:p>
        </w:tc>
        <w:tc>
          <w:tcPr>
            <w:tcW w:w="422" w:type="pct"/>
            <w:vAlign w:val="center"/>
          </w:tcPr>
          <w:p w14:paraId="18304F24"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731360">
              <w:rPr>
                <w:rFonts w:ascii="Times New Roman" w:eastAsia="Calibri" w:hAnsi="Times New Roman" w:cs="Times New Roman"/>
                <w:color w:val="000000" w:themeColor="text1"/>
                <w:sz w:val="18"/>
                <w:szCs w:val="18"/>
                <w:lang w:val="en-US" w:eastAsia="ar-SA"/>
              </w:rPr>
              <w:t>Rivner H. et al.</w:t>
            </w:r>
          </w:p>
          <w:p w14:paraId="1058C7D0"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731360">
              <w:rPr>
                <w:rFonts w:ascii="Times New Roman" w:eastAsia="Calibri" w:hAnsi="Times New Roman" w:cs="Times New Roman"/>
                <w:color w:val="000000" w:themeColor="text1"/>
                <w:sz w:val="18"/>
                <w:szCs w:val="18"/>
                <w:lang w:val="en-US" w:eastAsia="ar-SA"/>
              </w:rPr>
              <w:t>2021</w:t>
            </w:r>
          </w:p>
          <w:p w14:paraId="38F61EBA"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731360">
              <w:rPr>
                <w:rFonts w:ascii="Times New Roman" w:eastAsia="Calibri" w:hAnsi="Times New Roman" w:cs="Times New Roman"/>
                <w:color w:val="000000" w:themeColor="text1"/>
                <w:sz w:val="18"/>
                <w:szCs w:val="18"/>
                <w:lang w:val="en-US" w:eastAsia="ar-SA"/>
              </w:rPr>
              <w:fldChar w:fldCharType="begin"/>
            </w:r>
            <w:r w:rsidRPr="00731360">
              <w:rPr>
                <w:rFonts w:ascii="Times New Roman" w:eastAsia="Calibri" w:hAnsi="Times New Roman" w:cs="Times New Roman"/>
                <w:color w:val="000000" w:themeColor="text1"/>
                <w:sz w:val="18"/>
                <w:szCs w:val="18"/>
                <w:lang w:val="en-US" w:eastAsia="ar-SA"/>
              </w:rPr>
              <w:instrText xml:space="preserve"> ADDIN ZOTERO_ITEM CSL_CITATION {"citationID":"Z0443hV6","properties":{"formattedCitation":"[37]","plainCitation":"[37]","noteIndex":0},"citationItems":[{"id":1798,"uris":["http://zotero.org/users/8822686/items/XG38EKHN"],"itemData":{"id":1798,"type":"article-journal","abstract":"An 86-year-old man with paroxysmal atrial fibrillation on flecainide, a class IC antiarrhythmic, presented with cardiac arrest. The patient had extremely wide QRS complexes with inconsistent pacemaker capture on electrocardiography. Due to cardiac failure and renal failure, the patient developed progressive flecainide toxicity, which led to pacemaker failure, and ultimately, death. (Level of Difficulty: Beginner.)","container-title":"JACC Case Reports","DOI":"10.1016/j.jaccas.2020.11.030","ISSN":"2666-0849","issue":"4","journalAbbreviation":"JACC Case Rep","note":"PMID: 34317582\nPMCID: PMC8302776","page":"586-590","source":"PubMed Central","title":"Flecainide Toxicity Leading to Loss of Pacemaker Capture and Cardiac Arrest","URL":"https://www.ncbi.nlm.nih.gov/pmc/articles/PMC8302776/","volume":"3","author":[{"family":"Rivner","given":"Harold"},{"family":"Lambrakos","given":"Litsa K."}],"accessed":{"date-parts":[["2024",3,2]]},"issued":{"date-parts":[["2021",1,27]]}}}],"schema":"https://github.com/citation-style-language/schema/raw/master/csl-citation.json"} </w:instrText>
            </w:r>
            <w:r w:rsidRPr="00731360">
              <w:rPr>
                <w:rFonts w:ascii="Times New Roman" w:eastAsia="Calibri" w:hAnsi="Times New Roman" w:cs="Times New Roman"/>
                <w:color w:val="000000" w:themeColor="text1"/>
                <w:sz w:val="18"/>
                <w:szCs w:val="18"/>
                <w:lang w:val="en-US" w:eastAsia="ar-SA"/>
              </w:rPr>
              <w:fldChar w:fldCharType="separate"/>
            </w:r>
            <w:r w:rsidRPr="00731360">
              <w:rPr>
                <w:rFonts w:ascii="Times New Roman" w:eastAsia="Calibri" w:hAnsi="Times New Roman" w:cs="Times New Roman"/>
                <w:noProof/>
                <w:color w:val="000000" w:themeColor="text1"/>
                <w:sz w:val="18"/>
                <w:szCs w:val="18"/>
                <w:lang w:val="en-US" w:eastAsia="ar-SA"/>
              </w:rPr>
              <w:t>[37]</w:t>
            </w:r>
            <w:r w:rsidRPr="00731360">
              <w:rPr>
                <w:rFonts w:ascii="Times New Roman" w:eastAsia="Calibri" w:hAnsi="Times New Roman" w:cs="Times New Roman"/>
                <w:color w:val="000000" w:themeColor="text1"/>
                <w:sz w:val="18"/>
                <w:szCs w:val="18"/>
                <w:lang w:val="en-US" w:eastAsia="ar-SA"/>
              </w:rPr>
              <w:fldChar w:fldCharType="end"/>
            </w:r>
          </w:p>
        </w:tc>
      </w:tr>
      <w:tr w:rsidR="00227041" w:rsidRPr="00227041" w14:paraId="55AF4E2F" w14:textId="77777777" w:rsidTr="00B11806">
        <w:trPr>
          <w:jc w:val="center"/>
        </w:trPr>
        <w:tc>
          <w:tcPr>
            <w:tcW w:w="423" w:type="pct"/>
            <w:vAlign w:val="center"/>
          </w:tcPr>
          <w:p w14:paraId="50127B3C"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Case1) F, 3 days</w:t>
            </w:r>
          </w:p>
          <w:p w14:paraId="700E8F2D"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2) M, 2 months</w:t>
            </w:r>
          </w:p>
        </w:tc>
        <w:tc>
          <w:tcPr>
            <w:tcW w:w="916" w:type="pct"/>
            <w:vAlign w:val="center"/>
          </w:tcPr>
          <w:p w14:paraId="79979E2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Case 1) Serum: 0.72 </w:t>
            </w:r>
          </w:p>
          <w:p w14:paraId="489AC16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Case 2) Serum: 1.1 </w:t>
            </w:r>
          </w:p>
          <w:p w14:paraId="73F9EBF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p>
        </w:tc>
        <w:tc>
          <w:tcPr>
            <w:tcW w:w="774" w:type="pct"/>
            <w:vAlign w:val="center"/>
          </w:tcPr>
          <w:p w14:paraId="55DE96B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5748834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p w14:paraId="13E13FB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Flecainide intoxication</w:t>
            </w:r>
          </w:p>
        </w:tc>
        <w:tc>
          <w:tcPr>
            <w:tcW w:w="1761" w:type="pct"/>
            <w:vAlign w:val="center"/>
          </w:tcPr>
          <w:p w14:paraId="4356322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1) History of SVT. Brought to the hospital with dyspnea after her last flecainide dose. She developed sinus rhythm with a prolonged PR interval, complete right bundle branch and a prolonged QTc interval</w:t>
            </w:r>
          </w:p>
          <w:p w14:paraId="5CCF313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2) History of SVT. ECG revealed sinus bradycardia with prolonged PR interval, complete right bundle branch and a prolonged QTc interval</w:t>
            </w:r>
          </w:p>
        </w:tc>
        <w:tc>
          <w:tcPr>
            <w:tcW w:w="422" w:type="pct"/>
            <w:vAlign w:val="center"/>
          </w:tcPr>
          <w:p w14:paraId="139F575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731360">
              <w:rPr>
                <w:rFonts w:ascii="Times New Roman" w:eastAsia="Calibri" w:hAnsi="Times New Roman" w:cs="Times New Roman"/>
                <w:color w:val="000000" w:themeColor="text1"/>
                <w:sz w:val="18"/>
                <w:szCs w:val="18"/>
                <w:lang w:val="en-US" w:eastAsia="ar-SA"/>
              </w:rPr>
              <w:t>Vaquer G. et al. 2020</w:t>
            </w:r>
          </w:p>
          <w:p w14:paraId="62E71220"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{"citationID":"GivzZLYV","properties":{"formattedCitation":"[38]","plainCitation":"[38]","noteIndex":0},"citationItems":[{"id":1776,"uris":["http://zotero.org/users/8822686/items/J9M3ZCAG"],"itemData":{"id":1776,"type":"article-journal","container-title":"Reactions Weekly","DOI":"10.1007/s40278-020-82403-7","ISSN":"1179-2051","issue":"1","journalAbbreviation":"Reactions Weekly","language":"en","page":"123-123","source":"Springer Link","title":"Flecainide/unspecified complementary feed interaction","URL":"https://doi.org/10.1007/s40278-020-82403-7","volume":"1818","author":[{"family":"Vaguer","given":""}],"accessed":{"date-parts":[["2024",3,2]]},"issued":{"date-parts":[["2020",8,1]]}}}],"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[38]</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1122DBAA" w14:textId="77777777" w:rsidTr="00B11806">
        <w:trPr>
          <w:jc w:val="center"/>
        </w:trPr>
        <w:tc>
          <w:tcPr>
            <w:tcW w:w="423" w:type="pct"/>
            <w:vAlign w:val="center"/>
          </w:tcPr>
          <w:p w14:paraId="415744E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M, 57</w:t>
            </w:r>
          </w:p>
        </w:tc>
        <w:tc>
          <w:tcPr>
            <w:tcW w:w="916" w:type="pct"/>
            <w:vAlign w:val="center"/>
          </w:tcPr>
          <w:p w14:paraId="4BFA437B"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Serum/plasma</w:t>
            </w:r>
            <w:r w:rsidRPr="00227041">
              <w:rPr>
                <w:rFonts w:ascii="Times New Roman" w:eastAsia="Calibri" w:hAnsi="Times New Roman" w:cs="Times New Roman"/>
                <w:color w:val="000000" w:themeColor="text1"/>
                <w:sz w:val="18"/>
                <w:szCs w:val="18"/>
                <w:lang w:val="en-GB" w:eastAsia="ar-SA"/>
              </w:rPr>
              <w:t>: 1.99</w:t>
            </w:r>
          </w:p>
        </w:tc>
        <w:tc>
          <w:tcPr>
            <w:tcW w:w="774" w:type="pct"/>
            <w:vAlign w:val="center"/>
          </w:tcPr>
          <w:p w14:paraId="5AFB940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w:t>
            </w:r>
          </w:p>
        </w:tc>
        <w:tc>
          <w:tcPr>
            <w:tcW w:w="704" w:type="pct"/>
            <w:vAlign w:val="center"/>
          </w:tcPr>
          <w:p w14:paraId="006BDD2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iCs/>
                <w:color w:val="000000" w:themeColor="text1"/>
                <w:sz w:val="18"/>
                <w:szCs w:val="18"/>
                <w:lang w:val="en-US" w:eastAsia="ar-SA"/>
              </w:rPr>
            </w:pPr>
            <w:r w:rsidRPr="00227041">
              <w:rPr>
                <w:rFonts w:ascii="Times New Roman" w:eastAsia="Calibri" w:hAnsi="Times New Roman" w:cs="Times New Roman"/>
                <w:iCs/>
                <w:color w:val="000000" w:themeColor="text1"/>
                <w:sz w:val="18"/>
                <w:szCs w:val="18"/>
                <w:lang w:val="en-US" w:eastAsia="ar-SA"/>
              </w:rPr>
              <w:t>Accidental flecainide intoxication</w:t>
            </w:r>
          </w:p>
        </w:tc>
        <w:tc>
          <w:tcPr>
            <w:tcW w:w="1761" w:type="pct"/>
            <w:vAlign w:val="center"/>
          </w:tcPr>
          <w:p w14:paraId="450F71D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HIV, end stage renal disease, atrial flutter. Admitted for lower extremity weakness, developed wide complex tachycardia and ventricular fibrillation</w:t>
            </w:r>
          </w:p>
        </w:tc>
        <w:tc>
          <w:tcPr>
            <w:tcW w:w="422" w:type="pct"/>
            <w:vAlign w:val="center"/>
          </w:tcPr>
          <w:p w14:paraId="7C8E1A31"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Drutel R. et al. 2020</w:t>
            </w:r>
          </w:p>
          <w:p w14:paraId="728FC91A"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{"citationID":"PydZAgIF","properties":{"formattedCitation":"[39]","plainCitation":"[39]","noteIndex":0},"citationItems":[{"id":1803,"uris":["http://zotero.org/users/8822686/items/XY8HPVR5"],"itemData":{"id":1803,"type":"article-journal","container-title":"Journal of the American College of Cardiology","DOI":"10.1016/S0735-1097(20)33337-4","issue":"11_Supplement_1","note":"publisher: American College of Cardiology Foundation","page":"2710-2710","source":"jacc.org (Atypon)","title":"Sudden cardiac arrest from flecainide toxicity a case report","URL":"https://www.jacc.org/doi/10.1016/S0735-1097%2820%2933337-4","volume":"75","author":[{"family":"Drutel","given":"Robert"},{"family":"Jakkoju","given":"Avaneesh"},{"family":"Ahmed","given":"Jameel"}],"accessed":{"date-parts":[["2024",3,2]]},"issued":{"date-parts":[["2020",3,24]]}}}],"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[39]</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149B93EB" w14:textId="77777777" w:rsidTr="00B11806">
        <w:trPr>
          <w:jc w:val="center"/>
        </w:trPr>
        <w:tc>
          <w:tcPr>
            <w:tcW w:w="423" w:type="pct"/>
            <w:vAlign w:val="center"/>
          </w:tcPr>
          <w:p w14:paraId="0151CDEC"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GB" w:eastAsia="ar-SA"/>
              </w:rPr>
              <w:t>M, 48</w:t>
            </w:r>
          </w:p>
        </w:tc>
        <w:tc>
          <w:tcPr>
            <w:tcW w:w="916" w:type="pct"/>
            <w:vAlign w:val="center"/>
          </w:tcPr>
          <w:p w14:paraId="3A557CF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GB" w:eastAsia="ar-SA"/>
              </w:rPr>
              <w:t>Serum: 3.03</w:t>
            </w:r>
          </w:p>
        </w:tc>
        <w:tc>
          <w:tcPr>
            <w:tcW w:w="774" w:type="pct"/>
            <w:vAlign w:val="center"/>
          </w:tcPr>
          <w:p w14:paraId="7CA7422D"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GB" w:eastAsia="ar-SA"/>
              </w:rPr>
              <w:t>Urine: benzodiazepine and opiates</w:t>
            </w:r>
          </w:p>
        </w:tc>
        <w:tc>
          <w:tcPr>
            <w:tcW w:w="704" w:type="pct"/>
            <w:vAlign w:val="center"/>
          </w:tcPr>
          <w:p w14:paraId="37A2C41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iCs/>
                <w:color w:val="000000" w:themeColor="text1"/>
                <w:sz w:val="18"/>
                <w:szCs w:val="18"/>
                <w:lang w:val="en-US"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7A49770D"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GB" w:eastAsia="ar-SA"/>
              </w:rPr>
              <w:t>History of PE with embolectomy 3 years prior, and paroxysmal atrial fibrillation treated with flecainide</w:t>
            </w:r>
          </w:p>
        </w:tc>
        <w:tc>
          <w:tcPr>
            <w:tcW w:w="422" w:type="pct"/>
            <w:vAlign w:val="center"/>
          </w:tcPr>
          <w:p w14:paraId="6F691F9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Bodziock G. et al. 2019</w:t>
            </w:r>
          </w:p>
          <w:p w14:paraId="2EEEA779"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731360">
              <w:rPr>
                <w:rFonts w:ascii="Times New Roman" w:eastAsia="Calibri" w:hAnsi="Times New Roman" w:cs="Times New Roman"/>
                <w:color w:val="000000" w:themeColor="text1"/>
                <w:sz w:val="18"/>
                <w:szCs w:val="18"/>
                <w:lang w:val="en-US" w:eastAsia="ar-SA"/>
              </w:rPr>
              <w:fldChar w:fldCharType="begin"/>
            </w:r>
            <w:r w:rsidRPr="00731360">
              <w:rPr>
                <w:rFonts w:ascii="Times New Roman" w:eastAsia="Calibri" w:hAnsi="Times New Roman" w:cs="Times New Roman"/>
                <w:color w:val="000000" w:themeColor="text1"/>
                <w:sz w:val="18"/>
                <w:szCs w:val="18"/>
                <w:lang w:val="en-US" w:eastAsia="ar-SA"/>
              </w:rPr>
              <w:instrText xml:space="preserve"> ADDIN ZOTERO_ITEM CSL_CITATION {"citationID":"IJQg99tP","properties":{"formattedCitation":"[40]","plainCitation":"[40]","noteIndex":0},"citationItems":[{"id":1800,"uris":["http://zotero.org/users/8822686/items/7Y3UQDKZ"],"itemData":{"id":1800,"type":"article-journal","container-title":"Journal of Electrocardiology","DOI":"10.1016/j.jelectrocard.2018.09.010","ISSN":"1532-8430","journalAbbreviation":"J Electrocardiol","language":"eng","note":"PMID: 30476643","page":"7-9","source":"PubMed","title":"Flecainide overdose presenting with long QT and acute Takotsubo cardiomyopathy","volume":"52","author":[{"family":"Bodziock","given":"George"},{"family":"Armstrong","given":"Chadwick"},{"family":"Montgomery","given":"Jay"}],"issued":{"date-parts":[["2019"]]}}}],"schema":"https://github.com/citation-style-language/schema/raw/master/csl-citation.json"} </w:instrText>
            </w:r>
            <w:r w:rsidRPr="00731360">
              <w:rPr>
                <w:rFonts w:ascii="Times New Roman" w:eastAsia="Calibri" w:hAnsi="Times New Roman" w:cs="Times New Roman"/>
                <w:color w:val="000000" w:themeColor="text1"/>
                <w:sz w:val="18"/>
                <w:szCs w:val="18"/>
                <w:lang w:val="en-US" w:eastAsia="ar-SA"/>
              </w:rPr>
              <w:fldChar w:fldCharType="separate"/>
            </w:r>
            <w:r w:rsidRPr="00731360">
              <w:rPr>
                <w:rFonts w:ascii="Times New Roman" w:eastAsia="Calibri" w:hAnsi="Times New Roman" w:cs="Times New Roman"/>
                <w:noProof/>
                <w:color w:val="000000" w:themeColor="text1"/>
                <w:sz w:val="18"/>
                <w:szCs w:val="18"/>
                <w:lang w:val="en-US" w:eastAsia="ar-SA"/>
              </w:rPr>
              <w:t>[40]</w:t>
            </w:r>
            <w:r w:rsidRPr="00731360">
              <w:rPr>
                <w:rFonts w:ascii="Times New Roman" w:eastAsia="Calibri" w:hAnsi="Times New Roman" w:cs="Times New Roman"/>
                <w:color w:val="000000" w:themeColor="text1"/>
                <w:sz w:val="18"/>
                <w:szCs w:val="18"/>
                <w:lang w:val="en-US" w:eastAsia="ar-SA"/>
              </w:rPr>
              <w:fldChar w:fldCharType="end"/>
            </w:r>
          </w:p>
        </w:tc>
      </w:tr>
      <w:tr w:rsidR="00227041" w:rsidRPr="00227041" w14:paraId="4AB16973" w14:textId="77777777" w:rsidTr="00B11806">
        <w:trPr>
          <w:jc w:val="center"/>
        </w:trPr>
        <w:tc>
          <w:tcPr>
            <w:tcW w:w="423" w:type="pct"/>
            <w:vAlign w:val="center"/>
          </w:tcPr>
          <w:p w14:paraId="2F86525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68</w:t>
            </w:r>
          </w:p>
        </w:tc>
        <w:tc>
          <w:tcPr>
            <w:tcW w:w="916" w:type="pct"/>
            <w:vAlign w:val="center"/>
          </w:tcPr>
          <w:p w14:paraId="4F12E29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2.44 </w:t>
            </w:r>
          </w:p>
        </w:tc>
        <w:tc>
          <w:tcPr>
            <w:tcW w:w="774" w:type="pct"/>
            <w:vAlign w:val="center"/>
          </w:tcPr>
          <w:p w14:paraId="228BEA7D"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Bisoprolol</w:t>
            </w:r>
          </w:p>
        </w:tc>
        <w:tc>
          <w:tcPr>
            <w:tcW w:w="704" w:type="pct"/>
            <w:vAlign w:val="center"/>
          </w:tcPr>
          <w:p w14:paraId="6CAF8E4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Flecainide intoxication</w:t>
            </w:r>
          </w:p>
        </w:tc>
        <w:tc>
          <w:tcPr>
            <w:tcW w:w="1761" w:type="pct"/>
            <w:vAlign w:val="center"/>
          </w:tcPr>
          <w:p w14:paraId="25F1537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atrial fibrillation, sick sinus syndrome, followed by pacemaker implantation, and chronic renal failure. Home medications were bisoprolol bumetadine, flecainide, and rivaroxaban. Brought to the hospital after collapsing. ECG showed extreme broad QRS complexes and loss of pacemaker capture. After sodium bicarbonate and intravenous lipid emulsion treatments, the patient was discharged</w:t>
            </w:r>
          </w:p>
        </w:tc>
        <w:tc>
          <w:tcPr>
            <w:tcW w:w="422" w:type="pct"/>
            <w:vAlign w:val="center"/>
          </w:tcPr>
          <w:p w14:paraId="361AEB65"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Heldens M. et al. 2019</w:t>
            </w:r>
          </w:p>
          <w:p w14:paraId="41C55742"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{"citationID":"9mE7vlm6","properties":{"formattedCitation":"[41]","plainCitation":"[41]","noteIndex":0},"citationItems":[{"id":1775,"uris":["http://zotero.org/users/8822686/items/IF8SPPDQ"],"itemData":{"id":1775,"type":"article-journal","abstract":"Flecainide intoxication is a severe intoxication that can lead to cardiogenic shock. We report on a 68-year-old female patient, who presented with a flecainide intoxication in the setting of renal failure. She was managed with invasive supportive therapy at the ICU and infusion of sodium bicarbonate and intravenous lipid emulsion (ILE, intralipid 20%), after which she made a complete recovery.","container-title":"The Netherlands Journal of Medicine","ISSN":"1872-9061","issue":"5","journalAbbreviation":"Neth J Med","language":"eng","note":"PMID: 31264585","page":"189-192","source":"PubMed","title":"Renal failure, shock, and loss of pacemaker capture: A case of flecainide intoxication","title-short":"Renal failure, shock, and loss of pacemaker capture","volume":"77","author":[{"family":"Heldens","given":"M."},{"family":"Nat","given":"G. a. M.","non-dropping-particle":"van der"},{"family":"Melman","given":"P. G."}],"issued":{"date-parts":[["2019",6]]}}}],"schema":"https://github.com/citation-style-language/schema/raw/master/csl-citation.json"}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[41]</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71126607" w14:textId="77777777" w:rsidTr="00B11806">
        <w:trPr>
          <w:jc w:val="center"/>
        </w:trPr>
        <w:tc>
          <w:tcPr>
            <w:tcW w:w="423" w:type="pct"/>
            <w:vAlign w:val="center"/>
          </w:tcPr>
          <w:p w14:paraId="13273EE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86</w:t>
            </w:r>
          </w:p>
        </w:tc>
        <w:tc>
          <w:tcPr>
            <w:tcW w:w="916" w:type="pct"/>
            <w:vAlign w:val="center"/>
          </w:tcPr>
          <w:p w14:paraId="63A469B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1.39 </w:t>
            </w:r>
          </w:p>
        </w:tc>
        <w:tc>
          <w:tcPr>
            <w:tcW w:w="774" w:type="pct"/>
            <w:vAlign w:val="center"/>
          </w:tcPr>
          <w:p w14:paraId="3577CCB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4FF4AC3E"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w:t>
            </w:r>
          </w:p>
          <w:p w14:paraId="7880AFB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Flecainide intoxication</w:t>
            </w:r>
          </w:p>
        </w:tc>
        <w:tc>
          <w:tcPr>
            <w:tcW w:w="1761" w:type="pct"/>
            <w:vAlign w:val="center"/>
          </w:tcPr>
          <w:p w14:paraId="7BE226F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atrial fibrillation and pacemaker implantation. Home medication were flecainide and anticoagulants. Brought to the ED with abdominal pain, weakness, nausea and dry heaves. ECG revealed a wide complex rhythm with pacemaker spikes. Treated with bicarbonate IV</w:t>
            </w:r>
          </w:p>
        </w:tc>
        <w:tc>
          <w:tcPr>
            <w:tcW w:w="422" w:type="pct"/>
            <w:vAlign w:val="center"/>
          </w:tcPr>
          <w:p w14:paraId="2DFCEA8E"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731360">
              <w:rPr>
                <w:rFonts w:ascii="Times New Roman" w:eastAsia="Calibri" w:hAnsi="Times New Roman" w:cs="Times New Roman"/>
                <w:color w:val="000000" w:themeColor="text1"/>
                <w:sz w:val="18"/>
                <w:szCs w:val="18"/>
                <w:lang w:eastAsia="ar-SA"/>
              </w:rPr>
              <w:t>Apfelbaum J. et al. 2018</w:t>
            </w:r>
          </w:p>
          <w:p w14:paraId="5ABF1EEE"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{"citationID":"uJYAc25n","properties":{"formattedCitation":"[42]","plainCitation":"[42]","noteIndex":0},"citationItems":[{"id":1774,"uris":["http://zotero.org/users/8822686/items/QTAINJ33"],"itemData":{"id":1774,"type":"article-journal","container-title":"Emergency Medicine","DOI":"10.12788/emed.2018.0096","ISSN":"00136654","issue":"6","journalAbbreviation":"Emerg Med","language":"en","page":"124-126","source":"DOI.org (Crossref)","title":"Electrocardiography: Flecainide Toxicity","title-short":"Electrocardiography","URL":"https://www.mdedge.com/emed-journal/article/167286/toxicology/electrocardiography-flecainide-toxicity","volume":"50","author":[{"family":"Apfelbaum","given":"Jonathan"},{"family":"Gerczynski","given":"Jessica"},{"family":"Robertson","given":"William"},{"family":"Richey","given":"Stephen"}],"accessed":{"date-parts":[["2024",3,7]]},"issued":{"date-parts":[["2018",6,1]]}}}],"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[42]</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5C0DE69F" w14:textId="77777777" w:rsidTr="00B11806">
        <w:trPr>
          <w:jc w:val="center"/>
        </w:trPr>
        <w:tc>
          <w:tcPr>
            <w:tcW w:w="423" w:type="pct"/>
            <w:vAlign w:val="center"/>
          </w:tcPr>
          <w:p w14:paraId="69E1050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M, 23</w:t>
            </w:r>
          </w:p>
        </w:tc>
        <w:tc>
          <w:tcPr>
            <w:tcW w:w="916" w:type="pct"/>
            <w:vAlign w:val="center"/>
          </w:tcPr>
          <w:p w14:paraId="788A48A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2 </w:t>
            </w:r>
          </w:p>
        </w:tc>
        <w:tc>
          <w:tcPr>
            <w:tcW w:w="774" w:type="pct"/>
            <w:vAlign w:val="center"/>
          </w:tcPr>
          <w:p w14:paraId="6C117B6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Amphetamine</w:t>
            </w:r>
          </w:p>
        </w:tc>
        <w:tc>
          <w:tcPr>
            <w:tcW w:w="704" w:type="pct"/>
            <w:vAlign w:val="center"/>
          </w:tcPr>
          <w:p w14:paraId="75B8886B"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435654E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symptomatic premature atrial complexes, paroxysmal atrial tachycardia, and severe depression. Developed a wide complex rhythm degenerated to pulseless ventricular tachycardia and ventricular fibrillation</w:t>
            </w:r>
          </w:p>
        </w:tc>
        <w:tc>
          <w:tcPr>
            <w:tcW w:w="422" w:type="pct"/>
            <w:vAlign w:val="center"/>
          </w:tcPr>
          <w:p w14:paraId="6203E846"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Vu NM. et al. 2016</w:t>
            </w:r>
          </w:p>
          <w:p w14:paraId="4AF2B4C6"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{"citationID":"UTlsAzF9","properties":{"formattedCitation":"[43]","plainCitation":"[43]","noteIndex":0},"citationItems":[{"id":1773,"uris":["http://zotero.org/users/8822686/items/CM6AUNHH"],"itemData":{"id":1773,"type":"article-journal","container-title":"HeartRhythm Case Reports","DOI":"10.1016/j.hrcr.2015.12.013","ISSN":"2214-0271","issue":"3","journalAbbreviation":"HeartRhythm Case Rep","language":"eng","note":"PMID: 28491675\nPMCID: PMC5419747","page":"228-231","source":"PubMed","title":"Management of life-threatening flecainide overdose: A case report and review of the literature","title-short":"Management of life-threatening flecainide overdose","volume":"2","author":[{"family":"Vu","given":"Nancy M."},{"family":"Hill","given":"Terence E."},{"family":"Summers","given":"Matthew R."},{"family":"Vranian","given":"Michael N."},{"family":"Faulx","given":"Michael D."}],"issued":{"date-parts":[["2016",5]]}}}],"schema":"https://github.com/citation-style-language/schema/raw/master/csl-citation.json"}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[43]</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31484DD0" w14:textId="77777777" w:rsidTr="00B11806">
        <w:trPr>
          <w:jc w:val="center"/>
        </w:trPr>
        <w:tc>
          <w:tcPr>
            <w:tcW w:w="423" w:type="pct"/>
            <w:vAlign w:val="center"/>
          </w:tcPr>
          <w:p w14:paraId="1C5541AC"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Times New Roman" w:hAnsi="Times New Roman" w:cs="Times New Roman"/>
                <w:color w:val="000000" w:themeColor="text1"/>
                <w:sz w:val="18"/>
                <w:szCs w:val="18"/>
                <w:lang w:val="en-US" w:eastAsia="it-IT"/>
              </w:rPr>
              <w:t>M, 46</w:t>
            </w:r>
          </w:p>
        </w:tc>
        <w:tc>
          <w:tcPr>
            <w:tcW w:w="916" w:type="pct"/>
            <w:vAlign w:val="center"/>
          </w:tcPr>
          <w:p w14:paraId="0DC52A2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 xml:space="preserve">Serum: 1.76 </w:t>
            </w:r>
          </w:p>
        </w:tc>
        <w:tc>
          <w:tcPr>
            <w:tcW w:w="774" w:type="pct"/>
            <w:vAlign w:val="center"/>
          </w:tcPr>
          <w:p w14:paraId="5FEE8BEE"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5D7B160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5609125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History of surgically treated patent foramen ovale, and symptomatic </w:t>
            </w:r>
            <w:bookmarkStart w:id="0" w:name="_Hlk157423517"/>
            <w:r w:rsidRPr="00227041">
              <w:rPr>
                <w:rFonts w:ascii="Times New Roman" w:eastAsia="Calibri" w:hAnsi="Times New Roman" w:cs="Times New Roman"/>
                <w:color w:val="000000" w:themeColor="text1"/>
                <w:sz w:val="18"/>
                <w:szCs w:val="18"/>
                <w:lang w:val="en-GB" w:eastAsia="ar-SA"/>
              </w:rPr>
              <w:t xml:space="preserve">PVCs </w:t>
            </w:r>
            <w:bookmarkEnd w:id="0"/>
            <w:r w:rsidRPr="00227041">
              <w:rPr>
                <w:rFonts w:ascii="Times New Roman" w:eastAsia="Calibri" w:hAnsi="Times New Roman" w:cs="Times New Roman"/>
                <w:color w:val="000000" w:themeColor="text1"/>
                <w:sz w:val="18"/>
                <w:szCs w:val="18"/>
                <w:lang w:val="en-GB" w:eastAsia="ar-SA"/>
              </w:rPr>
              <w:t>for which he was recently started on flecainide 50 mg every 12 h. ED: dizziness, nausea and lethargy, wide complex tachycardia</w:t>
            </w:r>
          </w:p>
        </w:tc>
        <w:tc>
          <w:tcPr>
            <w:tcW w:w="422" w:type="pct"/>
            <w:vAlign w:val="center"/>
          </w:tcPr>
          <w:p w14:paraId="351065FF"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731360">
              <w:rPr>
                <w:rFonts w:ascii="Times New Roman" w:eastAsia="Calibri" w:hAnsi="Times New Roman" w:cs="Times New Roman"/>
                <w:color w:val="000000" w:themeColor="text1"/>
                <w:sz w:val="18"/>
                <w:szCs w:val="18"/>
                <w:lang w:val="en-US" w:eastAsia="ar-SA"/>
              </w:rPr>
              <w:t>Valentino MA. et al. 2016</w:t>
            </w:r>
          </w:p>
          <w:p w14:paraId="5125C6C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{"citationID":"quflDPcZ","properties":{"formattedCitation":"[15]","plainCitation":"[15]","noteIndex":0},"citationItems":[{"id":1812,"uris":["http://zotero.org/users/8822686/items/LH8BUGVN"],"itemData":{"id":1812,"type":"article-journal","abstract":"In the setting of flecainide toxicity, supraventricular tachycardia can manifest as a bizarre right or left bundle branch block, sometimes with a northwest axis, and can easily be mistaken for ventricular tachycardia leading to inappropriate therapy. We conducted a comprehensive literature review for cases of flecainide toxicity. We found 21 articles of flecainide toxicity in adult patients in which 22 ECG tracings were published. In patients with flecainide toxicity and QRS duration ≤ 200 ms, the ECGs were more likely to show RBBB, visible P waves (p = 0.03), and shorter QT (p = 0.02) and QTc intervals (p = 0.004). With QRS duration &gt; 200 ms, the ECGs were more likely to show LBBB, loss of P waves, a northwest axis (p = 0.01), and longer QT and QTc intervals. Deaths were reported only in patients with QRS duration &gt;200 ms, and the outcome of death or requirement for mechanical circulatory support was more prevalent in patients with a QRS duration &gt; 200 ms [2/13 (15.4 %) vs. 6/10 (60 %), p = 0.04]. In patients with access to the medication, flecainide toxicity should be suspected with: (1) broad QRS, (2) RBBB morphology with QRS ≤ 200 ms; RBBB or LBBB morphology with QRS ≥ 200 ms (3) HR out of proportion to the degree of hemodynamic instability. The duration of the QRS interval is prognostic, with mortality and the requirement for mechanical circulatory support being more common in patients with a QRS &gt; 200 ms.","container-title":"Cardiovascular Toxicology","DOI":"10.1007/s12012-016-9380-0","ISSN":"1559-0259","issue":"3","journalAbbreviation":"Cardiovasc Toxicol","language":"eng","note":"PMID: 27435408","page":"260-266","source":"PubMed","title":"Flecainide Toxicity: A Case Report and Systematic Review of its Electrocardiographic Patterns and Management","title-short":"Flecainide Toxicity","volume":"17","author":[{"family":"Valentino","given":"Michael A."},{"family":"Panakos","given":"Andrew"},{"family":"Ragupathi","given":"Loheetha"},{"family":"Williams","given":"Janna"},{"family":"Pavri","given":"Behzad B."}],"issued":{"date-parts":[["2017",7]]}}}],"schema":"https://github.com/citation-style-language/schema/raw/master/csl-citation.json"}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[15]</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6F993029" w14:textId="77777777" w:rsidTr="00B11806">
        <w:trPr>
          <w:jc w:val="center"/>
        </w:trPr>
        <w:tc>
          <w:tcPr>
            <w:tcW w:w="423" w:type="pct"/>
            <w:vAlign w:val="center"/>
          </w:tcPr>
          <w:p w14:paraId="3DDDE5E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13</w:t>
            </w:r>
          </w:p>
        </w:tc>
        <w:tc>
          <w:tcPr>
            <w:tcW w:w="916" w:type="pct"/>
            <w:vAlign w:val="center"/>
          </w:tcPr>
          <w:p w14:paraId="04C9916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Serum:</w:t>
            </w:r>
          </w:p>
          <w:p w14:paraId="43DB148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After 90 m: 1.512 </w:t>
            </w:r>
          </w:p>
          <w:p w14:paraId="46AE394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GB" w:eastAsia="ar-SA"/>
              </w:rPr>
              <w:t xml:space="preserve">After 9 h: 2.699 </w:t>
            </w:r>
          </w:p>
          <w:p w14:paraId="24D9582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After 12 h: 2.075 </w:t>
            </w:r>
          </w:p>
          <w:p w14:paraId="4116A7F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GB" w:eastAsia="ar-SA"/>
              </w:rPr>
              <w:t xml:space="preserve">After 24 h: 0.168 </w:t>
            </w:r>
          </w:p>
          <w:p w14:paraId="1D361DCD"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GB" w:eastAsia="ar-SA"/>
              </w:rPr>
              <w:t xml:space="preserve">After 60 h: 0.895 </w:t>
            </w:r>
          </w:p>
          <w:p w14:paraId="4021F30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 xml:space="preserve">After 140 h: &lt;0.100 </w:t>
            </w:r>
          </w:p>
        </w:tc>
        <w:tc>
          <w:tcPr>
            <w:tcW w:w="774" w:type="pct"/>
            <w:vAlign w:val="center"/>
          </w:tcPr>
          <w:p w14:paraId="7174234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Bisoprolol and aspirin</w:t>
            </w:r>
          </w:p>
        </w:tc>
        <w:tc>
          <w:tcPr>
            <w:tcW w:w="704" w:type="pct"/>
            <w:vAlign w:val="center"/>
          </w:tcPr>
          <w:p w14:paraId="0F7B858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10BDB72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The patient had a first-degree AV block, prolonged QTc, VF arrest, and Brugada-like syndrome</w:t>
            </w:r>
          </w:p>
        </w:tc>
        <w:tc>
          <w:tcPr>
            <w:tcW w:w="422" w:type="pct"/>
            <w:vAlign w:val="center"/>
          </w:tcPr>
          <w:p w14:paraId="59280E5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Mukhtar O. et al. 2015</w:t>
            </w:r>
          </w:p>
          <w:p w14:paraId="70BBCC4A"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{"citationID":"FmCsOhWw","properties":{"formattedCitation":"[44]","plainCitation":"[44]","noteIndex":0},"citationItems":[{"id":1772,"uris":["http://zotero.org/users/8822686/items/4DT8G26Q"],"itemData":{"id":1772,"type":"article-journal","abstract":"Lipid-emulsion therapy (Intralipid®) has been advocated as a potential treatment for the management of cardio-toxicity arising from lipid-soluble drugs, particularly those acting upon sodium channels. This, on the basis of a number of ex vivo studies and animal models, suggests that partitioning a drug into lipid could alter its pharmacokinetics and result in significant clinical improvements. Its subsequent use in clinical case series has been seen as confirmation of this mechanism of action. While there are undoubtedly instances where lipid emulsion therapy has been associated with a desirable outcome in humans, as described in this case report, clinicians are reminded that they should not attribute causality, on this basis alone.","container-title":"Clinical Medicine (London, England)","DOI":"10.7861/clinmedicine.15-3-301","ISSN":"1470-2118","issue":"3","journalAbbreviation":"Clin Med (Lond)","language":"eng","note":"PMID: 26031986\nPMCID: PMC4953120","page":"301-303","source":"PubMed","title":"Lesson of the month 1: Acute flecainide overdose and the potential utility of lipid emulsion therapy","title-short":"Lesson of the month 1","volume":"15","author":[{"family":"Mukhtar","given":"Omar"},{"family":"Archer","given":"John Rh"},{"family":"Dargan","given":"Paul I."},{"family":"Wood","given":"David M."}],"issued":{"date-parts":[["2015",6]]}}}],"schema":"https://github.com/citation-style-language/schema/raw/master/csl-citation.json"}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[44]</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4D8D46B1" w14:textId="77777777" w:rsidTr="00B11806">
        <w:trPr>
          <w:jc w:val="center"/>
        </w:trPr>
        <w:tc>
          <w:tcPr>
            <w:tcW w:w="423" w:type="pct"/>
            <w:vAlign w:val="center"/>
          </w:tcPr>
          <w:p w14:paraId="62D989B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24</w:t>
            </w:r>
          </w:p>
        </w:tc>
        <w:tc>
          <w:tcPr>
            <w:tcW w:w="916" w:type="pct"/>
            <w:vAlign w:val="center"/>
          </w:tcPr>
          <w:p w14:paraId="4E84C57C"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11.085 </w:t>
            </w:r>
          </w:p>
        </w:tc>
        <w:tc>
          <w:tcPr>
            <w:tcW w:w="774" w:type="pct"/>
            <w:vAlign w:val="center"/>
          </w:tcPr>
          <w:p w14:paraId="569912FE"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Levetiracetam</w:t>
            </w:r>
          </w:p>
        </w:tc>
        <w:tc>
          <w:tcPr>
            <w:tcW w:w="704" w:type="pct"/>
            <w:vAlign w:val="center"/>
          </w:tcPr>
          <w:p w14:paraId="497A782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7A60873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Brought to the ED in profound shock with a wide complex bradydysrhythmia. She developed pulseless electrical activity cardiac arrest. After venoarterial extracorporeal membrane oxygenation, she discharged home on day 19</w:t>
            </w:r>
          </w:p>
        </w:tc>
        <w:tc>
          <w:tcPr>
            <w:tcW w:w="422" w:type="pct"/>
            <w:vAlign w:val="center"/>
          </w:tcPr>
          <w:p w14:paraId="643076BD"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Reynolds et al.</w:t>
            </w:r>
          </w:p>
          <w:p w14:paraId="32481331"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2015</w:t>
            </w:r>
          </w:p>
          <w:p w14:paraId="1215132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{"citationID":"eXk0Dz0E","properties":{"formattedCitation":"[45]","plainCitation":"[45]","noteIndex":0},"citationItems":[{"id":1771,"uris":["http://zotero.org/users/8822686/items/TXXGJPAH"],"itemData":{"id":1771,"type":"article-journal","abstract":"Flecainide is a class Ic antidysrhythmic agent used to prevent and treat tachydysrhythmias. Flecainide toxicity primarily causes cardiovascular and neurologic effects through sodium-channel blockade. There is scant evidence to support specific management, and recommended therapies have been extrapolated from management of other sodium-channel blocking drugs. Traditionally, these therapies have consisted of intravenous fluids, sodium bicarbonate, vasopressors, and cardiac pacing. Novel therapies include intravenous fat emulsion and venoarterial extracorporeal membrane oxygenation (VA-ECMO). A 24-year-old woman ingested her husband's flecainide and presented to the emergency department (ED) in profound shock with a wide complex bradydysrhythmia. Despite aggressive medical therapy including sodium bicarbonate, vasopressors, cardiac pacing, and intravenous fat emulsion, her condition deteriorated and she developed pulseless electrical activity (PEA) cardiac arrest refractory to standard resuscitation. Venoarterial extracorporeal membrane oxygenation was initiated in the ED, and the patient remained comatose and critically ill in the intensive care unit. Her hemodynamics and mental status recovered, but she had compartment syndrome in her left leg requiring fasciotomy. She was discontinued from VA-ECMO on hospital day 5, extubated on hospital day 6, and discharged home with excellent neurologic recovery on hospital day 19. Intravenous fat emulsion is thought to sequester the offending agent in a plasma lipid “sink,” alter ion channel permeability, and/or modify fatty acid utilization by the myocardium. The quality of evidence for intravenous fat emulsion is generally low. Venoarterial extracorporeal membrane oxygenation was used in this patient to restore organ perfusion and allow intrinsic drug metabolism and elimination. Venoarterial extracorporeal membrane oxygenation should be strongly considered for refractory shock and/or cardiac arrest secondary to flecainide toxicity.","container-title":"The American Journal of Emergency Medicine","DOI":"10.1016/j.ajem.2015.07.054","ISSN":"1532-8171","issue":"10","journalAbbreviation":"Am J Emerg Med","language":"eng","note":"PMID: 26299692","page":"1542.e1-2","source":"PubMed","title":"Successful treatment of flecainide-induced cardiac arrest with extracorporeal membrane oxygenation in the ED","volume":"33","author":[{"family":"Reynolds","given":"Joshua C."},{"family":"Judge","given":"Bryan S."}],"issued":{"date-parts":[["2015",10]]}}}],"schema":"https://github.com/citation-style-language/schema/raw/master/csl-citation.json"}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[45]</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5DF72F18" w14:textId="77777777" w:rsidTr="00B11806">
        <w:trPr>
          <w:jc w:val="center"/>
        </w:trPr>
        <w:tc>
          <w:tcPr>
            <w:tcW w:w="423" w:type="pct"/>
            <w:vAlign w:val="center"/>
          </w:tcPr>
          <w:p w14:paraId="3FDDC79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52</w:t>
            </w:r>
          </w:p>
        </w:tc>
        <w:tc>
          <w:tcPr>
            <w:tcW w:w="916" w:type="pct"/>
            <w:vAlign w:val="center"/>
          </w:tcPr>
          <w:p w14:paraId="3A3FF80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4.13 </w:t>
            </w:r>
          </w:p>
        </w:tc>
        <w:tc>
          <w:tcPr>
            <w:tcW w:w="774" w:type="pct"/>
            <w:vAlign w:val="center"/>
          </w:tcPr>
          <w:p w14:paraId="4319FEA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574B20A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w:t>
            </w:r>
          </w:p>
          <w:p w14:paraId="7830E4FC"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Flecainide intoxication</w:t>
            </w:r>
          </w:p>
        </w:tc>
        <w:tc>
          <w:tcPr>
            <w:tcW w:w="1761" w:type="pct"/>
            <w:vAlign w:val="center"/>
          </w:tcPr>
          <w:p w14:paraId="06CD7F7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paroxysmal atrial fibrillation, Gitelman syndrome and depression. She was found unresponsive at home because of a cardiac arrest. ECG showed a wide QRS complex and profound bradycardia. After bicarbonate, intravenous fat emulsion and activating charcoal the patient was discharge</w:t>
            </w:r>
          </w:p>
        </w:tc>
        <w:tc>
          <w:tcPr>
            <w:tcW w:w="422" w:type="pct"/>
            <w:vAlign w:val="center"/>
          </w:tcPr>
          <w:p w14:paraId="14A01C67"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 xml:space="preserve">Sivalingam SK. et al. </w:t>
            </w:r>
          </w:p>
          <w:p w14:paraId="5D6E4DEB"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2013</w:t>
            </w:r>
          </w:p>
          <w:p w14:paraId="6BB01A8B"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{"citationID":"Eq8Xi8XF","properties":{"formattedCitation":"[46]","plainCitation":"[46]","noteIndex":0},"citationItems":[{"id":1770,"uris":["http://zotero.org/users/8822686/items/2YVIGZQP"],"itemData":{"id":1770,"type":"article-journal","container-title":"Acute Cardiac Care","DOI":"10.3109/17482941.2013.841949","ISSN":"1748-295X","issue":"4","journalAbbreviation":"Acute Card Care","language":"eng","note":"PMID: 24200150","page":"90-92","source":"PubMed","title":"Flecainide toxicity--treatment with intravenous fat emulsion and extra corporeal life support","volume":"15","author":[{"family":"Sivalingam","given":"Senthil K."},{"family":"Gadiraju","given":"Vijay T."},{"family":"Hariharan","given":"Mini V."},{"family":"Atreya","given":"Auras R."},{"family":"Flack","given":"Joseph E."},{"family":"Aziz","given":"Hany"}],"issued":{"date-parts":[["2013",12]]}}}],"schema":"https://github.com/citation-style-language/schema/raw/master/csl-citation.json"}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[46]</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30BDB75F" w14:textId="77777777" w:rsidTr="00B11806">
        <w:trPr>
          <w:jc w:val="center"/>
        </w:trPr>
        <w:tc>
          <w:tcPr>
            <w:tcW w:w="423" w:type="pct"/>
            <w:vAlign w:val="center"/>
          </w:tcPr>
          <w:p w14:paraId="6ED69B6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M, 18 days</w:t>
            </w:r>
          </w:p>
        </w:tc>
        <w:tc>
          <w:tcPr>
            <w:tcW w:w="916" w:type="pct"/>
            <w:vAlign w:val="center"/>
          </w:tcPr>
          <w:p w14:paraId="3A15EADC"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 xml:space="preserve">Serum: 1.36 </w:t>
            </w:r>
          </w:p>
        </w:tc>
        <w:tc>
          <w:tcPr>
            <w:tcW w:w="774" w:type="pct"/>
            <w:vAlign w:val="center"/>
          </w:tcPr>
          <w:p w14:paraId="75DFC55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 -</w:t>
            </w:r>
          </w:p>
        </w:tc>
        <w:tc>
          <w:tcPr>
            <w:tcW w:w="704" w:type="pct"/>
            <w:vAlign w:val="center"/>
          </w:tcPr>
          <w:p w14:paraId="24A3CA5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US" w:eastAsia="ar-SA"/>
              </w:rPr>
              <w:t xml:space="preserve">Accidental flecainide </w:t>
            </w:r>
            <w:r w:rsidRPr="00227041">
              <w:rPr>
                <w:rFonts w:ascii="Times New Roman" w:eastAsia="Calibri" w:hAnsi="Times New Roman" w:cs="Times New Roman"/>
                <w:iCs/>
                <w:color w:val="000000" w:themeColor="text1"/>
                <w:sz w:val="18"/>
                <w:szCs w:val="18"/>
                <w:lang w:val="en-US" w:eastAsia="ar-SA"/>
              </w:rPr>
              <w:t>intoxication</w:t>
            </w:r>
          </w:p>
        </w:tc>
        <w:tc>
          <w:tcPr>
            <w:tcW w:w="1761" w:type="pct"/>
            <w:vAlign w:val="center"/>
          </w:tcPr>
          <w:p w14:paraId="3A965D1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Past medical history of SVT in therapy whit flecainide acetate 4 mg every 8 h. Developed lethargy, bradycardia, absence of pulse, wide-complex tachycardia</w:t>
            </w:r>
          </w:p>
        </w:tc>
        <w:tc>
          <w:tcPr>
            <w:tcW w:w="422" w:type="pct"/>
            <w:vAlign w:val="center"/>
          </w:tcPr>
          <w:p w14:paraId="357F4F38"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731360">
              <w:rPr>
                <w:rFonts w:ascii="Times New Roman" w:eastAsia="Calibri" w:hAnsi="Times New Roman" w:cs="Times New Roman"/>
                <w:color w:val="000000" w:themeColor="text1"/>
                <w:sz w:val="18"/>
                <w:szCs w:val="18"/>
                <w:lang w:eastAsia="ar-SA"/>
              </w:rPr>
              <w:t xml:space="preserve">Jang DH. et al. </w:t>
            </w:r>
          </w:p>
          <w:p w14:paraId="700EF2D4"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731360">
              <w:rPr>
                <w:rFonts w:ascii="Times New Roman" w:eastAsia="Calibri" w:hAnsi="Times New Roman" w:cs="Times New Roman"/>
                <w:color w:val="000000" w:themeColor="text1"/>
                <w:sz w:val="18"/>
                <w:szCs w:val="18"/>
                <w:lang w:eastAsia="ar-SA"/>
              </w:rPr>
              <w:t>2013</w:t>
            </w:r>
          </w:p>
          <w:p w14:paraId="0886A6E8"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{"citationID":"pihwuTpp","properties":{"formattedCitation":"[47]","plainCitation":"[47]","noteIndex":0},"citationItems":[{"id":1769,"uris":["http://zotero.org/users/8822686/items/INVV4ZGM"],"itemData":{"id":1769,"type":"article-journal","abstract":"BACKGROUND: Flecainide is a class IC antidysrhythmic primarily indicated for ventricular dysrhythmias and supraventricular tachycardia (SVT). Class IC antidysrhythmic overdose has a reported mortality of 22%, and death results from dysrhythmias and cardiovascular collapse. We report a near-fatal flecainide overdose in an 18-day-old treated successfully with sodium bicarbonate.\nCASE REPORT: An 18-day-old, 2 weeks premature, 4-kg boy developed persistently high heart rates (220-240 beats/min) and electrocardiographic changes consistent with SVT. There was minimal response to vagal maneuvers, adenosine, and esmolol, and a transthoracic echocardiogram showed no underlying structural abnormality. The patient was then started on flecainide 4 mg orally every 8 h (Q8h). After the fourth dose he developed lethargy, cold clammy skin, and a heart rate of 40 beats/min with no palpable pulse. The patient was given 0.1 mg of atropine intravenously, with an increase of the heart rate to 160 beats/min. The child's cardiac monitor revealed a wide-complex tachycardia with left bundle branch morphology, with associated pallor and poor capillary refill. Sodium bicarbonate was administered intravenously due to suspected flecainide toxicity. Approximately 5 min after intravenous administration of 10 mEq of 8.4% sodium bicarbonate twice, his rhythm converted to a narrow-complex tachycardia. A serum flecainide concentration was 1360 μg/L (therapeutic, 200-1000 μg/L) drawn 1 h before the cardiac arrest. It was later discovered that a twofold dosing error occurred: the patient received 8 mg Q8h instead of 4 mg Q8h for four doses.\nCONCLUSION: Flecainide toxicity in children is rare, especially in neonates. It is important for clinicians to be able to identify and treat this uncommon poisoning.","container-title":"The Journal of Emergency Medicine","DOI":"10.1016/j.jemermed.2012.07.050","ISSN":"0736-4679","issue":"4","journalAbbreviation":"J Emerg Med","language":"eng","note":"PMID: 22981658\nPMCID: PMC3985060","page":"781-783","source":"PubMed","title":"A case of near-fatal flecainide overdose in a neonate successfully treated with sodium bicarbonate","volume":"44","author":[{"family":"Jang","given":"David H."},{"family":"Hoffman","given":"Robert S."},{"family":"Nelson","given":"Lewis S."}],"issued":{"date-parts":[["2013",4]]}}}],"schema":"https://github.com/citation-style-language/schema/raw/master/csl-citation.json"}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[47]</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7AED7939" w14:textId="77777777" w:rsidTr="00B11806">
        <w:trPr>
          <w:jc w:val="center"/>
        </w:trPr>
        <w:tc>
          <w:tcPr>
            <w:tcW w:w="423" w:type="pct"/>
            <w:vAlign w:val="center"/>
          </w:tcPr>
          <w:p w14:paraId="79308DF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M, 51</w:t>
            </w:r>
          </w:p>
        </w:tc>
        <w:tc>
          <w:tcPr>
            <w:tcW w:w="916" w:type="pct"/>
            <w:vAlign w:val="center"/>
          </w:tcPr>
          <w:p w14:paraId="56C3A13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Serum:</w:t>
            </w:r>
          </w:p>
          <w:p w14:paraId="2A0B818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After 1 h: 1.8 </w:t>
            </w:r>
          </w:p>
          <w:p w14:paraId="1675291B"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After 8.5 h: 2.76 </w:t>
            </w:r>
          </w:p>
        </w:tc>
        <w:tc>
          <w:tcPr>
            <w:tcW w:w="774" w:type="pct"/>
            <w:vAlign w:val="center"/>
          </w:tcPr>
          <w:p w14:paraId="27B6BD76"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288F2ABD"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17676A7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atrial fibrillation and hypertension. Home medications were alprazolam, flecainide, lisinopril and aspirin. ECG demonstrated a wide QRS complex, prolonged QTc, bradycardia and first-degree AV block</w:t>
            </w:r>
          </w:p>
        </w:tc>
        <w:tc>
          <w:tcPr>
            <w:tcW w:w="422" w:type="pct"/>
            <w:vAlign w:val="center"/>
          </w:tcPr>
          <w:p w14:paraId="756BBD27"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Ellsworth SH. et al. 2013</w:t>
            </w:r>
          </w:p>
          <w:p w14:paraId="41447947"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{"citationID":"BWVroYqE","properties":{"formattedCitation":"[48]","plainCitation":"[48]","noteIndex":0},"citationItems":[{"id":1768,"uris":["http://zotero.org/users/8822686/items/8KUUP5F5"],"itemData":{"id":1768,"type":"article-journal","abstract":"Flecainide is a Vaughan Williams Class Ic antidysrhythmic associated with PR, QRS, and QTc prolongation on the electrocardiogram and development of life-threatening cardiac toxicity in overdose. The cornerstone of treatment is fluid resuscitation and the administration of magnesium and sodium bicarbonate. We report a case of flecainide overdose associated with life-threatening hemodynamic compromise successfully treated with intravenous fat emulsion (IFE) therapy. IFE should be considered as a novel adjunctive therapy in patients with life-threatening toxicity following flecainide overdose.","container-title":"Pacing and clinical electrophysiology: PACE","DOI":"10.1111/j.1540-8159.2012.03485.x","ISSN":"1540-8159","issue":"3","journalAbbreviation":"Pacing Clin Electrophysiol","language":"eng","note":"PMID: 22882363","page":"e87-89","source":"PubMed","title":"A life-threatening flecainide overdose treated with intravenous fat emulsion","volume":"36","author":[{"family":"Ellsworth","given":"Heather"},{"family":"Stellpflug","given":"Samuel J."},{"family":"Cole","given":"Jon B."},{"family":"Dolan","given":"Joseph A."},{"family":"Harris","given":"Carson R."}],"issued":{"date-parts":[["2013",3]]}}}],"schema":"https://github.com/citation-style-language/schema/raw/master/csl-citation.json"}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[48]</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45ABBAFF" w14:textId="77777777" w:rsidTr="00B11806">
        <w:trPr>
          <w:jc w:val="center"/>
        </w:trPr>
        <w:tc>
          <w:tcPr>
            <w:tcW w:w="423" w:type="pct"/>
            <w:vAlign w:val="center"/>
          </w:tcPr>
          <w:p w14:paraId="03507726"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57</w:t>
            </w:r>
          </w:p>
        </w:tc>
        <w:tc>
          <w:tcPr>
            <w:tcW w:w="916" w:type="pct"/>
            <w:vAlign w:val="center"/>
          </w:tcPr>
          <w:p w14:paraId="40F78E9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1940 </w:t>
            </w:r>
          </w:p>
        </w:tc>
        <w:tc>
          <w:tcPr>
            <w:tcW w:w="774" w:type="pct"/>
            <w:vAlign w:val="center"/>
          </w:tcPr>
          <w:p w14:paraId="74265A5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7E65063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04AC257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supraventricular tachyarrhythmia and chronic therapy with flecainide. Admitted to ED with wide QRS complex and prolonged QTc interval. Treated with sodium bicarbonate</w:t>
            </w:r>
          </w:p>
        </w:tc>
        <w:tc>
          <w:tcPr>
            <w:tcW w:w="422" w:type="pct"/>
            <w:vAlign w:val="center"/>
          </w:tcPr>
          <w:p w14:paraId="5B2592E7"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Rognoni A. et al. 2009</w:t>
            </w:r>
          </w:p>
          <w:p w14:paraId="4B8197D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{"citationID":"XAqCgR2D","properties":{"formattedCitation":"[49]","plainCitation":"[49]","noteIndex":0},"citationItems":[{"id":1767,"uris":["http://zotero.org/users/8822686/items/4SSSCGS2"],"itemData":{"id":1767,"type":"article-journal","abstract":"Flecainide is a class Ic anti - arrhythmic drug with sodium channel blocking activities. We report a case of a 57 year - old woman who attempted a suicide by ingesting approximately 1,8 gr of flecainide. On the surface electrocardiogram this results in a large QRS complex and in prolongation of the QTc interval. Overdose with a class Ic drug is very uncommon, its management is difficult and the mortality high., Because of a hemodynamic instability and in addition to supportive care and antidysrhythmics, she was treated with a high dose of sodium bicarbonate in hypertonic solution; after this infusion the patient's QRS progressive narrowed., In conclusion, sodium bicarbonate may be useful in the treatment of widened QRS and to stabilize a overdose of class Ic anti - arrhythmic drugs.","container-title":"Cases Journal","DOI":"10.1186/1757-1626-2-9137","ISSN":"1757-1626","journalAbbreviation":"Cases J","note":"PMID: 20062654\nPMCID: PMC2803934","page":"9137","source":"PubMed Central","title":"Electrocardiographic changes in a rare case of flecainide poisoning: a case report","title-short":"Electrocardiographic changes in a rare case of flecainide poisoning","URL":"https://www.ncbi.nlm.nih.gov/pmc/articles/PMC2803934/","volume":"2","author":[{"family":"Rognoni","given":"Andrea"},{"family":"Bertolazzi","given":"Marzia"},{"family":"Peron","given":"Marzia"},{"family":"Macciò","given":"Sergio"},{"family":"Cameroni","given":"Gemma Ternavasio"},{"family":"Gratarola","given":"Angelo"},{"family":"Rognoni","given":"Giorgio"}],"accessed":{"date-parts":[["2024",3,7]]},"issued":{"date-parts":[["2009",12,3]]}}}],"schema":"https://github.com/citation-style-language/schema/raw/master/csl-citation.json"}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[49]</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284DF9F6" w14:textId="77777777" w:rsidTr="00B11806">
        <w:trPr>
          <w:jc w:val="center"/>
        </w:trPr>
        <w:tc>
          <w:tcPr>
            <w:tcW w:w="423" w:type="pct"/>
            <w:vAlign w:val="center"/>
          </w:tcPr>
          <w:p w14:paraId="6831ADF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34</w:t>
            </w:r>
          </w:p>
        </w:tc>
        <w:tc>
          <w:tcPr>
            <w:tcW w:w="916" w:type="pct"/>
            <w:vAlign w:val="center"/>
          </w:tcPr>
          <w:p w14:paraId="54EAC03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3.6 </w:t>
            </w:r>
          </w:p>
        </w:tc>
        <w:tc>
          <w:tcPr>
            <w:tcW w:w="774" w:type="pct"/>
            <w:vAlign w:val="center"/>
          </w:tcPr>
          <w:p w14:paraId="4CDC79E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 </w:t>
            </w:r>
          </w:p>
        </w:tc>
        <w:tc>
          <w:tcPr>
            <w:tcW w:w="704" w:type="pct"/>
            <w:vAlign w:val="center"/>
          </w:tcPr>
          <w:p w14:paraId="413EA70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1B99C1C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paroxysmal SVT. The patient took an intentional dose of 4500 mg of flecainide. She showed irregular wide complex rhythm</w:t>
            </w:r>
          </w:p>
        </w:tc>
        <w:tc>
          <w:tcPr>
            <w:tcW w:w="422" w:type="pct"/>
            <w:vAlign w:val="center"/>
          </w:tcPr>
          <w:p w14:paraId="74AAF4A2"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 xml:space="preserve">Devin R. et al. </w:t>
            </w:r>
          </w:p>
          <w:p w14:paraId="5D77DDCA"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2007</w:t>
            </w:r>
          </w:p>
          <w:p w14:paraId="5A8480C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{"citationID":"7kcAboth","properties":{"formattedCitation":"[50]","plainCitation":"[50]","noteIndex":0},"citationItems":[{"id":1766,"uris":["http://zotero.org/users/8822686/items/JIEF7F37"],"itemData":{"id":1766,"type":"article-journal","abstract":"Flecainide overdose can rapidly result in profound cardiovascular collapse, and is associated with a relatively high mortality. A case is described where a woman with major toxicity and high serum levels was managed without recourse to invasive modalities such as cardiopulmonary bypass or extracorporeal therapies. Hypertonic sodium bicarbonate is recognized as effective therapy for hypotension and arrhythmias. More recent case reports have concentrated on the use of cardiopulmonary bypass. In this report and other reports describing successful resuscitation, the total dose of sodium bicarbonate is conspicuously higher than in reports describing extracorporeal interventions. Sodium bicarbonate should be given early in the resuscitation, and re-administered as frequently as required, targeting an alkaline pH and improved cardiac output, while accepting hypernatraemia. This case demonstrates the maxim that the correct dose of hypertonic sodium bicarbonate is 'enough'. Cardiopulmonary bypass support can be considered as a salvage therapy.","container-title":"Emergency medicine Australasia: EMA","DOI":"10.1111/j.1742-6723.2006.00909.x","ISSN":"1742-6731","issue":"2","journalAbbreviation":"Emerg Med Australas","language":"eng","note":"PMID: 17448102","page":"155-159","source":"PubMed","title":"Managing cardiovascular collapse in severe flecainide overdose without recourse to extracorporeal therapy","volume":"19","author":[{"family":"Devin","given":"Ruth"},{"family":"Garrett","given":"Peter"},{"family":"Anstey","given":"Chris"}],"issued":{"date-parts":[["2007",4]]}}}],"schema":"https://github.com/citation-style-language/schema/raw/master/csl-citation.json"}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[50]</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34BE7656" w14:textId="77777777" w:rsidTr="00B11806">
        <w:trPr>
          <w:jc w:val="center"/>
        </w:trPr>
        <w:tc>
          <w:tcPr>
            <w:tcW w:w="423" w:type="pct"/>
            <w:vAlign w:val="center"/>
          </w:tcPr>
          <w:p w14:paraId="527B22C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47</w:t>
            </w:r>
          </w:p>
        </w:tc>
        <w:tc>
          <w:tcPr>
            <w:tcW w:w="916" w:type="pct"/>
            <w:vAlign w:val="center"/>
          </w:tcPr>
          <w:p w14:paraId="58F18F3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2.34 </w:t>
            </w:r>
          </w:p>
        </w:tc>
        <w:tc>
          <w:tcPr>
            <w:tcW w:w="774" w:type="pct"/>
            <w:vAlign w:val="center"/>
          </w:tcPr>
          <w:p w14:paraId="4610454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Amitriptyline, losartan, and amlodipine</w:t>
            </w:r>
          </w:p>
        </w:tc>
        <w:tc>
          <w:tcPr>
            <w:tcW w:w="704" w:type="pct"/>
            <w:vAlign w:val="center"/>
          </w:tcPr>
          <w:p w14:paraId="793E071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w:t>
            </w:r>
          </w:p>
        </w:tc>
        <w:tc>
          <w:tcPr>
            <w:tcW w:w="1761" w:type="pct"/>
            <w:vAlign w:val="center"/>
          </w:tcPr>
          <w:p w14:paraId="5BA2B879"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arterial hypertension and paroxysmal atrial fibrillation. The patient had wide QRS complex and sine wave appearance</w:t>
            </w:r>
          </w:p>
        </w:tc>
        <w:tc>
          <w:tcPr>
            <w:tcW w:w="422" w:type="pct"/>
            <w:vAlign w:val="center"/>
          </w:tcPr>
          <w:p w14:paraId="0C8BDFF0"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Timperley J. et al. 2005</w:t>
            </w:r>
          </w:p>
          <w:p w14:paraId="6D1AB5D4"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{"citationID":"TrFVulnc","properties":{"formattedCitation":"[51]","plainCitation":"[51]","noteIndex":0},"citationItems":[{"id":1765,"uris":["http://zotero.org/users/8822686/items/3ZWEEC75"],"itemData":{"id":1765,"type":"article-journal","abstract":"BACKGROUND: Flecainide is an antiarrhythmic agent which is being used increasingly for the management of super-ventricular arrhythmias. Overdose with flecainide is frequently fatal with mortality reported as high as 22% due to arrhythmias, myocardial depression and conduction defects leading to electro-mechanical dissociation and asytole. Supportive measures are often required during the case and previously have included inotropes, extracorporeal membrane oxygenation and cardiopulmonary bypass.\nCASE PRESENTATION: A 47 year old lady presented to the emergency department with a four hour history of severe central chest pain. Her ECG showed atrial fibrillation and broad QRS complexes with a sine wave appearance. She had a past history of paroxysmal atrial fibrillation and significant psychiatric history. Following thrombolysis for a presumed myocardial infarction she developed cardiogenic shock with severely impaired left ventricular function. An intra-aortic balloon pump was inserted and coronary angiography demonstrated normal coronary arteries. With inotropic support she improved over 48 hours, with both her QRS duration and left ventricular function returning to normal. Biochemical testing following her discharge demonstrated significantly elevated levels of flecainide.\nCONCLUSION: The use of an intra-aortic balloon pump is a useful supportive measure during the acute phase of flecainide overdose associated with severe myocardial depression.","container-title":"BMC emergency medicine","DOI":"10.1186/1471-227X-5-10","ISSN":"1471-227X","journalAbbreviation":"BMC Emerg Med","language":"eng","note":"PMID: 16343338\nPMCID: PMC1325039","page":"10","source":"PubMed","title":"Flecainide overdose--support using an intra-aortic balloon pump","volume":"5","author":[{"family":"Timperley","given":"Jonathan"},{"family":"Mitchell","given":"Andrew R. J."},{"family":"Brown","given":"Peter D."},{"family":"West","given":"Nicholas E. J."}],"issued":{"date-parts":[["2005",12,12]]}}}],"schema":"https://github.com/citation-style-language/schema/raw/master/csl-citation.json"}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[51]</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6C6F099C" w14:textId="77777777" w:rsidTr="00B11806">
        <w:trPr>
          <w:jc w:val="center"/>
        </w:trPr>
        <w:tc>
          <w:tcPr>
            <w:tcW w:w="423" w:type="pct"/>
            <w:vAlign w:val="center"/>
          </w:tcPr>
          <w:p w14:paraId="09CE7F8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Times New Roman" w:hAnsi="Times New Roman" w:cs="Times New Roman"/>
                <w:color w:val="000000" w:themeColor="text1"/>
                <w:sz w:val="18"/>
                <w:szCs w:val="18"/>
                <w:lang w:val="en-US" w:eastAsia="it-IT"/>
              </w:rPr>
              <w:t>F, 45</w:t>
            </w:r>
          </w:p>
        </w:tc>
        <w:tc>
          <w:tcPr>
            <w:tcW w:w="916" w:type="pct"/>
            <w:vAlign w:val="center"/>
          </w:tcPr>
          <w:p w14:paraId="51FE75E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Times New Roman" w:hAnsi="Times New Roman" w:cs="Times New Roman"/>
                <w:color w:val="000000" w:themeColor="text1"/>
                <w:sz w:val="18"/>
                <w:szCs w:val="18"/>
                <w:lang w:val="en-US" w:eastAsia="it-IT"/>
              </w:rPr>
              <w:t xml:space="preserve">Serum: 850 </w:t>
            </w:r>
          </w:p>
        </w:tc>
        <w:tc>
          <w:tcPr>
            <w:tcW w:w="774" w:type="pct"/>
            <w:vAlign w:val="center"/>
          </w:tcPr>
          <w:p w14:paraId="29FD999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Times New Roman" w:hAnsi="Times New Roman" w:cs="Times New Roman"/>
                <w:color w:val="000000" w:themeColor="text1"/>
                <w:sz w:val="18"/>
                <w:szCs w:val="18"/>
                <w:lang w:val="en-US" w:eastAsia="it-IT"/>
              </w:rPr>
              <w:t>Alcohol</w:t>
            </w:r>
          </w:p>
        </w:tc>
        <w:tc>
          <w:tcPr>
            <w:tcW w:w="704" w:type="pct"/>
            <w:vAlign w:val="center"/>
          </w:tcPr>
          <w:p w14:paraId="00FA606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and alcohol intoxication</w:t>
            </w:r>
          </w:p>
        </w:tc>
        <w:tc>
          <w:tcPr>
            <w:tcW w:w="1761" w:type="pct"/>
            <w:vAlign w:val="center"/>
          </w:tcPr>
          <w:p w14:paraId="2050C60E"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Times New Roman" w:hAnsi="Times New Roman" w:cs="Times New Roman"/>
                <w:color w:val="000000" w:themeColor="text1"/>
                <w:sz w:val="18"/>
                <w:szCs w:val="18"/>
                <w:lang w:val="en-US" w:eastAsia="it-IT"/>
              </w:rPr>
              <w:t>Brought to the hospital after ingestion of 2000 mg of flecainide and 18 g of alcohol. On admission, she was conscious and responsive. Later she developed therapy-resistant ventricular fibrillation with cardiopulmonary arrest. Intravenous administration of amiodarone for 72 h. She recovered completely after 5 days</w:t>
            </w:r>
          </w:p>
        </w:tc>
        <w:tc>
          <w:tcPr>
            <w:tcW w:w="422" w:type="pct"/>
            <w:vAlign w:val="center"/>
          </w:tcPr>
          <w:p w14:paraId="55CAC5E0"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731360">
              <w:rPr>
                <w:rFonts w:ascii="Times New Roman" w:eastAsia="Calibri" w:hAnsi="Times New Roman" w:cs="Times New Roman"/>
                <w:color w:val="000000" w:themeColor="text1"/>
                <w:sz w:val="18"/>
                <w:szCs w:val="18"/>
                <w:lang w:val="en-US" w:eastAsia="ar-SA"/>
              </w:rPr>
              <w:t>Siegers A. et al. 2001</w:t>
            </w:r>
          </w:p>
          <w:p w14:paraId="5F160FF5"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{"citationID":"HaoQrK9Z","properties":{"formattedCitation":"[52]","plainCitation":"[52]","noteIndex":0},"citationItems":[{"id":1764,"uris":["http://zotero.org/users/8822686/items/CS5MZWAJ"],"itemData":{"id":1764,"type":"article-journal","abstract":"We report the case of a 45-year-old woman who had ingested 2000 mg of flecainide with suicidal intent. She developed therapy-resistant ventricular fibrillation (VF) with cardiopulmonary arrest. Cardiopulmonary resuscitation and advanced life support were sustained for 64 min. Following intravenous amiodarone, the patient developed an effective spontaneous rhythm and resumed breathing. An amiodarone infusion was started and continued over a period of 72 h. She recovered completely after 5 days, leaving the hospital without neurological sequelae. Serum flecainide levels approximately 5 h post-ingestion were 850 mg/l. This case report confirms the value of amiodarone in drug-resistant VF, even when the cause may be another antiarrhythmic drug such as flecainide.","container-title":"Resuscitation","DOI":"10.1016/s0300-9572(01)00503-2","ISSN":"0300-9572","issue":"1","journalAbbreviation":"Resuscitation","language":"eng","note":"PMID: 11947987","page":"105-108","source":"PubMed","title":"Amiodarone used in successful resuscitation after near-fatal flecainide overdose","volume":"53","author":[{"family":"Siegers","given":"A."},{"family":"Board","given":"P. N."}],"issued":{"date-parts":[["2002",4]]}}}],"schema":"https://github.com/citation-style-language/schema/raw/master/csl-citation.json"}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[52]</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27F2E55A" w14:textId="77777777" w:rsidTr="00B11806">
        <w:trPr>
          <w:jc w:val="center"/>
        </w:trPr>
        <w:tc>
          <w:tcPr>
            <w:tcW w:w="423" w:type="pct"/>
            <w:vAlign w:val="center"/>
          </w:tcPr>
          <w:p w14:paraId="7AD09D2E"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20</w:t>
            </w:r>
          </w:p>
        </w:tc>
        <w:tc>
          <w:tcPr>
            <w:tcW w:w="916" w:type="pct"/>
            <w:vAlign w:val="center"/>
          </w:tcPr>
          <w:p w14:paraId="302AE32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&gt;4.0 </w:t>
            </w:r>
          </w:p>
        </w:tc>
        <w:tc>
          <w:tcPr>
            <w:tcW w:w="774" w:type="pct"/>
            <w:vAlign w:val="center"/>
          </w:tcPr>
          <w:p w14:paraId="78580E6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Paracetamol</w:t>
            </w:r>
          </w:p>
        </w:tc>
        <w:tc>
          <w:tcPr>
            <w:tcW w:w="704" w:type="pct"/>
            <w:vAlign w:val="center"/>
          </w:tcPr>
          <w:p w14:paraId="652C6B3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7419FE0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History of paroxysmal SVT and depression. Brought to the ED after intentional ingestion of 4000 mg of flecainide. She manifested wide complex rhythm. Successfully treated with cardiopulmonary bypass</w:t>
            </w:r>
          </w:p>
        </w:tc>
        <w:tc>
          <w:tcPr>
            <w:tcW w:w="422" w:type="pct"/>
            <w:vAlign w:val="center"/>
          </w:tcPr>
          <w:p w14:paraId="24329B8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 xml:space="preserve">Corkeron MA. et al. </w:t>
            </w:r>
          </w:p>
          <w:p w14:paraId="44861769"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1999</w:t>
            </w:r>
          </w:p>
          <w:p w14:paraId="673CF0E8"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{"citationID":"NFLvfTwl","properties":{"formattedCitation":"[53]","plainCitation":"[53]","noteIndex":0},"citationItems":[{"id":1763,"uris":["http://zotero.org/users/8822686/items/TVM45I4G"],"itemData":{"id":1763,"type":"article-journal","abstract":"Flecainide, a class 1c antiarrhythmic, has a high mortality associated with significant overdose. We report the case of a 20-year-old female who took approximately 4 grams of flecainide and a small amount of paracetamol as an impulsive gesture. Circulatory failure unresponsive to pacing, inotropes and sodium bicarbonate was successfully treated with cardiopulmonary bypass (CPB). Resolution of her myocardial failure occurred over 24 hours and she was weaned from CPB 30 hours after its initiation. Coagulopathy and intravascular haemolysis were apparent during bypass and necessitated substantial use of blood products. Ischaemic renal dysfunction manifested early in her admission and required haemodiafiltration. Despite a prolonged period of unresponsiveness and pupillary dilatation during resuscitation and CPB she made a full recovery. We believe this is the first reported case of flecainide overdose, requiring extracorporeal circulatory support, not resulting in neurological deficit.","container-title":"Anaesthesia and Intensive Care","DOI":"10.1177/0310057X9902700413","ISSN":"0310-057X","issue":"4","journalAbbreviation":"Anaesth Intensive Care","language":"en","note":"publisher: SAGE Publications Ltd","page":"405-408","source":"SAGE Journals","title":"Extracorporeal Circulatory Support in Near-Fatal Flecainide Overdose","URL":"https://doi.org/10.1177/0310057X9902700413","volume":"27","author":[{"family":"Corkeron","given":"M. A."},{"family":"Van Heerden","given":"P. V."},{"family":"Newman","given":"S. M. A. J."},{"family":"Dusci","given":"L."}],"accessed":{"date-parts":[["2024",3,7]]},"issued":{"date-parts":[["1999",8,1]]}}}],"schema":"https://github.com/citation-style-language/schema/raw/master/csl-citation.json"}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[53]</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1FCDFD44" w14:textId="77777777" w:rsidTr="00B11806">
        <w:trPr>
          <w:jc w:val="center"/>
        </w:trPr>
        <w:tc>
          <w:tcPr>
            <w:tcW w:w="423" w:type="pct"/>
            <w:vAlign w:val="center"/>
          </w:tcPr>
          <w:p w14:paraId="2C5564D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F, 15</w:t>
            </w:r>
          </w:p>
        </w:tc>
        <w:tc>
          <w:tcPr>
            <w:tcW w:w="916" w:type="pct"/>
            <w:vAlign w:val="center"/>
          </w:tcPr>
          <w:p w14:paraId="630A805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 xml:space="preserve">Serum: 5 </w:t>
            </w:r>
          </w:p>
        </w:tc>
        <w:tc>
          <w:tcPr>
            <w:tcW w:w="774" w:type="pct"/>
            <w:vAlign w:val="center"/>
          </w:tcPr>
          <w:p w14:paraId="24E9991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30A1DB6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4C6A90B3"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227041">
              <w:rPr>
                <w:rFonts w:ascii="Times New Roman" w:eastAsia="Calibri" w:hAnsi="Times New Roman" w:cs="Times New Roman"/>
                <w:color w:val="000000" w:themeColor="text1"/>
                <w:sz w:val="18"/>
                <w:szCs w:val="18"/>
                <w:lang w:val="en-GB" w:eastAsia="ar-SA"/>
              </w:rPr>
              <w:t>ECG showed a wide QRS irregular bradycardia, and prolonged QTc interval. She developed an atrioventricular block.</w:t>
            </w:r>
          </w:p>
        </w:tc>
        <w:tc>
          <w:tcPr>
            <w:tcW w:w="422" w:type="pct"/>
            <w:vAlign w:val="center"/>
          </w:tcPr>
          <w:p w14:paraId="2F3E0928"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Hanley NA. et al.</w:t>
            </w:r>
          </w:p>
          <w:p w14:paraId="79F20D1C"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t>1998</w:t>
            </w:r>
          </w:p>
          <w:p w14:paraId="55EDD33F"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GB" w:eastAsia="ar-SA"/>
              </w:rPr>
            </w:pPr>
            <w:r w:rsidRPr="00731360">
              <w:rPr>
                <w:rFonts w:ascii="Times New Roman" w:eastAsia="Calibri" w:hAnsi="Times New Roman" w:cs="Times New Roman"/>
                <w:color w:val="000000" w:themeColor="text1"/>
                <w:sz w:val="18"/>
                <w:szCs w:val="18"/>
                <w:lang w:val="en-GB" w:eastAsia="ar-SA"/>
              </w:rPr>
              <w:fldChar w:fldCharType="begin"/>
            </w:r>
            <w:r w:rsidRPr="00731360">
              <w:rPr>
                <w:rFonts w:ascii="Times New Roman" w:eastAsia="Calibri" w:hAnsi="Times New Roman" w:cs="Times New Roman"/>
                <w:color w:val="000000" w:themeColor="text1"/>
                <w:sz w:val="18"/>
                <w:szCs w:val="18"/>
                <w:lang w:val="en-GB" w:eastAsia="ar-SA"/>
              </w:rPr>
              <w:instrText xml:space="preserve"> ADDIN ZOTERO_ITEM CSL_CITATION {"citationID":"fVy0OlNb","properties":{"formattedCitation":"[54]","plainCitation":"[54]","noteIndex":0},"citationItems":[{"id":1762,"uris":["http://zotero.org/users/8822686/items/LXLZXYEY"],"itemData":{"id":1762,"type":"article-journal","abstract":"Flecainide acetate is a potent class Ic anti-arrhythmic drug with major sodium channel blocking actions. On the surface electrocardiogram this results in QTc interval prolongation. Overdose with class Ic drugs (&lt; 0.1% of total intoxications) is uncommon, but management is difficult and the mortality high [1]. Serious flecainide overdose is characterised by ventricular tachyarrhythmias, severe bradycardia and variable degrees of atrioventricular block. This report describes a case of life-threatening flecainide overdose in a previously fit individual, resulting in a combination of cardiac disturbances. The treatment options and management are discussed.","container-title":"Intensive Care Medicine","DOI":"10.1007/s001340050655","ISSN":"0342-4642","issue":"7","journalAbbreviation":"Intensive Care Med","language":"eng","note":"PMID: 9722048","page":"740-742","source":"PubMed","title":"Survival in a case of life-threatening flecainide overdose","volume":"24","author":[{"family":"Hanley","given":"N. A."},{"family":"Bourke","given":"J. P."},{"family":"Gascoigne","given":"A. D."}],"issued":{"date-parts":[["1998",7]]}}}],"schema":"https://github.com/citation-style-language/schema/raw/master/csl-citation.json"} </w:instrText>
            </w:r>
            <w:r w:rsidRPr="00731360">
              <w:rPr>
                <w:rFonts w:ascii="Times New Roman" w:eastAsia="Calibri" w:hAnsi="Times New Roman" w:cs="Times New Roman"/>
                <w:color w:val="000000" w:themeColor="text1"/>
                <w:sz w:val="18"/>
                <w:szCs w:val="18"/>
                <w:lang w:val="en-GB" w:eastAsia="ar-SA"/>
              </w:rPr>
              <w:fldChar w:fldCharType="separate"/>
            </w:r>
            <w:r w:rsidRPr="00731360">
              <w:rPr>
                <w:rFonts w:ascii="Times New Roman" w:eastAsia="Calibri" w:hAnsi="Times New Roman" w:cs="Times New Roman"/>
                <w:noProof/>
                <w:color w:val="000000" w:themeColor="text1"/>
                <w:sz w:val="18"/>
                <w:szCs w:val="18"/>
                <w:lang w:val="en-GB" w:eastAsia="ar-SA"/>
              </w:rPr>
              <w:t>[54]</w:t>
            </w:r>
            <w:r w:rsidRPr="00731360">
              <w:rPr>
                <w:rFonts w:ascii="Times New Roman" w:eastAsia="Calibri" w:hAnsi="Times New Roman" w:cs="Times New Roman"/>
                <w:color w:val="000000" w:themeColor="text1"/>
                <w:sz w:val="18"/>
                <w:szCs w:val="18"/>
                <w:lang w:val="en-GB" w:eastAsia="ar-SA"/>
              </w:rPr>
              <w:fldChar w:fldCharType="end"/>
            </w:r>
          </w:p>
        </w:tc>
      </w:tr>
      <w:tr w:rsidR="00227041" w:rsidRPr="00227041" w14:paraId="356D6D81" w14:textId="77777777" w:rsidTr="00B11806">
        <w:trPr>
          <w:jc w:val="center"/>
        </w:trPr>
        <w:tc>
          <w:tcPr>
            <w:tcW w:w="423" w:type="pct"/>
            <w:vAlign w:val="center"/>
          </w:tcPr>
          <w:p w14:paraId="3C79EA5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1)</w:t>
            </w:r>
          </w:p>
          <w:p w14:paraId="2C1F5D1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F, 38</w:t>
            </w:r>
          </w:p>
          <w:p w14:paraId="4A428375"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2)</w:t>
            </w:r>
          </w:p>
          <w:p w14:paraId="74BA0C5F"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M, 61</w:t>
            </w:r>
          </w:p>
        </w:tc>
        <w:tc>
          <w:tcPr>
            <w:tcW w:w="916" w:type="pct"/>
            <w:vAlign w:val="center"/>
          </w:tcPr>
          <w:p w14:paraId="207995CB"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1)</w:t>
            </w:r>
          </w:p>
          <w:p w14:paraId="73745B3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Plasma/serum: 2.18 </w:t>
            </w:r>
          </w:p>
          <w:p w14:paraId="51DB6DD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2)</w:t>
            </w:r>
          </w:p>
          <w:p w14:paraId="6A10F76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Plasma/serum 3.0 </w:t>
            </w:r>
          </w:p>
        </w:tc>
        <w:tc>
          <w:tcPr>
            <w:tcW w:w="774" w:type="pct"/>
            <w:vAlign w:val="center"/>
          </w:tcPr>
          <w:p w14:paraId="27F08D74"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w:t>
            </w:r>
          </w:p>
        </w:tc>
        <w:tc>
          <w:tcPr>
            <w:tcW w:w="704" w:type="pct"/>
            <w:vAlign w:val="center"/>
          </w:tcPr>
          <w:p w14:paraId="526F5CD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iCs/>
                <w:color w:val="000000" w:themeColor="text1"/>
                <w:sz w:val="18"/>
                <w:szCs w:val="18"/>
                <w:lang w:val="en-US" w:eastAsia="ar-SA"/>
              </w:rPr>
              <w:t>Intentional flecainide intoxication</w:t>
            </w:r>
          </w:p>
        </w:tc>
        <w:tc>
          <w:tcPr>
            <w:tcW w:w="1761" w:type="pct"/>
            <w:vAlign w:val="center"/>
          </w:tcPr>
          <w:p w14:paraId="1549FC8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Case 1) history of depression. Agitated, vomiting, dizziness, hypotension, wide QRS</w:t>
            </w:r>
          </w:p>
          <w:p w14:paraId="5268842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Case 2) history of atrial fibrillation. After </w:t>
            </w:r>
            <w:r w:rsidRPr="00227041">
              <w:rPr>
                <w:rFonts w:ascii="Times New Roman" w:eastAsia="Calibri" w:hAnsi="Times New Roman" w:cs="Times New Roman"/>
                <w:color w:val="000000" w:themeColor="text1"/>
                <w:sz w:val="18"/>
                <w:szCs w:val="18"/>
                <w:lang w:val="en-GB" w:eastAsia="ar-SA"/>
              </w:rPr>
              <w:t>ingestion of flecainide and unknown quantities of losartan and ranitidine, lethargy wide QRS</w:t>
            </w:r>
          </w:p>
        </w:tc>
        <w:tc>
          <w:tcPr>
            <w:tcW w:w="422" w:type="pct"/>
            <w:vAlign w:val="center"/>
          </w:tcPr>
          <w:p w14:paraId="0EA2BB37"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731360">
              <w:rPr>
                <w:rFonts w:ascii="Times New Roman" w:eastAsia="Calibri" w:hAnsi="Times New Roman" w:cs="Times New Roman"/>
                <w:color w:val="000000" w:themeColor="text1"/>
                <w:sz w:val="18"/>
                <w:szCs w:val="18"/>
                <w:lang w:eastAsia="ar-SA"/>
              </w:rPr>
              <w:t>Lovecchio F. et al. 1998</w:t>
            </w:r>
          </w:p>
          <w:p w14:paraId="13F4E7CD"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eastAsia="ar-SA"/>
              </w:rPr>
            </w:pPr>
            <w:r w:rsidRPr="00731360">
              <w:rPr>
                <w:rFonts w:ascii="Times New Roman" w:eastAsia="Calibri" w:hAnsi="Times New Roman" w:cs="Times New Roman"/>
                <w:color w:val="000000" w:themeColor="text1"/>
                <w:sz w:val="18"/>
                <w:szCs w:val="18"/>
                <w:lang w:eastAsia="ar-SA"/>
              </w:rPr>
              <w:fldChar w:fldCharType="begin"/>
            </w:r>
            <w:r w:rsidRPr="00731360">
              <w:rPr>
                <w:rFonts w:ascii="Times New Roman" w:eastAsia="Calibri" w:hAnsi="Times New Roman" w:cs="Times New Roman"/>
                <w:color w:val="000000" w:themeColor="text1"/>
                <w:sz w:val="18"/>
                <w:szCs w:val="18"/>
                <w:lang w:eastAsia="ar-SA"/>
              </w:rPr>
              <w:instrText xml:space="preserve"> ADDIN ZOTERO_ITEM CSL_CITATION {"citationID":"jOUkcrJL","properties":{"formattedCitation":"[55]","plainCitation":"[55]","noteIndex":0},"citationItems":[{"id":1761,"uris":["http://zotero.org/users/8822686/items/BC55BC59"],"itemData":{"id":1761,"type":"article-journal","container-title":"The American Journal of Emergency Medicine","DOI":"10.1016/s0735-6757(98)90013-4","ISSN":"0735-6757","issue":"5","journalAbbreviation":"Am J Emerg Med","language":"eng","note":"PMID: 9725977","page":"534-537","source":"PubMed","title":"Hypertonic sodium bicarbonate in an acute flecainide overdose","volume":"16","author":[{"family":"Lovecchio","given":"F."},{"family":"Berlin","given":"R."},{"family":"Brubacher","given":"J. R."},{"family":"Sholar","given":"J. B."}],"issued":{"date-parts":[["1998",9]]}}}],"schema":"https://github.com/citation-style-language/schema/raw/master/csl-citation.json"} </w:instrText>
            </w:r>
            <w:r w:rsidRPr="00731360">
              <w:rPr>
                <w:rFonts w:ascii="Times New Roman" w:eastAsia="Calibri" w:hAnsi="Times New Roman" w:cs="Times New Roman"/>
                <w:color w:val="000000" w:themeColor="text1"/>
                <w:sz w:val="18"/>
                <w:szCs w:val="18"/>
                <w:lang w:eastAsia="ar-SA"/>
              </w:rPr>
              <w:fldChar w:fldCharType="separate"/>
            </w:r>
            <w:r w:rsidRPr="00731360">
              <w:rPr>
                <w:rFonts w:ascii="Times New Roman" w:eastAsia="Calibri" w:hAnsi="Times New Roman" w:cs="Times New Roman"/>
                <w:noProof/>
                <w:color w:val="000000" w:themeColor="text1"/>
                <w:sz w:val="18"/>
                <w:szCs w:val="18"/>
                <w:lang w:eastAsia="ar-SA"/>
              </w:rPr>
              <w:t>[55]</w:t>
            </w:r>
            <w:r w:rsidRPr="00731360">
              <w:rPr>
                <w:rFonts w:ascii="Times New Roman" w:eastAsia="Calibri" w:hAnsi="Times New Roman" w:cs="Times New Roman"/>
                <w:color w:val="000000" w:themeColor="text1"/>
                <w:sz w:val="18"/>
                <w:szCs w:val="18"/>
                <w:lang w:eastAsia="ar-SA"/>
              </w:rPr>
              <w:fldChar w:fldCharType="end"/>
            </w:r>
          </w:p>
        </w:tc>
      </w:tr>
      <w:tr w:rsidR="00227041" w:rsidRPr="00227041" w14:paraId="5DE84BCE" w14:textId="77777777" w:rsidTr="00B11806">
        <w:trPr>
          <w:jc w:val="center"/>
        </w:trPr>
        <w:tc>
          <w:tcPr>
            <w:tcW w:w="423" w:type="pct"/>
            <w:vAlign w:val="center"/>
          </w:tcPr>
          <w:p w14:paraId="420EB306"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F, 28</w:t>
            </w:r>
          </w:p>
        </w:tc>
        <w:tc>
          <w:tcPr>
            <w:tcW w:w="916" w:type="pct"/>
            <w:vAlign w:val="center"/>
          </w:tcPr>
          <w:p w14:paraId="48F6B9C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227041">
              <w:rPr>
                <w:rFonts w:ascii="Times New Roman" w:eastAsia="Calibri" w:hAnsi="Times New Roman" w:cs="Times New Roman"/>
                <w:color w:val="000000" w:themeColor="text1"/>
                <w:sz w:val="18"/>
                <w:szCs w:val="18"/>
                <w:lang w:val="de-DE" w:eastAsia="ar-SA"/>
              </w:rPr>
              <w:t>Serum:</w:t>
            </w:r>
          </w:p>
          <w:p w14:paraId="3C411361"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227041">
              <w:rPr>
                <w:rFonts w:ascii="Times New Roman" w:eastAsia="Calibri" w:hAnsi="Times New Roman" w:cs="Times New Roman"/>
                <w:color w:val="000000" w:themeColor="text1"/>
                <w:sz w:val="18"/>
                <w:szCs w:val="18"/>
                <w:lang w:val="de-DE" w:eastAsia="ar-SA"/>
              </w:rPr>
              <w:t xml:space="preserve">2h: 3.7 </w:t>
            </w:r>
          </w:p>
          <w:p w14:paraId="27914A2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227041">
              <w:rPr>
                <w:rFonts w:ascii="Times New Roman" w:eastAsia="Calibri" w:hAnsi="Times New Roman" w:cs="Times New Roman"/>
                <w:color w:val="000000" w:themeColor="text1"/>
                <w:sz w:val="18"/>
                <w:szCs w:val="18"/>
                <w:lang w:val="de-DE" w:eastAsia="ar-SA"/>
              </w:rPr>
              <w:t xml:space="preserve">4.5h: 2.5 </w:t>
            </w:r>
          </w:p>
          <w:p w14:paraId="0BD692D0"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227041">
              <w:rPr>
                <w:rFonts w:ascii="Times New Roman" w:eastAsia="Calibri" w:hAnsi="Times New Roman" w:cs="Times New Roman"/>
                <w:color w:val="000000" w:themeColor="text1"/>
                <w:sz w:val="18"/>
                <w:szCs w:val="18"/>
                <w:lang w:val="de-DE" w:eastAsia="ar-SA"/>
              </w:rPr>
              <w:t xml:space="preserve">8h: 1.75 </w:t>
            </w:r>
          </w:p>
          <w:p w14:paraId="41CAE478"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227041">
              <w:rPr>
                <w:rFonts w:ascii="Times New Roman" w:eastAsia="Calibri" w:hAnsi="Times New Roman" w:cs="Times New Roman"/>
                <w:color w:val="000000" w:themeColor="text1"/>
                <w:sz w:val="18"/>
                <w:szCs w:val="18"/>
                <w:lang w:val="de-DE" w:eastAsia="ar-SA"/>
              </w:rPr>
              <w:t xml:space="preserve">19h: 1.15 </w:t>
            </w:r>
          </w:p>
          <w:p w14:paraId="1FAB9E32"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227041">
              <w:rPr>
                <w:rFonts w:ascii="Times New Roman" w:eastAsia="Calibri" w:hAnsi="Times New Roman" w:cs="Times New Roman"/>
                <w:color w:val="000000" w:themeColor="text1"/>
                <w:sz w:val="18"/>
                <w:szCs w:val="18"/>
                <w:lang w:val="de-DE" w:eastAsia="ar-SA"/>
              </w:rPr>
              <w:t xml:space="preserve">35h: 0.7 </w:t>
            </w:r>
          </w:p>
          <w:p w14:paraId="15E0AC66"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 xml:space="preserve">59h: 0.4 </w:t>
            </w:r>
          </w:p>
        </w:tc>
        <w:tc>
          <w:tcPr>
            <w:tcW w:w="774" w:type="pct"/>
            <w:vAlign w:val="center"/>
          </w:tcPr>
          <w:p w14:paraId="67427C6D"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Alcohol, diazepam, loperamide</w:t>
            </w:r>
          </w:p>
        </w:tc>
        <w:tc>
          <w:tcPr>
            <w:tcW w:w="704" w:type="pct"/>
            <w:vAlign w:val="center"/>
          </w:tcPr>
          <w:p w14:paraId="7CAC445A"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iCs/>
                <w:color w:val="000000" w:themeColor="text1"/>
                <w:sz w:val="18"/>
                <w:szCs w:val="18"/>
                <w:lang w:val="en-US" w:eastAsia="ar-SA"/>
              </w:rPr>
              <w:t xml:space="preserve">Intentional flecainide </w:t>
            </w:r>
            <w:r w:rsidRPr="00227041">
              <w:rPr>
                <w:rFonts w:ascii="Times New Roman" w:eastAsia="Calibri" w:hAnsi="Times New Roman" w:cs="Times New Roman"/>
                <w:color w:val="000000" w:themeColor="text1"/>
                <w:sz w:val="18"/>
                <w:szCs w:val="18"/>
                <w:lang w:val="en-US" w:eastAsia="ar-SA"/>
              </w:rPr>
              <w:t>intoxication</w:t>
            </w:r>
          </w:p>
        </w:tc>
        <w:tc>
          <w:tcPr>
            <w:tcW w:w="1761" w:type="pct"/>
            <w:vAlign w:val="center"/>
          </w:tcPr>
          <w:p w14:paraId="77C719F7" w14:textId="77777777" w:rsidR="00DF70B8" w:rsidRPr="00227041"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en-US" w:eastAsia="ar-SA"/>
              </w:rPr>
            </w:pPr>
            <w:r w:rsidRPr="00227041">
              <w:rPr>
                <w:rFonts w:ascii="Times New Roman" w:eastAsia="Calibri" w:hAnsi="Times New Roman" w:cs="Times New Roman"/>
                <w:color w:val="000000" w:themeColor="text1"/>
                <w:sz w:val="18"/>
                <w:szCs w:val="18"/>
                <w:lang w:val="en-US" w:eastAsia="ar-SA"/>
              </w:rPr>
              <w:t>Brought to the hospital somnolent with mydriatic pupils, and shallow breathing respiration. Developed polymorphous ventricular tachycardia. She was intubated and placed on mechanical ventilation. A gastric lavage was performed</w:t>
            </w:r>
          </w:p>
        </w:tc>
        <w:tc>
          <w:tcPr>
            <w:tcW w:w="422" w:type="pct"/>
            <w:vAlign w:val="center"/>
          </w:tcPr>
          <w:p w14:paraId="2C3C20E0"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731360">
              <w:rPr>
                <w:rFonts w:ascii="Times New Roman" w:eastAsia="Calibri" w:hAnsi="Times New Roman" w:cs="Times New Roman"/>
                <w:color w:val="000000" w:themeColor="text1"/>
                <w:sz w:val="18"/>
                <w:szCs w:val="18"/>
                <w:lang w:val="de-DE" w:eastAsia="ar-SA"/>
              </w:rPr>
              <w:t>Winkelmann BR. et al. 1987</w:t>
            </w:r>
          </w:p>
          <w:p w14:paraId="19C60CDD" w14:textId="77777777" w:rsidR="00DF70B8" w:rsidRPr="00731360" w:rsidRDefault="00DF70B8" w:rsidP="00B11806">
            <w:pPr>
              <w:autoSpaceDE w:val="0"/>
              <w:autoSpaceDN w:val="0"/>
              <w:adjustRightInd w:val="0"/>
              <w:snapToGrid w:val="0"/>
              <w:spacing w:after="0" w:line="276" w:lineRule="auto"/>
              <w:jc w:val="center"/>
              <w:rPr>
                <w:rFonts w:ascii="Times New Roman" w:eastAsia="Calibri" w:hAnsi="Times New Roman" w:cs="Times New Roman"/>
                <w:color w:val="000000" w:themeColor="text1"/>
                <w:sz w:val="18"/>
                <w:szCs w:val="18"/>
                <w:lang w:val="de-DE" w:eastAsia="ar-SA"/>
              </w:rPr>
            </w:pPr>
            <w:r w:rsidRPr="00731360">
              <w:rPr>
                <w:rFonts w:ascii="Times New Roman" w:eastAsia="Calibri" w:hAnsi="Times New Roman" w:cs="Times New Roman"/>
                <w:color w:val="000000" w:themeColor="text1"/>
                <w:sz w:val="18"/>
                <w:szCs w:val="18"/>
                <w:lang w:val="de-DE" w:eastAsia="ar-SA"/>
              </w:rPr>
              <w:fldChar w:fldCharType="begin"/>
            </w:r>
            <w:r w:rsidRPr="00731360">
              <w:rPr>
                <w:rFonts w:ascii="Times New Roman" w:eastAsia="Calibri" w:hAnsi="Times New Roman" w:cs="Times New Roman"/>
                <w:color w:val="000000" w:themeColor="text1"/>
                <w:sz w:val="18"/>
                <w:szCs w:val="18"/>
                <w:lang w:val="de-DE" w:eastAsia="ar-SA"/>
              </w:rPr>
              <w:instrText xml:space="preserve"> ADDIN ZOTERO_ITEM CSL_CITATION {"citationID":"AJG6Rkrb","properties":{"formattedCitation":"[56]","plainCitation":"[56]","noteIndex":0},"citationItems":[{"id":1760,"uris":["http://zotero.org/users/8822686/items/KX8ZXGT9"],"itemData":{"id":1760,"type":"article-journal","abstract":"Ventricular tachyarrhythmias and severe bradycardia, flecainide acetate's most serious side effects, occur in patients with chronic heart disease or in healthy persons after frank overdose. Toxic effects appear to correlate closely with drug levels in plasma. The surface electrocardiogram can indicate toxicity by demonstrating this drug's electrophysiologic potency to depress all major cardiac conduction pathways with marked prolongation of the PR and QRS intervals. We report the clinical course of a young, healthy person who developed polymorphous ventricular tachycardia after taking a 3800-mg dose of flecainide acetate. Sinus rhythm was restored without pacing or cardioversion after infusion of a beta-sympathomimetic agent, physostigmine, and a sodium load. The initial flecainide serum levels were five times greater than the usual upper therapeutic level. Electrocardiography showed that the lengthened electrocardiographic time intervals decreased in correlation with falling drug levels. Flecainide-associated life-threatening arrhythmias and available therapeutic interventions are discussed.","container-title":"Annals of Internal Medicine","DOI":"10.7326/0003-4819-106-6-807","ISSN":"0003-4819","issue":"6","journalAbbreviation":"Ann Intern Med","language":"eng","note":"PMID: 3107447","page":"807-814","source":"PubMed","title":"Life-threatening flecainide toxicity. A pharmacodynamic approach","volume":"106","author":[{"family":"Winkelmann","given":"B. R."},{"family":"Leinberger","given":"H."}],"issued":{"date-parts":[["1987",6]]}}}],"schema":"https://github.com/citation-style-language/schema/raw/master/csl-citation.json"} </w:instrText>
            </w:r>
            <w:r w:rsidRPr="00731360">
              <w:rPr>
                <w:rFonts w:ascii="Times New Roman" w:eastAsia="Calibri" w:hAnsi="Times New Roman" w:cs="Times New Roman"/>
                <w:color w:val="000000" w:themeColor="text1"/>
                <w:sz w:val="18"/>
                <w:szCs w:val="18"/>
                <w:lang w:val="de-DE" w:eastAsia="ar-SA"/>
              </w:rPr>
              <w:fldChar w:fldCharType="separate"/>
            </w:r>
            <w:r w:rsidRPr="00731360">
              <w:rPr>
                <w:rFonts w:ascii="Times New Roman" w:eastAsia="Calibri" w:hAnsi="Times New Roman" w:cs="Times New Roman"/>
                <w:noProof/>
                <w:color w:val="000000" w:themeColor="text1"/>
                <w:sz w:val="18"/>
                <w:szCs w:val="18"/>
                <w:lang w:val="de-DE" w:eastAsia="ar-SA"/>
              </w:rPr>
              <w:t>[56]</w:t>
            </w:r>
            <w:r w:rsidRPr="00731360">
              <w:rPr>
                <w:rFonts w:ascii="Times New Roman" w:eastAsia="Calibri" w:hAnsi="Times New Roman" w:cs="Times New Roman"/>
                <w:color w:val="000000" w:themeColor="text1"/>
                <w:sz w:val="18"/>
                <w:szCs w:val="18"/>
                <w:lang w:val="de-DE" w:eastAsia="ar-SA"/>
              </w:rPr>
              <w:fldChar w:fldCharType="end"/>
            </w:r>
          </w:p>
        </w:tc>
      </w:tr>
      <w:tr w:rsidR="00DF70B8" w:rsidRPr="00A9423D" w14:paraId="2AB25023" w14:textId="77777777" w:rsidTr="00B11806">
        <w:trPr>
          <w:trHeight w:val="327"/>
          <w:jc w:val="center"/>
        </w:trPr>
        <w:tc>
          <w:tcPr>
            <w:tcW w:w="5000" w:type="pct"/>
            <w:gridSpan w:val="6"/>
            <w:vAlign w:val="center"/>
          </w:tcPr>
          <w:p w14:paraId="33B10FA7" w14:textId="77777777" w:rsidR="00DF70B8" w:rsidRPr="00227041" w:rsidRDefault="00DF70B8" w:rsidP="00B11806">
            <w:pPr>
              <w:spacing w:line="276" w:lineRule="auto"/>
              <w:rPr>
                <w:rFonts w:ascii="Times New Roman" w:hAnsi="Times New Roman" w:cs="Times New Roman"/>
                <w:color w:val="000000" w:themeColor="text1"/>
                <w:lang w:val="en-GB"/>
              </w:rPr>
            </w:pPr>
            <w:r w:rsidRPr="00227041">
              <w:rPr>
                <w:rFonts w:ascii="Times New Roman" w:hAnsi="Times New Roman" w:cs="Times New Roman"/>
                <w:color w:val="000000" w:themeColor="text1"/>
                <w:sz w:val="15"/>
                <w:szCs w:val="15"/>
                <w:lang w:val="en-GB"/>
              </w:rPr>
              <w:t>AV, atrioventricular; ECG, electrocardiogram; ED, emergency department; F, female; M, male; GCS: Glasgow coma scale; SVT, supraventricular tachycardia; QTc, heart-rate corrected QT interval.</w:t>
            </w:r>
          </w:p>
        </w:tc>
      </w:tr>
    </w:tbl>
    <w:p w14:paraId="05E0D0F8" w14:textId="77777777" w:rsidR="00FC568E" w:rsidRPr="00227041" w:rsidRDefault="00FC568E">
      <w:pPr>
        <w:rPr>
          <w:color w:val="000000" w:themeColor="text1"/>
          <w:lang w:val="en-GB"/>
        </w:rPr>
      </w:pPr>
    </w:p>
    <w:p w14:paraId="7399A273" w14:textId="77777777" w:rsidR="007713D0" w:rsidRPr="00227041" w:rsidRDefault="007713D0">
      <w:pPr>
        <w:rPr>
          <w:color w:val="000000" w:themeColor="text1"/>
          <w:lang w:val="en-GB"/>
        </w:rPr>
      </w:pPr>
    </w:p>
    <w:p w14:paraId="73EFDD7C" w14:textId="77777777" w:rsidR="007713D0" w:rsidRPr="00227041" w:rsidRDefault="007713D0">
      <w:pPr>
        <w:rPr>
          <w:color w:val="000000" w:themeColor="text1"/>
          <w:lang w:val="en-GB"/>
        </w:rPr>
      </w:pPr>
    </w:p>
    <w:sectPr w:rsidR="007713D0" w:rsidRPr="002270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B30AE"/>
    <w:multiLevelType w:val="hybridMultilevel"/>
    <w:tmpl w:val="C99A943C"/>
    <w:lvl w:ilvl="0" w:tplc="300E1082">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4A07E8"/>
    <w:multiLevelType w:val="hybridMultilevel"/>
    <w:tmpl w:val="6BBEB01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931CF7"/>
    <w:multiLevelType w:val="hybridMultilevel"/>
    <w:tmpl w:val="6BBEB01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5106C26"/>
    <w:multiLevelType w:val="hybridMultilevel"/>
    <w:tmpl w:val="37ECDD4E"/>
    <w:lvl w:ilvl="0" w:tplc="48043528">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96591305">
    <w:abstractNumId w:val="1"/>
  </w:num>
  <w:num w:numId="2" w16cid:durableId="1426538094">
    <w:abstractNumId w:val="2"/>
  </w:num>
  <w:num w:numId="3" w16cid:durableId="1496871529">
    <w:abstractNumId w:val="0"/>
  </w:num>
  <w:num w:numId="4" w16cid:durableId="1721399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33"/>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8E"/>
    <w:rsid w:val="00041952"/>
    <w:rsid w:val="00054519"/>
    <w:rsid w:val="000602D1"/>
    <w:rsid w:val="00134CF0"/>
    <w:rsid w:val="00155F73"/>
    <w:rsid w:val="0016651F"/>
    <w:rsid w:val="001F7836"/>
    <w:rsid w:val="00227041"/>
    <w:rsid w:val="00316F01"/>
    <w:rsid w:val="00440580"/>
    <w:rsid w:val="00592C8B"/>
    <w:rsid w:val="005E792D"/>
    <w:rsid w:val="00694548"/>
    <w:rsid w:val="006E57EA"/>
    <w:rsid w:val="00731360"/>
    <w:rsid w:val="007713D0"/>
    <w:rsid w:val="00830FDE"/>
    <w:rsid w:val="008A3093"/>
    <w:rsid w:val="00995AB4"/>
    <w:rsid w:val="009E1B81"/>
    <w:rsid w:val="00A9423D"/>
    <w:rsid w:val="00AB6301"/>
    <w:rsid w:val="00D04097"/>
    <w:rsid w:val="00DE3744"/>
    <w:rsid w:val="00DF70B8"/>
    <w:rsid w:val="00F25722"/>
    <w:rsid w:val="00FC568E"/>
    <w:rsid w:val="00FD38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68529"/>
  <w15:chartTrackingRefBased/>
  <w15:docId w15:val="{46E49A60-5346-E342-8160-610142B5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68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bliografia1">
    <w:name w:val="Bibliografia1"/>
    <w:basedOn w:val="Normal"/>
    <w:link w:val="BibliographyCarattere"/>
    <w:rsid w:val="00FC568E"/>
    <w:pPr>
      <w:tabs>
        <w:tab w:val="left" w:pos="380"/>
      </w:tabs>
      <w:spacing w:after="0" w:line="240" w:lineRule="auto"/>
      <w:ind w:left="384" w:hanging="384"/>
    </w:pPr>
    <w:rPr>
      <w:lang w:val="en-GB"/>
    </w:rPr>
  </w:style>
  <w:style w:type="character" w:customStyle="1" w:styleId="BibliographyCarattere">
    <w:name w:val="Bibliography Carattere"/>
    <w:basedOn w:val="DefaultParagraphFont"/>
    <w:link w:val="Bibliografia1"/>
    <w:rsid w:val="00FC568E"/>
    <w:rPr>
      <w:sz w:val="22"/>
      <w:szCs w:val="22"/>
      <w:lang w:val="en-GB"/>
    </w:rPr>
  </w:style>
  <w:style w:type="table" w:styleId="TableGrid">
    <w:name w:val="Table Grid"/>
    <w:basedOn w:val="TableNormal"/>
    <w:uiPriority w:val="39"/>
    <w:rsid w:val="0005451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1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8295</Words>
  <Characters>47285</Characters>
  <Application>Microsoft Office Word</Application>
  <DocSecurity>0</DocSecurity>
  <Lines>394</Lines>
  <Paragraphs>110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Arianna Giorgetti</dc:creator>
  <cp:keywords/>
  <dc:description/>
  <cp:lastModifiedBy>Arianna Giorgetti</cp:lastModifiedBy>
  <cp:revision>13</cp:revision>
  <dcterms:created xsi:type="dcterms:W3CDTF">2025-08-03T15:24:00Z</dcterms:created>
  <dcterms:modified xsi:type="dcterms:W3CDTF">2026-01-26T17:27:00Z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id="jqcdhdQw"/&gt;&lt;style id="http://www.zotero.org/styles/forensic-science-international" hasBibliography="1" bibliographyStyleHasBeenSet="1"/&gt;&lt;prefs&gt;&lt;pref name="fieldType" value="Field"/&gt;&lt;pref name="au</vt:lpwstr>
  </property>
  <property fmtid="{D5CDD505-2E9C-101B-9397-08002B2CF9AE}" pid="3" name="ZOTERO_PREF_2">
    <vt:lpwstr>tomaticJournalAbbreviations" value="true"/&gt;&lt;/prefs&gt;&lt;/data&gt;</vt:lpwstr>
  </property>
</Properties>
</file>