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7AB9" w14:textId="77777777" w:rsidR="00EE6646" w:rsidRDefault="00EE6646" w:rsidP="005B227B">
      <w:pPr>
        <w:spacing w:line="240" w:lineRule="auto"/>
        <w:jc w:val="center"/>
        <w:rPr>
          <w:rFonts w:ascii="Times New Roman" w:hAnsi="Times New Roman" w:cs="Times New Roman"/>
          <w:b/>
          <w:bCs/>
          <w:sz w:val="24"/>
          <w:szCs w:val="24"/>
        </w:rPr>
      </w:pPr>
      <w:r w:rsidRPr="00EE6646">
        <w:rPr>
          <w:rFonts w:ascii="Times New Roman" w:hAnsi="Times New Roman" w:cs="Times New Roman"/>
          <w:b/>
          <w:bCs/>
          <w:sz w:val="24"/>
          <w:szCs w:val="24"/>
        </w:rPr>
        <w:t>Inactivation of ATG13 Stimulates Chronic Demyelinating Pathologies in Muscle-serving Nerves and Spinal Cord</w:t>
      </w:r>
    </w:p>
    <w:p w14:paraId="7A3EC07A" w14:textId="70ACC821" w:rsidR="005B227B" w:rsidRPr="0011435E" w:rsidRDefault="005B227B" w:rsidP="005B227B">
      <w:pPr>
        <w:spacing w:line="240" w:lineRule="auto"/>
        <w:jc w:val="center"/>
        <w:rPr>
          <w:rFonts w:ascii="Times New Roman" w:hAnsi="Times New Roman" w:cs="Times New Roman"/>
          <w:sz w:val="24"/>
          <w:szCs w:val="24"/>
          <w:vertAlign w:val="superscript"/>
        </w:rPr>
      </w:pPr>
      <w:r w:rsidRPr="0011435E">
        <w:rPr>
          <w:rFonts w:ascii="Times New Roman" w:hAnsi="Times New Roman" w:cs="Times New Roman"/>
          <w:sz w:val="24"/>
          <w:szCs w:val="24"/>
        </w:rPr>
        <w:t>Molly</w:t>
      </w:r>
      <w:r>
        <w:rPr>
          <w:rFonts w:ascii="Times New Roman" w:hAnsi="Times New Roman" w:cs="Times New Roman"/>
          <w:sz w:val="24"/>
          <w:szCs w:val="24"/>
        </w:rPr>
        <w:t xml:space="preserve"> E</w:t>
      </w:r>
      <w:r w:rsidRPr="0011435E">
        <w:rPr>
          <w:rFonts w:ascii="Times New Roman" w:hAnsi="Times New Roman" w:cs="Times New Roman"/>
          <w:sz w:val="24"/>
          <w:szCs w:val="24"/>
        </w:rPr>
        <w:t xml:space="preserve"> Drosen</w:t>
      </w:r>
      <w:r w:rsidRPr="0011435E">
        <w:rPr>
          <w:rFonts w:ascii="Times New Roman" w:hAnsi="Times New Roman" w:cs="Times New Roman"/>
          <w:sz w:val="24"/>
          <w:szCs w:val="24"/>
          <w:vertAlign w:val="superscript"/>
        </w:rPr>
        <w:t>1,2</w:t>
      </w:r>
      <w:r w:rsidRPr="0011435E">
        <w:rPr>
          <w:rFonts w:ascii="Times New Roman" w:hAnsi="Times New Roman" w:cs="Times New Roman"/>
          <w:sz w:val="24"/>
          <w:szCs w:val="24"/>
        </w:rPr>
        <w:t>, Sarojini Bulbule</w:t>
      </w:r>
      <w:r w:rsidRPr="0011435E">
        <w:rPr>
          <w:rFonts w:ascii="Times New Roman" w:hAnsi="Times New Roman" w:cs="Times New Roman"/>
          <w:sz w:val="24"/>
          <w:szCs w:val="24"/>
          <w:vertAlign w:val="superscript"/>
        </w:rPr>
        <w:t>2</w:t>
      </w:r>
      <w:r w:rsidRPr="009D69BB">
        <w:rPr>
          <w:rFonts w:ascii="Times New Roman" w:hAnsi="Times New Roman" w:cs="Times New Roman"/>
          <w:sz w:val="24"/>
          <w:szCs w:val="24"/>
          <w:vertAlign w:val="subscript"/>
        </w:rPr>
        <w:t xml:space="preserve">, </w:t>
      </w:r>
      <w:r w:rsidRPr="0011435E">
        <w:rPr>
          <w:rFonts w:ascii="Times New Roman" w:hAnsi="Times New Roman" w:cs="Times New Roman"/>
          <w:sz w:val="24"/>
          <w:szCs w:val="24"/>
        </w:rPr>
        <w:t>Gunnar Gottschalk</w:t>
      </w:r>
      <w:r w:rsidRPr="0011435E">
        <w:rPr>
          <w:rFonts w:ascii="Times New Roman" w:hAnsi="Times New Roman" w:cs="Times New Roman"/>
          <w:sz w:val="24"/>
          <w:szCs w:val="24"/>
          <w:vertAlign w:val="superscript"/>
        </w:rPr>
        <w:t>2,3</w:t>
      </w:r>
      <w:r w:rsidRPr="0011435E">
        <w:rPr>
          <w:rFonts w:ascii="Times New Roman" w:hAnsi="Times New Roman" w:cs="Times New Roman"/>
          <w:sz w:val="24"/>
          <w:szCs w:val="24"/>
        </w:rPr>
        <w:t xml:space="preserve">, </w:t>
      </w:r>
      <w:r>
        <w:rPr>
          <w:rFonts w:ascii="Times New Roman" w:hAnsi="Times New Roman" w:cs="Times New Roman"/>
          <w:sz w:val="24"/>
          <w:szCs w:val="24"/>
        </w:rPr>
        <w:t>Daniel Peterson</w:t>
      </w:r>
      <w:r w:rsidRPr="00BE587A">
        <w:rPr>
          <w:rFonts w:ascii="Times New Roman" w:hAnsi="Times New Roman" w:cs="Times New Roman"/>
          <w:sz w:val="24"/>
          <w:szCs w:val="24"/>
          <w:vertAlign w:val="superscript"/>
        </w:rPr>
        <w:t>2</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11435E">
        <w:rPr>
          <w:rFonts w:ascii="Times New Roman" w:hAnsi="Times New Roman" w:cs="Times New Roman"/>
          <w:sz w:val="24"/>
          <w:szCs w:val="24"/>
        </w:rPr>
        <w:t>Linda Adrienne Allen</w:t>
      </w:r>
      <w:r w:rsidRPr="0011435E">
        <w:rPr>
          <w:rFonts w:ascii="Times New Roman" w:hAnsi="Times New Roman" w:cs="Times New Roman"/>
          <w:sz w:val="24"/>
          <w:szCs w:val="24"/>
          <w:vertAlign w:val="superscript"/>
        </w:rPr>
        <w:t>1</w:t>
      </w:r>
      <w:r w:rsidRPr="0011435E">
        <w:rPr>
          <w:rFonts w:ascii="Times New Roman" w:hAnsi="Times New Roman" w:cs="Times New Roman"/>
          <w:sz w:val="24"/>
          <w:szCs w:val="24"/>
        </w:rPr>
        <w:t>, Leggy A Arnold</w:t>
      </w:r>
      <w:r w:rsidRPr="0011435E">
        <w:rPr>
          <w:rFonts w:ascii="Times New Roman" w:hAnsi="Times New Roman" w:cs="Times New Roman"/>
          <w:sz w:val="24"/>
          <w:szCs w:val="24"/>
          <w:vertAlign w:val="superscript"/>
        </w:rPr>
        <w:t>1</w:t>
      </w:r>
      <w:r w:rsidRPr="0011435E">
        <w:rPr>
          <w:rFonts w:ascii="Times New Roman" w:hAnsi="Times New Roman" w:cs="Times New Roman"/>
          <w:sz w:val="24"/>
          <w:szCs w:val="24"/>
        </w:rPr>
        <w:t>, Avik Roy</w:t>
      </w:r>
      <w:r w:rsidRPr="0011435E">
        <w:rPr>
          <w:rFonts w:ascii="Times New Roman" w:hAnsi="Times New Roman" w:cs="Times New Roman"/>
          <w:sz w:val="24"/>
          <w:szCs w:val="24"/>
          <w:vertAlign w:val="superscript"/>
        </w:rPr>
        <w:t>1,2,3</w:t>
      </w:r>
    </w:p>
    <w:p w14:paraId="546AEF0C"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25617A66"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27A16922"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764AFB2A"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359274D7"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4E993C3D" w14:textId="77777777" w:rsidR="005B227B" w:rsidRPr="0011435E" w:rsidRDefault="005B227B" w:rsidP="005B227B">
      <w:pPr>
        <w:pStyle w:val="BodyAA"/>
        <w:spacing w:line="240" w:lineRule="auto"/>
        <w:jc w:val="center"/>
        <w:rPr>
          <w:rFonts w:ascii="Times New Roman" w:eastAsia="Times New Roman" w:hAnsi="Times New Roman" w:cs="Times New Roman"/>
          <w:sz w:val="24"/>
          <w:szCs w:val="24"/>
        </w:rPr>
      </w:pPr>
      <w:r w:rsidRPr="0011435E">
        <w:rPr>
          <w:rFonts w:ascii="Times New Roman" w:eastAsia="Times New Roman" w:hAnsi="Times New Roman" w:cs="Times New Roman"/>
          <w:sz w:val="24"/>
          <w:szCs w:val="24"/>
          <w:vertAlign w:val="superscript"/>
        </w:rPr>
        <w:t>1</w:t>
      </w:r>
      <w:r w:rsidRPr="0011435E">
        <w:rPr>
          <w:rFonts w:ascii="Times New Roman" w:eastAsia="Times New Roman" w:hAnsi="Times New Roman" w:cs="Times New Roman"/>
          <w:sz w:val="24"/>
          <w:szCs w:val="24"/>
        </w:rPr>
        <w:t xml:space="preserve">University of Wisconsin-Milwaukee, </w:t>
      </w:r>
      <w:r>
        <w:rPr>
          <w:rFonts w:ascii="Times New Roman" w:eastAsia="Times New Roman" w:hAnsi="Times New Roman" w:cs="Times New Roman"/>
          <w:sz w:val="24"/>
          <w:szCs w:val="24"/>
        </w:rPr>
        <w:t xml:space="preserve">Department of Chemistry &amp; Biochemistry, </w:t>
      </w:r>
      <w:r w:rsidRPr="0011435E">
        <w:rPr>
          <w:rFonts w:ascii="Times New Roman" w:eastAsia="Times New Roman" w:hAnsi="Times New Roman" w:cs="Times New Roman"/>
          <w:sz w:val="24"/>
          <w:szCs w:val="24"/>
        </w:rPr>
        <w:t>Milwaukee, WI 53211</w:t>
      </w:r>
      <w:r>
        <w:rPr>
          <w:rFonts w:ascii="Times New Roman" w:eastAsia="Times New Roman" w:hAnsi="Times New Roman" w:cs="Times New Roman"/>
          <w:sz w:val="24"/>
          <w:szCs w:val="24"/>
        </w:rPr>
        <w:t>, USA</w:t>
      </w:r>
      <w:r w:rsidRPr="0011435E">
        <w:rPr>
          <w:rFonts w:ascii="Times New Roman" w:eastAsia="Times New Roman" w:hAnsi="Times New Roman" w:cs="Times New Roman"/>
          <w:sz w:val="24"/>
          <w:szCs w:val="24"/>
        </w:rPr>
        <w:t xml:space="preserve">; </w:t>
      </w:r>
      <w:r w:rsidRPr="0011435E">
        <w:rPr>
          <w:rFonts w:ascii="Times New Roman" w:eastAsia="Times New Roman" w:hAnsi="Times New Roman" w:cs="Times New Roman"/>
          <w:sz w:val="24"/>
          <w:szCs w:val="24"/>
          <w:vertAlign w:val="superscript"/>
        </w:rPr>
        <w:t>2</w:t>
      </w:r>
      <w:r w:rsidRPr="0011435E">
        <w:rPr>
          <w:rFonts w:ascii="Times New Roman" w:eastAsia="Times New Roman" w:hAnsi="Times New Roman" w:cs="Times New Roman"/>
          <w:sz w:val="24"/>
          <w:szCs w:val="24"/>
        </w:rPr>
        <w:t>Simmaron R&amp;D lab, 3210 N Cramer Street, Milwaukee, WI 53211</w:t>
      </w:r>
      <w:r>
        <w:rPr>
          <w:rFonts w:ascii="Times New Roman" w:eastAsia="Times New Roman" w:hAnsi="Times New Roman" w:cs="Times New Roman"/>
          <w:sz w:val="24"/>
          <w:szCs w:val="24"/>
        </w:rPr>
        <w:t>, USA</w:t>
      </w:r>
      <w:r w:rsidRPr="0011435E">
        <w:rPr>
          <w:rFonts w:ascii="Times New Roman" w:eastAsia="Times New Roman" w:hAnsi="Times New Roman" w:cs="Times New Roman"/>
          <w:sz w:val="24"/>
          <w:szCs w:val="24"/>
        </w:rPr>
        <w:t>;</w:t>
      </w:r>
      <w:r w:rsidRPr="0011435E">
        <w:rPr>
          <w:rFonts w:ascii="Times New Roman" w:eastAsia="Times New Roman" w:hAnsi="Times New Roman" w:cs="Times New Roman"/>
          <w:sz w:val="24"/>
          <w:szCs w:val="24"/>
          <w:vertAlign w:val="superscript"/>
        </w:rPr>
        <w:t xml:space="preserve"> 3</w:t>
      </w:r>
      <w:r w:rsidRPr="0011435E">
        <w:rPr>
          <w:rFonts w:ascii="Times New Roman" w:eastAsia="Times New Roman" w:hAnsi="Times New Roman" w:cs="Times New Roman"/>
          <w:sz w:val="24"/>
          <w:szCs w:val="24"/>
        </w:rPr>
        <w:t>Simmaron Research Institute, 948 Incline Way, Incline Village, NV 89451</w:t>
      </w:r>
      <w:r>
        <w:rPr>
          <w:rFonts w:ascii="Times New Roman" w:eastAsia="Times New Roman" w:hAnsi="Times New Roman" w:cs="Times New Roman"/>
          <w:sz w:val="24"/>
          <w:szCs w:val="24"/>
        </w:rPr>
        <w:t>, USA;</w:t>
      </w:r>
      <w:r w:rsidRPr="004A7394">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Sierra Internal Medicine, Incline village, NV 89451, USA</w:t>
      </w:r>
      <w:r w:rsidRPr="0011435E">
        <w:rPr>
          <w:rFonts w:ascii="Times New Roman" w:eastAsia="Times New Roman" w:hAnsi="Times New Roman" w:cs="Times New Roman"/>
          <w:sz w:val="24"/>
          <w:szCs w:val="24"/>
        </w:rPr>
        <w:t>.</w:t>
      </w:r>
    </w:p>
    <w:p w14:paraId="67A8CBB8" w14:textId="77777777" w:rsidR="005B227B" w:rsidRPr="0011435E" w:rsidRDefault="005B227B" w:rsidP="005B227B">
      <w:pPr>
        <w:pStyle w:val="BodyAA"/>
        <w:spacing w:line="240" w:lineRule="auto"/>
        <w:jc w:val="center"/>
        <w:rPr>
          <w:rFonts w:ascii="Times New Roman" w:eastAsia="Times New Roman" w:hAnsi="Times New Roman" w:cs="Times New Roman"/>
          <w:sz w:val="24"/>
          <w:szCs w:val="24"/>
        </w:rPr>
      </w:pPr>
    </w:p>
    <w:p w14:paraId="519C50B2" w14:textId="77777777" w:rsidR="005B227B" w:rsidRPr="0011435E" w:rsidRDefault="005B227B" w:rsidP="005B227B">
      <w:pPr>
        <w:spacing w:line="240" w:lineRule="auto"/>
        <w:jc w:val="center"/>
        <w:rPr>
          <w:rFonts w:ascii="Times New Roman" w:hAnsi="Times New Roman" w:cs="Times New Roman"/>
          <w:sz w:val="24"/>
          <w:szCs w:val="24"/>
          <w:vertAlign w:val="superscript"/>
        </w:rPr>
      </w:pPr>
    </w:p>
    <w:p w14:paraId="74D0AA5B" w14:textId="77777777" w:rsidR="005B227B" w:rsidRPr="0011435E" w:rsidRDefault="005B227B" w:rsidP="005B227B">
      <w:pPr>
        <w:spacing w:line="240" w:lineRule="auto"/>
        <w:jc w:val="center"/>
        <w:rPr>
          <w:rFonts w:ascii="Times New Roman" w:hAnsi="Times New Roman" w:cs="Times New Roman"/>
          <w:sz w:val="24"/>
          <w:szCs w:val="24"/>
        </w:rPr>
      </w:pPr>
      <w:r w:rsidRPr="0011435E">
        <w:rPr>
          <w:rFonts w:ascii="Times New Roman" w:hAnsi="Times New Roman" w:cs="Times New Roman"/>
          <w:sz w:val="24"/>
          <w:szCs w:val="24"/>
        </w:rPr>
        <w:t>Running title: mTOR-ATG13 crosstalk in ME/CFS</w:t>
      </w:r>
    </w:p>
    <w:p w14:paraId="04246245" w14:textId="77777777" w:rsidR="005B227B" w:rsidRPr="0011435E" w:rsidRDefault="005B227B" w:rsidP="005B227B">
      <w:pPr>
        <w:pStyle w:val="BodyAA"/>
        <w:tabs>
          <w:tab w:val="left" w:pos="7311"/>
        </w:tabs>
        <w:spacing w:after="0" w:line="240" w:lineRule="auto"/>
        <w:jc w:val="both"/>
        <w:rPr>
          <w:rFonts w:ascii="Times New Roman" w:hAnsi="Times New Roman" w:cs="Times New Roman"/>
          <w:sz w:val="24"/>
          <w:szCs w:val="24"/>
          <w:u w:val="single"/>
        </w:rPr>
      </w:pPr>
    </w:p>
    <w:p w14:paraId="02DA9244" w14:textId="77777777" w:rsidR="005B227B" w:rsidRPr="0011435E" w:rsidRDefault="005B227B" w:rsidP="005B227B">
      <w:pPr>
        <w:pStyle w:val="BodyAA"/>
        <w:tabs>
          <w:tab w:val="left" w:pos="7311"/>
        </w:tabs>
        <w:spacing w:after="0" w:line="240" w:lineRule="auto"/>
        <w:jc w:val="both"/>
        <w:rPr>
          <w:rFonts w:ascii="Times New Roman" w:hAnsi="Times New Roman" w:cs="Times New Roman"/>
          <w:sz w:val="24"/>
          <w:szCs w:val="24"/>
          <w:u w:val="single"/>
        </w:rPr>
      </w:pPr>
    </w:p>
    <w:p w14:paraId="1629D9BA" w14:textId="77777777" w:rsidR="005B227B" w:rsidRPr="0011435E" w:rsidRDefault="005B227B" w:rsidP="005B227B">
      <w:pPr>
        <w:pStyle w:val="BodyAA"/>
        <w:tabs>
          <w:tab w:val="left" w:pos="7311"/>
        </w:tabs>
        <w:spacing w:after="0" w:line="240" w:lineRule="auto"/>
        <w:jc w:val="both"/>
        <w:rPr>
          <w:rFonts w:ascii="Times New Roman" w:hAnsi="Times New Roman" w:cs="Times New Roman"/>
          <w:sz w:val="24"/>
          <w:szCs w:val="24"/>
          <w:u w:val="single"/>
        </w:rPr>
      </w:pPr>
    </w:p>
    <w:p w14:paraId="5E926FB1" w14:textId="77777777" w:rsidR="005B227B" w:rsidRPr="0011435E" w:rsidRDefault="005B227B" w:rsidP="005B227B">
      <w:pPr>
        <w:pStyle w:val="BodyAA"/>
        <w:tabs>
          <w:tab w:val="left" w:pos="7311"/>
        </w:tabs>
        <w:spacing w:after="0" w:line="240" w:lineRule="auto"/>
        <w:jc w:val="both"/>
        <w:rPr>
          <w:rFonts w:ascii="Times New Roman" w:eastAsia="Times New Roman" w:hAnsi="Times New Roman" w:cs="Times New Roman"/>
          <w:sz w:val="24"/>
          <w:szCs w:val="24"/>
          <w:u w:val="single"/>
        </w:rPr>
      </w:pPr>
      <w:r w:rsidRPr="0011435E">
        <w:rPr>
          <w:rFonts w:ascii="Times New Roman" w:hAnsi="Times New Roman" w:cs="Times New Roman"/>
          <w:sz w:val="24"/>
          <w:szCs w:val="24"/>
          <w:u w:val="single"/>
        </w:rPr>
        <w:t>To whom correspondence should be addressed:</w:t>
      </w:r>
    </w:p>
    <w:p w14:paraId="32D3AFD8"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 xml:space="preserve">Avik Roy, Ph.D.  </w:t>
      </w:r>
    </w:p>
    <w:p w14:paraId="7E0DC370"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Chief Scientific Officer</w:t>
      </w:r>
    </w:p>
    <w:p w14:paraId="710F94F3" w14:textId="77777777" w:rsidR="005B227B"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Simmaron Research Institute</w:t>
      </w:r>
    </w:p>
    <w:p w14:paraId="7DD21274" w14:textId="77777777" w:rsidR="005B227B"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&amp;</w:t>
      </w:r>
    </w:p>
    <w:p w14:paraId="7F1AE6CB" w14:textId="77777777" w:rsidR="005B227B"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Adjunct Professor of Biochemistry</w:t>
      </w:r>
    </w:p>
    <w:p w14:paraId="46150749"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University of Wisconsin-Milwaukee</w:t>
      </w:r>
    </w:p>
    <w:p w14:paraId="2FC55A01"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3210 N Cramer Street</w:t>
      </w:r>
    </w:p>
    <w:p w14:paraId="411AB413"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Suite # CHM 214, 216, and 639</w:t>
      </w:r>
    </w:p>
    <w:p w14:paraId="387B2355"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00"/>
          <w:sz w:val="24"/>
          <w:szCs w:val="24"/>
          <w:u w:color="000000"/>
          <w:bdr w:val="nil"/>
        </w:rPr>
      </w:pPr>
      <w:r w:rsidRPr="0011435E">
        <w:rPr>
          <w:rFonts w:ascii="Times New Roman" w:eastAsia="Calibri" w:hAnsi="Times New Roman" w:cs="Times New Roman"/>
          <w:color w:val="000000"/>
          <w:sz w:val="24"/>
          <w:szCs w:val="24"/>
          <w:u w:color="000000"/>
          <w:bdr w:val="nil"/>
        </w:rPr>
        <w:t xml:space="preserve">Milwaukee, WI 53211                                      </w:t>
      </w:r>
    </w:p>
    <w:p w14:paraId="670732F7"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FF"/>
          <w:sz w:val="24"/>
          <w:szCs w:val="24"/>
          <w:u w:val="single" w:color="0000FF"/>
          <w:bdr w:val="nil"/>
        </w:rPr>
      </w:pPr>
      <w:r w:rsidRPr="0011435E">
        <w:rPr>
          <w:rFonts w:ascii="Times New Roman" w:eastAsia="Calibri" w:hAnsi="Times New Roman" w:cs="Times New Roman"/>
          <w:color w:val="000000"/>
          <w:sz w:val="24"/>
          <w:szCs w:val="24"/>
          <w:u w:color="000000"/>
          <w:bdr w:val="nil"/>
        </w:rPr>
        <w:t xml:space="preserve">Email: </w:t>
      </w:r>
      <w:hyperlink r:id="rId4" w:history="1">
        <w:r w:rsidRPr="0011435E">
          <w:rPr>
            <w:rStyle w:val="Hyperlink"/>
            <w:rFonts w:ascii="Times New Roman" w:eastAsia="Calibri" w:hAnsi="Times New Roman" w:cs="Times New Roman"/>
            <w:sz w:val="24"/>
            <w:szCs w:val="24"/>
            <w:bdr w:val="nil"/>
          </w:rPr>
          <w:t>aroy@simmaron.com</w:t>
        </w:r>
      </w:hyperlink>
    </w:p>
    <w:p w14:paraId="1A3B2BB0" w14:textId="74DC6493" w:rsidR="0041329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FF"/>
          <w:sz w:val="24"/>
          <w:szCs w:val="24"/>
          <w:u w:val="single" w:color="0000FF"/>
          <w:bdr w:val="nil"/>
        </w:rPr>
      </w:pPr>
      <w:r w:rsidRPr="0011435E">
        <w:rPr>
          <w:rFonts w:ascii="Times New Roman" w:eastAsia="Calibri" w:hAnsi="Times New Roman" w:cs="Times New Roman"/>
          <w:color w:val="0000FF"/>
          <w:sz w:val="24"/>
          <w:szCs w:val="24"/>
          <w:u w:val="single" w:color="0000FF"/>
          <w:bdr w:val="nil"/>
        </w:rPr>
        <w:t>Ph: (773) 263 8182</w:t>
      </w:r>
    </w:p>
    <w:p w14:paraId="460B5F0D" w14:textId="77777777" w:rsidR="0041329E" w:rsidRDefault="0041329E">
      <w:pPr>
        <w:rPr>
          <w:rFonts w:ascii="Times New Roman" w:eastAsia="Calibri" w:hAnsi="Times New Roman" w:cs="Times New Roman"/>
          <w:color w:val="0000FF"/>
          <w:sz w:val="24"/>
          <w:szCs w:val="24"/>
          <w:u w:val="single" w:color="0000FF"/>
          <w:bdr w:val="nil"/>
        </w:rPr>
      </w:pPr>
      <w:r>
        <w:rPr>
          <w:rFonts w:ascii="Times New Roman" w:eastAsia="Calibri" w:hAnsi="Times New Roman" w:cs="Times New Roman"/>
          <w:color w:val="0000FF"/>
          <w:sz w:val="24"/>
          <w:szCs w:val="24"/>
          <w:u w:val="single" w:color="0000FF"/>
          <w:bdr w:val="nil"/>
        </w:rPr>
        <w:br w:type="page"/>
      </w:r>
    </w:p>
    <w:p w14:paraId="62BF0C6F" w14:textId="77777777" w:rsidR="00D23F5D" w:rsidRDefault="00D23F5D" w:rsidP="00D23F5D">
      <w:pPr>
        <w:pStyle w:val="NormalWeb"/>
        <w:spacing w:before="0" w:beforeAutospacing="0" w:after="0" w:afterAutospacing="0"/>
        <w:jc w:val="both"/>
        <w:rPr>
          <w:rFonts w:eastAsia="Calibri" w:cstheme="minorBidi"/>
          <w:b/>
          <w:bCs/>
          <w:color w:val="000000" w:themeColor="text1"/>
          <w:kern w:val="24"/>
        </w:rPr>
      </w:pPr>
      <w:r>
        <w:rPr>
          <w:rFonts w:eastAsia="Calibri" w:cstheme="minorBidi"/>
          <w:b/>
          <w:bCs/>
          <w:color w:val="000000" w:themeColor="text1"/>
          <w:kern w:val="24"/>
        </w:rPr>
        <w:lastRenderedPageBreak/>
        <w:t>Legends to Supplementary Figures.</w:t>
      </w:r>
    </w:p>
    <w:p w14:paraId="180A329E" w14:textId="77777777" w:rsidR="00D23F5D" w:rsidRDefault="00D23F5D" w:rsidP="00D23F5D">
      <w:pPr>
        <w:pStyle w:val="NormalWeb"/>
        <w:spacing w:before="0" w:beforeAutospacing="0" w:after="0" w:afterAutospacing="0"/>
        <w:jc w:val="both"/>
        <w:rPr>
          <w:rFonts w:eastAsia="Calibri" w:cstheme="minorBidi"/>
          <w:b/>
          <w:bCs/>
          <w:color w:val="000000" w:themeColor="text1"/>
          <w:kern w:val="24"/>
        </w:rPr>
      </w:pPr>
    </w:p>
    <w:p w14:paraId="2B51C3FB" w14:textId="14583C33" w:rsidR="00D23F5D" w:rsidRDefault="00D23F5D" w:rsidP="00D23F5D">
      <w:pPr>
        <w:pStyle w:val="NormalWeb"/>
        <w:spacing w:before="0" w:beforeAutospacing="0" w:after="0" w:afterAutospacing="0"/>
        <w:jc w:val="both"/>
        <w:rPr>
          <w:rFonts w:eastAsia="Calibri" w:cstheme="minorBidi"/>
          <w:color w:val="000000" w:themeColor="text1"/>
          <w:kern w:val="24"/>
        </w:rPr>
      </w:pPr>
      <w:r>
        <w:rPr>
          <w:rFonts w:eastAsia="Calibri" w:cstheme="minorBidi"/>
          <w:b/>
          <w:bCs/>
          <w:color w:val="000000" w:themeColor="text1"/>
          <w:kern w:val="24"/>
        </w:rPr>
        <w:t xml:space="preserve">Supplementary Fig. 1. MHY1485 feeding alters health vitals in B6 mice. (A) </w:t>
      </w:r>
      <w:r>
        <w:rPr>
          <w:rFonts w:eastAsia="Calibri" w:cstheme="minorBidi"/>
          <w:color w:val="000000" w:themeColor="text1"/>
          <w:kern w:val="24"/>
        </w:rPr>
        <w:t>A schema for the treatment with MHY1485. Alternate grey lines indicate the treatment days. (</w:t>
      </w:r>
      <w:r>
        <w:rPr>
          <w:rFonts w:eastAsia="Calibri" w:cstheme="minorBidi"/>
          <w:b/>
          <w:bCs/>
          <w:color w:val="000000" w:themeColor="text1"/>
          <w:kern w:val="24"/>
        </w:rPr>
        <w:t>B</w:t>
      </w:r>
      <w:r>
        <w:rPr>
          <w:rFonts w:eastAsia="Calibri" w:cstheme="minorBidi"/>
          <w:color w:val="000000" w:themeColor="text1"/>
          <w:kern w:val="24"/>
        </w:rPr>
        <w:t>) Kaplan-Meier curve demonstrated the probability of survival for 0 (control or vehicle), 5, and 10 mg/kg MHY1485-treated B6 female mice (n=8). Starting age 3-4 weeks. (C) Body temperature in the vehicle (orange), MHY 2mg/Kg (red), and MHY 5mg/Kg (grey) during the study up to 30 days after the first and 15 days after the last treatments. (D) Heart rate was recorded in Mouse Stat Jr (Kent scientific) recorder and plotted as beats per minute or BPM scale in a scatter diagram. (E) Scatter plot of body weights of three different groups ( n=8 per group). ***p&lt;0.001, **p&lt;0.01, and ns =not significant when comparing with 0-day body weight of the respective groups.</w:t>
      </w:r>
    </w:p>
    <w:p w14:paraId="13C13757" w14:textId="77777777" w:rsidR="00D23F5D" w:rsidRDefault="00D23F5D" w:rsidP="00D23F5D">
      <w:pPr>
        <w:pStyle w:val="NormalWeb"/>
        <w:spacing w:before="0" w:beforeAutospacing="0" w:after="0" w:afterAutospacing="0"/>
        <w:jc w:val="both"/>
      </w:pPr>
    </w:p>
    <w:p w14:paraId="4F7417C2" w14:textId="675BC810" w:rsidR="006A26E1" w:rsidRDefault="006A26E1" w:rsidP="006A26E1">
      <w:pPr>
        <w:pStyle w:val="NormalWeb"/>
        <w:spacing w:before="0" w:beforeAutospacing="0" w:after="0" w:afterAutospacing="0"/>
        <w:jc w:val="both"/>
        <w:rPr>
          <w:rFonts w:eastAsiaTheme="minorEastAsia"/>
          <w:color w:val="000000" w:themeColor="text1"/>
          <w:kern w:val="24"/>
        </w:rPr>
      </w:pPr>
      <w:r>
        <w:rPr>
          <w:rFonts w:eastAsiaTheme="minorEastAsia"/>
          <w:b/>
          <w:bCs/>
          <w:color w:val="000000" w:themeColor="text1"/>
          <w:kern w:val="24"/>
        </w:rPr>
        <w:t>Supplementary Fig. 2. Tyrosine hydroxylase expression in striatal tissue of vehicle and MHY1485-fed B6 mice</w:t>
      </w:r>
      <w:r>
        <w:rPr>
          <w:rFonts w:eastAsiaTheme="minorEastAsia"/>
          <w:color w:val="000000" w:themeColor="text1"/>
          <w:kern w:val="24"/>
        </w:rPr>
        <w:t>.  Briefly, 3-4 weeks-old female B6 mice were fed with vehicle (0.05% methylcellulose) and MHY1485 ( 5 mg/Kg) for 2 weeks, waited for one week after the last dose, and then striatal tissue was dissected as described elsewhere</w:t>
      </w:r>
      <w:r w:rsidR="00D5718E">
        <w:rPr>
          <w:rFonts w:eastAsiaTheme="minorEastAsia"/>
          <w:color w:val="000000" w:themeColor="text1"/>
          <w:kern w:val="24"/>
        </w:rPr>
        <w:t xml:space="preserve"> </w:t>
      </w:r>
      <w:r w:rsidR="00D5718E">
        <w:rPr>
          <w:rFonts w:eastAsiaTheme="minorEastAsia"/>
          <w:color w:val="000000" w:themeColor="text1"/>
          <w:kern w:val="24"/>
        </w:rPr>
        <w:fldChar w:fldCharType="begin">
          <w:fldData xml:space="preserve">PEVuZE5vdGU+PENpdGU+PEF1dGhvcj5HaG9zaDwvQXV0aG9yPjxZZWFyPjIwMDc8L1llYXI+PFJl
Y051bT4xMTQ8L1JlY051bT48RGlzcGxheVRleHQ+PHN0eWxlIGZhY2U9InN1cGVyc2NyaXB0Ij4x
PC9zdHlsZT48L0Rpc3BsYXlUZXh0PjxyZWNvcmQ+PHJlYy1udW1iZXI+MTE0PC9yZWMtbnVtYmVy
Pjxmb3JlaWduLWtleXM+PGtleSBhcHA9IkVOIiBkYi1pZD0ieHM1ZHBkdHY0NXNhMmhlOXcyc3h2
YTVyMHZ2NXcweHoyZno1IiB0aW1lc3RhbXA9IjE3MDYyOTAwOTciPjExNDwva2V5PjwvZm9yZWln
bi1rZXlzPjxyZWYtdHlwZSBuYW1lPSJKb3VybmFsIEFydGljbGUiPjE3PC9yZWYtdHlwZT48Y29u
dHJpYnV0b3JzPjxhdXRob3JzPjxhdXRob3I+R2hvc2gsIEEuPC9hdXRob3I+PGF1dGhvcj5Sb3ks
IEEuPC9hdXRob3I+PGF1dGhvcj5MaXUsIFguPC9hdXRob3I+PGF1dGhvcj5Lb3Jkb3dlciwgSi4g
SC48L2F1dGhvcj48YXV0aG9yPk11ZnNvbiwgRS4gSi48L2F1dGhvcj48YXV0aG9yPkhhcnRsZXks
IEQuIE0uPC9hdXRob3I+PGF1dGhvcj5HaG9zaCwgUy48L2F1dGhvcj48YXV0aG9yPk1vc2xleSwg
Ui4gTC48L2F1dGhvcj48YXV0aG9yPkdlbmRlbG1hbiwgSC4gRS48L2F1dGhvcj48YXV0aG9yPlBh
aGFuLCBLLjwvYXV0aG9yPjwvYXV0aG9ycz48L2NvbnRyaWJ1dG9ycz48YXV0aC1hZGRyZXNzPkRl
cGFydG1lbnQgb2YgTmV1cm9sb2dpY2FsIFNjaWVuY2VzLCBSdXNoIFVuaXZlcnNpdHkgTWVkaWNh
bCBDZW50ZXIsIENoaWNhZ28sIElMIDYwNjEyLCBVU0EuPC9hdXRoLWFkZHJlc3M+PHRpdGxlcz48
dGl0bGU+U2VsZWN0aXZlIGluaGliaXRpb24gb2YgTkYta2FwcGFCIGFjdGl2YXRpb24gcHJldmVu
dHMgZG9wYW1pbmVyZ2ljIG5ldXJvbmFsIGxvc3MgaW4gYSBtb3VzZSBtb2RlbCBvZiBQYXJraW5z
b24mYXBvcztzIGRpc2Vhc2U8L3RpdGxlPjxzZWNvbmRhcnktdGl0bGU+UHJvYyBOYXRsIEFjYWQg
U2NpIFUgUyBBPC9zZWNvbmRhcnktdGl0bGU+PC90aXRsZXM+PHBlcmlvZGljYWw+PGZ1bGwtdGl0
bGU+UHJvY2VlZGluZ3Mgb2YgdGhlIE5hdGlvbmFsIEFjYWRlbXkgb2YgU2NpZW5jZXMgb2YgdGhl
IFVuaXRlZCBTdGF0ZXMgb2YgQW1lcmljYTwvZnVsbC10aXRsZT48YWJici0xPlByb2MgTmF0bCBB
Y2FkIFNjaSBVIFMgQTwvYWJici0xPjwvcGVyaW9kaWNhbD48cGFnZXM+MTg3NTQtOTwvcGFnZXM+
PHZvbHVtZT4xMDQ8L3ZvbHVtZT48bnVtYmVyPjQ3PC9udW1iZXI+PGVkaXRpb24+MjAwNzExMTM8
L2VkaXRpb24+PGtleXdvcmRzPjxrZXl3b3JkPjEtTWV0aHlsLTQtcGhlbnlsLTEsMiwzLDYtdGV0
cmFoeWRyb3B5cmlkaW5lL3BoYXJtYWNvbG9neTwva2V5d29yZD48a2V5d29yZD5BbmltYWxzPC9r
ZXl3b3JkPjxrZXl3b3JkPkJpbmRpbmcgU2l0ZXM8L2tleXdvcmQ+PGtleXdvcmQ+RGlzZWFzZSBN
b2RlbHMsIEFuaW1hbDwva2V5d29yZD48a2V5d29yZD5EaXNlYXNlIFByb2dyZXNzaW9uPC9rZXl3
b3JkPjxrZXl3b3JkPkRvcGFtaW5lLyptZXRhYm9saXNtPC9rZXl3b3JkPjxrZXl3b3JkPkdlbmUg
RXhwcmVzc2lvbiBSZWd1bGF0aW9uL2RydWcgZWZmZWN0czwva2V5d29yZD48a2V5d29yZD5IdW1h
bnM8L2tleXdvcmQ+PGtleXdvcmQ+TWFsZTwva2V5d29yZD48a2V5d29yZD5NZXNlbmNlcGhhbG9u
L2RydWcgZWZmZWN0cy9tZXRhYm9saXNtPC9rZXl3b3JkPjxrZXl3b3JkPk1pY2U8L2tleXdvcmQ+
PGtleXdvcmQ+TWljZSwgSW5icmVkIEM1N0JMPC9rZXl3b3JkPjxrZXl3b3JkPk1vdG9yIEFjdGl2
aXR5L2RydWcgZWZmZWN0czwva2V5d29yZD48a2V5d29yZD5ORi1rYXBwYSBCLyphbnRhZ29uaXN0
cyAmYW1wOyBpbmhpYml0b3JzLyptZXRhYm9saXNtPC9rZXl3b3JkPjxrZXl3b3JkPlBhcmtpbnNv
biBEaXNlYXNlLyptZXRhYm9saXNtL3BhdGhvbG9neS9waHlzaW9wYXRob2xvZ3k8L2tleXdvcmQ+
PGtleXdvcmQ+UGVwdGlkZXMvcGhhcm1hY29sb2d5PC9rZXl3b3JkPjwva2V5d29yZHM+PGRhdGVz
Pjx5ZWFyPjIwMDc8L3llYXI+PHB1Yi1kYXRlcz48ZGF0ZT5Ob3YgMjA8L2RhdGU+PC9wdWItZGF0
ZXM+PC9kYXRlcz48aXNibj4xMDkxLTY0OTAgKEVsZWN0cm9uaWMpJiN4RDswMDI3LTg0MjQgKFBy
aW50KSYjeEQ7MDAyNy04NDI0IChMaW5raW5nKTwvaXNibj48YWNjZXNzaW9uLW51bT4xODAwMDA2
MzwvYWNjZXNzaW9uLW51bT48dXJscz48cmVsYXRlZC11cmxzPjx1cmw+aHR0cHM6Ly93d3cubmNi
aS5ubG0ubmloLmdvdi9wdWJtZWQvMTgwMDAwNjM8L3VybD48L3JlbGF0ZWQtdXJscz48L3VybHM+
PGN1c3RvbTE+VGhlIGF1dGhvcnMgZGVjbGFyZSBubyBjb25mbGljdCBvZiBpbnRlcmVzdC48L2N1
c3RvbTE+PGN1c3RvbTI+UE1DMjE0MTg0OTwvY3VzdG9tMj48ZWxlY3Ryb25pYy1yZXNvdXJjZS1u
dW0+MTAuMTA3My9wbmFzLjA3MDQ5MDgxMDQ8L2VsZWN0cm9uaWMtcmVzb3VyY2UtbnVtPjxyZW1v
dGUtZGF0YWJhc2UtbmFtZT5NZWRsaW5lPC9yZW1vdGUtZGF0YWJhc2UtbmFtZT48cmVtb3RlLWRh
dGFiYXNlLXByb3ZpZGVyPk5MTTwvcmVtb3RlLWRhdGFiYXNlLXByb3ZpZGVyPjwvcmVjb3JkPjwv
Q2l0ZT48L0VuZE5vdGU+
</w:fldData>
        </w:fldChar>
      </w:r>
      <w:r w:rsidR="007A59E2">
        <w:rPr>
          <w:rFonts w:eastAsiaTheme="minorEastAsia"/>
          <w:color w:val="000000" w:themeColor="text1"/>
          <w:kern w:val="24"/>
        </w:rPr>
        <w:instrText xml:space="preserve"> ADDIN EN.CITE </w:instrText>
      </w:r>
      <w:r w:rsidR="007A59E2">
        <w:rPr>
          <w:rFonts w:eastAsiaTheme="minorEastAsia"/>
          <w:color w:val="000000" w:themeColor="text1"/>
          <w:kern w:val="24"/>
        </w:rPr>
        <w:fldChar w:fldCharType="begin">
          <w:fldData xml:space="preserve">PEVuZE5vdGU+PENpdGU+PEF1dGhvcj5HaG9zaDwvQXV0aG9yPjxZZWFyPjIwMDc8L1llYXI+PFJl
Y051bT4xMTQ8L1JlY051bT48RGlzcGxheVRleHQ+PHN0eWxlIGZhY2U9InN1cGVyc2NyaXB0Ij4x
PC9zdHlsZT48L0Rpc3BsYXlUZXh0PjxyZWNvcmQ+PHJlYy1udW1iZXI+MTE0PC9yZWMtbnVtYmVy
Pjxmb3JlaWduLWtleXM+PGtleSBhcHA9IkVOIiBkYi1pZD0ieHM1ZHBkdHY0NXNhMmhlOXcyc3h2
YTVyMHZ2NXcweHoyZno1IiB0aW1lc3RhbXA9IjE3MDYyOTAwOTciPjExNDwva2V5PjwvZm9yZWln
bi1rZXlzPjxyZWYtdHlwZSBuYW1lPSJKb3VybmFsIEFydGljbGUiPjE3PC9yZWYtdHlwZT48Y29u
dHJpYnV0b3JzPjxhdXRob3JzPjxhdXRob3I+R2hvc2gsIEEuPC9hdXRob3I+PGF1dGhvcj5Sb3ks
IEEuPC9hdXRob3I+PGF1dGhvcj5MaXUsIFguPC9hdXRob3I+PGF1dGhvcj5Lb3Jkb3dlciwgSi4g
SC48L2F1dGhvcj48YXV0aG9yPk11ZnNvbiwgRS4gSi48L2F1dGhvcj48YXV0aG9yPkhhcnRsZXks
IEQuIE0uPC9hdXRob3I+PGF1dGhvcj5HaG9zaCwgUy48L2F1dGhvcj48YXV0aG9yPk1vc2xleSwg
Ui4gTC48L2F1dGhvcj48YXV0aG9yPkdlbmRlbG1hbiwgSC4gRS48L2F1dGhvcj48YXV0aG9yPlBh
aGFuLCBLLjwvYXV0aG9yPjwvYXV0aG9ycz48L2NvbnRyaWJ1dG9ycz48YXV0aC1hZGRyZXNzPkRl
cGFydG1lbnQgb2YgTmV1cm9sb2dpY2FsIFNjaWVuY2VzLCBSdXNoIFVuaXZlcnNpdHkgTWVkaWNh
bCBDZW50ZXIsIENoaWNhZ28sIElMIDYwNjEyLCBVU0EuPC9hdXRoLWFkZHJlc3M+PHRpdGxlcz48
dGl0bGU+U2VsZWN0aXZlIGluaGliaXRpb24gb2YgTkYta2FwcGFCIGFjdGl2YXRpb24gcHJldmVu
dHMgZG9wYW1pbmVyZ2ljIG5ldXJvbmFsIGxvc3MgaW4gYSBtb3VzZSBtb2RlbCBvZiBQYXJraW5z
b24mYXBvcztzIGRpc2Vhc2U8L3RpdGxlPjxzZWNvbmRhcnktdGl0bGU+UHJvYyBOYXRsIEFjYWQg
U2NpIFUgUyBBPC9zZWNvbmRhcnktdGl0bGU+PC90aXRsZXM+PHBlcmlvZGljYWw+PGZ1bGwtdGl0
bGU+UHJvY2VlZGluZ3Mgb2YgdGhlIE5hdGlvbmFsIEFjYWRlbXkgb2YgU2NpZW5jZXMgb2YgdGhl
IFVuaXRlZCBTdGF0ZXMgb2YgQW1lcmljYTwvZnVsbC10aXRsZT48YWJici0xPlByb2MgTmF0bCBB
Y2FkIFNjaSBVIFMgQTwvYWJici0xPjwvcGVyaW9kaWNhbD48cGFnZXM+MTg3NTQtOTwvcGFnZXM+
PHZvbHVtZT4xMDQ8L3ZvbHVtZT48bnVtYmVyPjQ3PC9udW1iZXI+PGVkaXRpb24+MjAwNzExMTM8
L2VkaXRpb24+PGtleXdvcmRzPjxrZXl3b3JkPjEtTWV0aHlsLTQtcGhlbnlsLTEsMiwzLDYtdGV0
cmFoeWRyb3B5cmlkaW5lL3BoYXJtYWNvbG9neTwva2V5d29yZD48a2V5d29yZD5BbmltYWxzPC9r
ZXl3b3JkPjxrZXl3b3JkPkJpbmRpbmcgU2l0ZXM8L2tleXdvcmQ+PGtleXdvcmQ+RGlzZWFzZSBN
b2RlbHMsIEFuaW1hbDwva2V5d29yZD48a2V5d29yZD5EaXNlYXNlIFByb2dyZXNzaW9uPC9rZXl3
b3JkPjxrZXl3b3JkPkRvcGFtaW5lLyptZXRhYm9saXNtPC9rZXl3b3JkPjxrZXl3b3JkPkdlbmUg
RXhwcmVzc2lvbiBSZWd1bGF0aW9uL2RydWcgZWZmZWN0czwva2V5d29yZD48a2V5d29yZD5IdW1h
bnM8L2tleXdvcmQ+PGtleXdvcmQ+TWFsZTwva2V5d29yZD48a2V5d29yZD5NZXNlbmNlcGhhbG9u
L2RydWcgZWZmZWN0cy9tZXRhYm9saXNtPC9rZXl3b3JkPjxrZXl3b3JkPk1pY2U8L2tleXdvcmQ+
PGtleXdvcmQ+TWljZSwgSW5icmVkIEM1N0JMPC9rZXl3b3JkPjxrZXl3b3JkPk1vdG9yIEFjdGl2
aXR5L2RydWcgZWZmZWN0czwva2V5d29yZD48a2V5d29yZD5ORi1rYXBwYSBCLyphbnRhZ29uaXN0
cyAmYW1wOyBpbmhpYml0b3JzLyptZXRhYm9saXNtPC9rZXl3b3JkPjxrZXl3b3JkPlBhcmtpbnNv
biBEaXNlYXNlLyptZXRhYm9saXNtL3BhdGhvbG9neS9waHlzaW9wYXRob2xvZ3k8L2tleXdvcmQ+
PGtleXdvcmQ+UGVwdGlkZXMvcGhhcm1hY29sb2d5PC9rZXl3b3JkPjwva2V5d29yZHM+PGRhdGVz
Pjx5ZWFyPjIwMDc8L3llYXI+PHB1Yi1kYXRlcz48ZGF0ZT5Ob3YgMjA8L2RhdGU+PC9wdWItZGF0
ZXM+PC9kYXRlcz48aXNibj4xMDkxLTY0OTAgKEVsZWN0cm9uaWMpJiN4RDswMDI3LTg0MjQgKFBy
aW50KSYjeEQ7MDAyNy04NDI0IChMaW5raW5nKTwvaXNibj48YWNjZXNzaW9uLW51bT4xODAwMDA2
MzwvYWNjZXNzaW9uLW51bT48dXJscz48cmVsYXRlZC11cmxzPjx1cmw+aHR0cHM6Ly93d3cubmNi
aS5ubG0ubmloLmdvdi9wdWJtZWQvMTgwMDAwNjM8L3VybD48L3JlbGF0ZWQtdXJscz48L3VybHM+
PGN1c3RvbTE+VGhlIGF1dGhvcnMgZGVjbGFyZSBubyBjb25mbGljdCBvZiBpbnRlcmVzdC48L2N1
c3RvbTE+PGN1c3RvbTI+UE1DMjE0MTg0OTwvY3VzdG9tMj48ZWxlY3Ryb25pYy1yZXNvdXJjZS1u
dW0+MTAuMTA3My9wbmFzLjA3MDQ5MDgxMDQ8L2VsZWN0cm9uaWMtcmVzb3VyY2UtbnVtPjxyZW1v
dGUtZGF0YWJhc2UtbmFtZT5NZWRsaW5lPC9yZW1vdGUtZGF0YWJhc2UtbmFtZT48cmVtb3RlLWRh
dGFiYXNlLXByb3ZpZGVyPk5MTTwvcmVtb3RlLWRhdGFiYXNlLXByb3ZpZGVyPjwvcmVjb3JkPjwv
Q2l0ZT48L0VuZE5vdGU+
</w:fldData>
        </w:fldChar>
      </w:r>
      <w:r w:rsidR="007A59E2">
        <w:rPr>
          <w:rFonts w:eastAsiaTheme="minorEastAsia"/>
          <w:color w:val="000000" w:themeColor="text1"/>
          <w:kern w:val="24"/>
        </w:rPr>
        <w:instrText xml:space="preserve"> ADDIN EN.CITE.DATA </w:instrText>
      </w:r>
      <w:r w:rsidR="007A59E2">
        <w:rPr>
          <w:rFonts w:eastAsiaTheme="minorEastAsia"/>
          <w:color w:val="000000" w:themeColor="text1"/>
          <w:kern w:val="24"/>
        </w:rPr>
      </w:r>
      <w:r w:rsidR="007A59E2">
        <w:rPr>
          <w:rFonts w:eastAsiaTheme="minorEastAsia"/>
          <w:color w:val="000000" w:themeColor="text1"/>
          <w:kern w:val="24"/>
        </w:rPr>
        <w:fldChar w:fldCharType="end"/>
      </w:r>
      <w:r w:rsidR="00D5718E">
        <w:rPr>
          <w:rFonts w:eastAsiaTheme="minorEastAsia"/>
          <w:color w:val="000000" w:themeColor="text1"/>
          <w:kern w:val="24"/>
        </w:rPr>
      </w:r>
      <w:r w:rsidR="00D5718E">
        <w:rPr>
          <w:rFonts w:eastAsiaTheme="minorEastAsia"/>
          <w:color w:val="000000" w:themeColor="text1"/>
          <w:kern w:val="24"/>
        </w:rPr>
        <w:fldChar w:fldCharType="separate"/>
      </w:r>
      <w:r w:rsidR="007A59E2" w:rsidRPr="007A59E2">
        <w:rPr>
          <w:rFonts w:eastAsiaTheme="minorEastAsia"/>
          <w:noProof/>
          <w:color w:val="000000" w:themeColor="text1"/>
          <w:kern w:val="24"/>
          <w:vertAlign w:val="superscript"/>
        </w:rPr>
        <w:t>1</w:t>
      </w:r>
      <w:r w:rsidR="00D5718E">
        <w:rPr>
          <w:rFonts w:eastAsiaTheme="minorEastAsia"/>
          <w:color w:val="000000" w:themeColor="text1"/>
          <w:kern w:val="24"/>
        </w:rPr>
        <w:fldChar w:fldCharType="end"/>
      </w:r>
      <w:r>
        <w:rPr>
          <w:rFonts w:eastAsiaTheme="minorEastAsia"/>
          <w:color w:val="000000" w:themeColor="text1"/>
          <w:kern w:val="24"/>
        </w:rPr>
        <w:t xml:space="preserve"> followed by the lysis with RIPA buffer supplemented with Protease and phosphatase inhibitor cocktail. Immunoblot analysis of Tyrosine Hydroxylase or TH (primary antibody, Cat# </w:t>
      </w:r>
      <w:r w:rsidR="00323AC4">
        <w:rPr>
          <w:rFonts w:eastAsiaTheme="minorEastAsia"/>
          <w:color w:val="000000" w:themeColor="text1"/>
          <w:kern w:val="24"/>
        </w:rPr>
        <w:t>3870479</w:t>
      </w:r>
      <w:r>
        <w:rPr>
          <w:rFonts w:eastAsiaTheme="minorEastAsia"/>
          <w:color w:val="000000" w:themeColor="text1"/>
          <w:kern w:val="24"/>
        </w:rPr>
        <w:t xml:space="preserve"> ; </w:t>
      </w:r>
      <w:r w:rsidR="00531CEF">
        <w:rPr>
          <w:rFonts w:eastAsiaTheme="minorEastAsia"/>
          <w:color w:val="000000" w:themeColor="text1"/>
          <w:kern w:val="24"/>
        </w:rPr>
        <w:t>Millipore Sigma</w:t>
      </w:r>
      <w:r>
        <w:rPr>
          <w:rFonts w:eastAsiaTheme="minorEastAsia"/>
          <w:color w:val="000000" w:themeColor="text1"/>
          <w:kern w:val="24"/>
        </w:rPr>
        <w:t xml:space="preserve">; 1:500 dilution), TUJ1 (primary antibody, Cat# </w:t>
      </w:r>
      <w:r w:rsidR="00323AC4">
        <w:rPr>
          <w:rFonts w:eastAsiaTheme="minorEastAsia"/>
          <w:color w:val="000000" w:themeColor="text1"/>
          <w:kern w:val="24"/>
        </w:rPr>
        <w:t>YB367</w:t>
      </w:r>
      <w:r w:rsidR="0069552B">
        <w:rPr>
          <w:rFonts w:eastAsiaTheme="minorEastAsia"/>
          <w:color w:val="000000" w:themeColor="text1"/>
          <w:kern w:val="24"/>
        </w:rPr>
        <w:t>568</w:t>
      </w:r>
      <w:r>
        <w:rPr>
          <w:rFonts w:eastAsiaTheme="minorEastAsia"/>
          <w:color w:val="000000" w:themeColor="text1"/>
          <w:kern w:val="24"/>
        </w:rPr>
        <w:t>; Thermofisher Scientific; 1:500 dilution), and beta-actin (primary antibody; Thermofisher Scientific; 1:500 dilution) were analyzed. (B) Relative densitometry was assessed by ImageJ software. Results are mean ± SD of three experiments. An unpaired t-test was conducted to test the significance of the mean between two groups that generated T</w:t>
      </w:r>
      <w:r>
        <w:rPr>
          <w:rFonts w:eastAsiaTheme="minorEastAsia"/>
          <w:color w:val="000000" w:themeColor="text1"/>
          <w:kern w:val="24"/>
          <w:position w:val="-6"/>
          <w:vertAlign w:val="subscript"/>
        </w:rPr>
        <w:t xml:space="preserve">1,4 </w:t>
      </w:r>
      <w:r>
        <w:rPr>
          <w:rFonts w:eastAsiaTheme="minorEastAsia"/>
          <w:color w:val="000000" w:themeColor="text1"/>
          <w:kern w:val="24"/>
        </w:rPr>
        <w:t>=</w:t>
      </w:r>
      <w:r w:rsidR="00D5718E">
        <w:rPr>
          <w:rFonts w:eastAsiaTheme="minorEastAsia"/>
          <w:color w:val="000000" w:themeColor="text1"/>
          <w:kern w:val="24"/>
        </w:rPr>
        <w:t>2.812:</w:t>
      </w:r>
      <w:r>
        <w:rPr>
          <w:rFonts w:eastAsiaTheme="minorEastAsia"/>
          <w:color w:val="000000" w:themeColor="text1"/>
          <w:kern w:val="24"/>
        </w:rPr>
        <w:t xml:space="preserve"> </w:t>
      </w:r>
      <w:r w:rsidR="00D5718E">
        <w:rPr>
          <w:rFonts w:eastAsiaTheme="minorEastAsia"/>
          <w:color w:val="000000" w:themeColor="text1"/>
          <w:kern w:val="24"/>
        </w:rPr>
        <w:t>*</w:t>
      </w:r>
      <w:r w:rsidRPr="00D5718E">
        <w:rPr>
          <w:rFonts w:eastAsiaTheme="minorEastAsia"/>
          <w:i/>
          <w:iCs/>
          <w:color w:val="000000" w:themeColor="text1"/>
          <w:kern w:val="24"/>
        </w:rPr>
        <w:t>p</w:t>
      </w:r>
      <w:r w:rsidRPr="00D5718E">
        <w:rPr>
          <w:rFonts w:eastAsiaTheme="minorEastAsia"/>
          <w:color w:val="000000" w:themeColor="text1"/>
          <w:kern w:val="24"/>
        </w:rPr>
        <w:t>&lt;0.05</w:t>
      </w:r>
      <w:r>
        <w:rPr>
          <w:rFonts w:eastAsiaTheme="minorEastAsia"/>
          <w:color w:val="000000" w:themeColor="text1"/>
          <w:kern w:val="24"/>
        </w:rPr>
        <w:t xml:space="preserve"> (0.0482)</w:t>
      </w:r>
      <w:r w:rsidR="00BA1DF8">
        <w:rPr>
          <w:rFonts w:eastAsiaTheme="minorEastAsia"/>
          <w:color w:val="000000" w:themeColor="text1"/>
          <w:kern w:val="24"/>
        </w:rPr>
        <w:t>.</w:t>
      </w:r>
    </w:p>
    <w:p w14:paraId="699C5090" w14:textId="77777777" w:rsidR="00BA1DF8" w:rsidRDefault="00BA1DF8" w:rsidP="006A26E1">
      <w:pPr>
        <w:pStyle w:val="NormalWeb"/>
        <w:spacing w:before="0" w:beforeAutospacing="0" w:after="0" w:afterAutospacing="0"/>
        <w:jc w:val="both"/>
        <w:rPr>
          <w:rFonts w:eastAsiaTheme="minorEastAsia"/>
          <w:color w:val="000000" w:themeColor="text1"/>
          <w:kern w:val="24"/>
        </w:rPr>
      </w:pPr>
    </w:p>
    <w:p w14:paraId="488AF565" w14:textId="3DA1467B" w:rsidR="00BA1DF8" w:rsidRDefault="00BA1DF8" w:rsidP="00BA1DF8">
      <w:pPr>
        <w:pStyle w:val="NormalWeb"/>
        <w:spacing w:before="0" w:beforeAutospacing="0" w:after="160" w:afterAutospacing="0" w:line="256" w:lineRule="auto"/>
        <w:jc w:val="both"/>
        <w:rPr>
          <w:rFonts w:eastAsia="Calibri" w:cs="Arial"/>
          <w:color w:val="000000" w:themeColor="text1"/>
          <w:kern w:val="24"/>
        </w:rPr>
      </w:pPr>
      <w:r>
        <w:rPr>
          <w:rFonts w:eastAsia="Calibri" w:cs="Arial"/>
          <w:b/>
          <w:bCs/>
          <w:color w:val="000000" w:themeColor="text1"/>
          <w:kern w:val="24"/>
        </w:rPr>
        <w:t xml:space="preserve">Supplementary Fig. 3. MHY1485 inhibits autophagy via mTOR-dependent inactivation of ATG13. (A) </w:t>
      </w:r>
      <w:r>
        <w:rPr>
          <w:rFonts w:eastAsia="Calibri" w:cs="Arial"/>
          <w:color w:val="000000" w:themeColor="text1"/>
          <w:kern w:val="24"/>
        </w:rPr>
        <w:t xml:space="preserve">HEK293T cells were co-transfected </w:t>
      </w:r>
      <w:r w:rsidR="00C20A70">
        <w:rPr>
          <w:rFonts w:eastAsia="Calibri" w:cs="Arial"/>
          <w:color w:val="000000" w:themeColor="text1"/>
          <w:kern w:val="24"/>
        </w:rPr>
        <w:fldChar w:fldCharType="begin"/>
      </w:r>
      <w:r w:rsidR="007A59E2">
        <w:rPr>
          <w:rFonts w:eastAsia="Calibri" w:cs="Arial"/>
          <w:color w:val="000000" w:themeColor="text1"/>
          <w:kern w:val="24"/>
        </w:rPr>
        <w:instrText xml:space="preserve"> ADDIN EN.CITE &lt;EndNote&gt;&lt;Cite&gt;&lt;Author&gt;Roy&lt;/Author&gt;&lt;Year&gt;2013&lt;/Year&gt;&lt;RecNum&gt;60&lt;/RecNum&gt;&lt;DisplayText&gt;&lt;style face="superscript"&gt;2&lt;/style&gt;&lt;/DisplayText&gt;&lt;record&gt;&lt;rec-number&gt;60&lt;/rec-number&gt;&lt;foreign-keys&gt;&lt;key app="EN" db-id="fw00vx2vcs50sgev0wovravjf29zvrwar5ts" timestamp="1711390774"&gt;60&lt;/key&gt;&lt;/foreign-keys&gt;&lt;ref-type name="Journal Article"&gt;17&lt;/ref-type&gt;&lt;contributors&gt;&lt;authors&gt;&lt;author&gt;Roy, Avik&lt;/author&gt;&lt;author&gt;Jana, Malabendu&lt;/author&gt;&lt;author&gt;Corbett, Grant T&lt;/author&gt;&lt;author&gt;Ramaswamy, Shilpa&lt;/author&gt;&lt;author&gt;Kordower, Jeffrey H&lt;/author&gt;&lt;author&gt;Gonzalez, Frank J&lt;/author&gt;&lt;author&gt;Pahan, Kalipada&lt;/author&gt;&lt;/authors&gt;&lt;/contributors&gt;&lt;titles&gt;&lt;title&gt;Regulation of Cyclic AMP Response Element Binding and Hippocampal Plasticity-Related Genes by Peroxisome Proliferator-Activated Receptor α&lt;/title&gt;&lt;secondary-title&gt;Cell Reports&lt;/secondary-title&gt;&lt;/titles&gt;&lt;periodical&gt;&lt;full-title&gt;Cell Reports&lt;/full-title&gt;&lt;/periodical&gt;&lt;pages&gt;724-737&lt;/pages&gt;&lt;volume&gt;4&lt;/volume&gt;&lt;number&gt;4&lt;/number&gt;&lt;dates&gt;&lt;year&gt;2013&lt;/year&gt;&lt;pub-dates&gt;&lt;date&gt;2013/08/29/&lt;/date&gt;&lt;/pub-dates&gt;&lt;/dates&gt;&lt;isbn&gt;2211-1247&lt;/isbn&gt;&lt;urls&gt;&lt;related-urls&gt;&lt;url&gt;https://www.sciencedirect.com/science/article/pii/S2211124713003902&lt;/url&gt;&lt;/related-urls&gt;&lt;/urls&gt;&lt;electronic-resource-num&gt;https://doi.org/10.1016/j.celrep.2013.07.028&lt;/electronic-resource-num&gt;&lt;/record&gt;&lt;/Cite&gt;&lt;/EndNote&gt;</w:instrText>
      </w:r>
      <w:r w:rsidR="00C20A70">
        <w:rPr>
          <w:rFonts w:eastAsia="Calibri" w:cs="Arial"/>
          <w:color w:val="000000" w:themeColor="text1"/>
          <w:kern w:val="24"/>
        </w:rPr>
        <w:fldChar w:fldCharType="separate"/>
      </w:r>
      <w:r w:rsidR="007A59E2" w:rsidRPr="007A59E2">
        <w:rPr>
          <w:rFonts w:eastAsia="Calibri" w:cs="Arial"/>
          <w:noProof/>
          <w:color w:val="000000" w:themeColor="text1"/>
          <w:kern w:val="24"/>
          <w:vertAlign w:val="superscript"/>
        </w:rPr>
        <w:t>2</w:t>
      </w:r>
      <w:r w:rsidR="00C20A70">
        <w:rPr>
          <w:rFonts w:eastAsia="Calibri" w:cs="Arial"/>
          <w:color w:val="000000" w:themeColor="text1"/>
          <w:kern w:val="24"/>
        </w:rPr>
        <w:fldChar w:fldCharType="end"/>
      </w:r>
      <w:r w:rsidR="00C20A70">
        <w:rPr>
          <w:rFonts w:eastAsia="Calibri" w:cs="Arial"/>
          <w:color w:val="000000" w:themeColor="text1"/>
          <w:kern w:val="24"/>
        </w:rPr>
        <w:t xml:space="preserve"> </w:t>
      </w:r>
      <w:r>
        <w:rPr>
          <w:rFonts w:eastAsia="Calibri" w:cs="Arial"/>
          <w:color w:val="000000" w:themeColor="text1"/>
          <w:kern w:val="24"/>
        </w:rPr>
        <w:t>with FLAG-ATG13 and HA-ULK1</w:t>
      </w:r>
      <w:r>
        <w:rPr>
          <w:rFonts w:eastAsia="Calibri" w:cs="Arial"/>
          <w:b/>
          <w:bCs/>
          <w:color w:val="000000" w:themeColor="text1"/>
          <w:kern w:val="24"/>
        </w:rPr>
        <w:t xml:space="preserve"> </w:t>
      </w:r>
      <w:r>
        <w:rPr>
          <w:rFonts w:eastAsia="Calibri" w:cs="Arial"/>
          <w:color w:val="000000" w:themeColor="text1"/>
          <w:kern w:val="24"/>
        </w:rPr>
        <w:t>for 24 hrs followed by serum starvation for another 24 hrs. After 24 hrs of starvation, 2 and 5 µM MHY1485 (MHY) were treated for another 5 hours and analyzed for immunoprecipitation (IP) followed by immunoblot (IB) analyses. (</w:t>
      </w:r>
      <w:r>
        <w:rPr>
          <w:rFonts w:eastAsia="Calibri" w:cs="Arial"/>
          <w:b/>
          <w:bCs/>
          <w:color w:val="000000" w:themeColor="text1"/>
          <w:kern w:val="24"/>
        </w:rPr>
        <w:t>B</w:t>
      </w:r>
      <w:r>
        <w:rPr>
          <w:rFonts w:eastAsia="Calibri" w:cs="Arial"/>
          <w:color w:val="000000" w:themeColor="text1"/>
          <w:kern w:val="24"/>
        </w:rPr>
        <w:t xml:space="preserve">) HEK293T cells were transfected with GFP-tagged LC3 (autophagy marker) after 24 hrs of serum-starvation and then after another 24 hrs, cells were treated with 5 µM MHY for 5 hrs and then stained with Red DND-99 LysoTracker (lysosomal marker). Cells were imaged under FITC (GFP-LC3) and TRITC (LysoTracker) filters of a fluorescence microscope. Similar reactions were set up in a 96-well plate with increasing doses of MHY followed by quantitative fluorescence readings for </w:t>
      </w:r>
      <w:r>
        <w:rPr>
          <w:rFonts w:eastAsia="Calibri" w:cs="Arial"/>
          <w:b/>
          <w:bCs/>
          <w:color w:val="000000" w:themeColor="text1"/>
          <w:kern w:val="24"/>
        </w:rPr>
        <w:t>(C)</w:t>
      </w:r>
      <w:r>
        <w:rPr>
          <w:rFonts w:eastAsia="Calibri" w:cs="Arial"/>
          <w:color w:val="000000" w:themeColor="text1"/>
          <w:kern w:val="24"/>
        </w:rPr>
        <w:t xml:space="preserve"> eGFP-LC3 and </w:t>
      </w:r>
      <w:r>
        <w:rPr>
          <w:rFonts w:eastAsia="Calibri" w:cs="Arial"/>
          <w:b/>
          <w:bCs/>
          <w:color w:val="000000" w:themeColor="text1"/>
          <w:kern w:val="24"/>
        </w:rPr>
        <w:t>(D)</w:t>
      </w:r>
      <w:r>
        <w:rPr>
          <w:rFonts w:eastAsia="Calibri" w:cs="Arial"/>
          <w:color w:val="000000" w:themeColor="text1"/>
          <w:kern w:val="24"/>
        </w:rPr>
        <w:t xml:space="preserve"> lysosomes. </w:t>
      </w:r>
      <w:r>
        <w:rPr>
          <w:rFonts w:eastAsia="Calibri" w:cs="Arial"/>
          <w:b/>
          <w:bCs/>
          <w:color w:val="000000" w:themeColor="text1"/>
          <w:kern w:val="24"/>
        </w:rPr>
        <w:t xml:space="preserve">(E) </w:t>
      </w:r>
      <w:r>
        <w:rPr>
          <w:rFonts w:eastAsia="Calibri" w:cs="Arial"/>
          <w:color w:val="000000" w:themeColor="text1"/>
          <w:kern w:val="24"/>
        </w:rPr>
        <w:t>Three-to-four weeks’ old female mice were food-deprived for 24 hrs and then treated with vehicle ( n=3) and MHY1485 (n=3) followed by LC3 immunoblot analysis. (</w:t>
      </w:r>
      <w:r w:rsidR="00DD5951" w:rsidRPr="00DD5951">
        <w:rPr>
          <w:rFonts w:eastAsia="Calibri" w:cs="Arial"/>
          <w:b/>
          <w:bCs/>
          <w:color w:val="000000" w:themeColor="text1"/>
          <w:kern w:val="24"/>
        </w:rPr>
        <w:t>F</w:t>
      </w:r>
      <w:r>
        <w:rPr>
          <w:rFonts w:eastAsia="Calibri" w:cs="Arial"/>
          <w:color w:val="000000" w:themeColor="text1"/>
          <w:kern w:val="24"/>
        </w:rPr>
        <w:t>) Densitometric analysis was performed after normalizing with beta-actin immunoblot. Results are displayed as mean ± SD of three different experiments.</w:t>
      </w:r>
    </w:p>
    <w:p w14:paraId="01BCC179" w14:textId="4111D19A" w:rsidR="0099771D" w:rsidRDefault="0099771D" w:rsidP="0099771D">
      <w:pPr>
        <w:pStyle w:val="NormalWeb"/>
        <w:spacing w:before="0" w:beforeAutospacing="0" w:after="0" w:afterAutospacing="0"/>
        <w:jc w:val="both"/>
        <w:rPr>
          <w:rFonts w:eastAsiaTheme="minorEastAsia"/>
          <w:color w:val="000000" w:themeColor="text1"/>
          <w:kern w:val="24"/>
        </w:rPr>
      </w:pPr>
      <w:r>
        <w:rPr>
          <w:rFonts w:eastAsiaTheme="minorEastAsia"/>
          <w:b/>
          <w:bCs/>
          <w:color w:val="000000" w:themeColor="text1"/>
          <w:kern w:val="24"/>
        </w:rPr>
        <w:t xml:space="preserve">Supplementary Fig. 4. Quantification analysis of Autophagosomes. </w:t>
      </w:r>
      <w:r>
        <w:rPr>
          <w:rFonts w:eastAsiaTheme="minorEastAsia"/>
          <w:color w:val="000000" w:themeColor="text1"/>
          <w:kern w:val="24"/>
        </w:rPr>
        <w:t xml:space="preserve">Ten images from n=5 mice per group (2 images/mouse) were evaluated for the quantification of WDFY3-ir autophagosomes. Briefly, images were opened in CaptaVision+ software (Accu-Scope Inc.). The scale bar was calibrated to 6 pixels/µm unit and the total area of the image was calculated. Under the measure tool, manual class counting was selected. After that, the cursor was clicked in each autophagosome. After counting, the total number of counts was divided by the area and the final results were displayed by a scatter histogram. Results are mean ± SD of three experiments. An unpaired t-test </w:t>
      </w:r>
      <w:r>
        <w:rPr>
          <w:rFonts w:eastAsiaTheme="minorEastAsia"/>
          <w:color w:val="000000" w:themeColor="text1"/>
          <w:kern w:val="24"/>
        </w:rPr>
        <w:lastRenderedPageBreak/>
        <w:t>was conducted to test the significance of the mean between two groups that generated T</w:t>
      </w:r>
      <w:r>
        <w:rPr>
          <w:rFonts w:eastAsiaTheme="minorEastAsia"/>
          <w:color w:val="000000" w:themeColor="text1"/>
          <w:kern w:val="24"/>
          <w:position w:val="-6"/>
          <w:vertAlign w:val="subscript"/>
        </w:rPr>
        <w:t xml:space="preserve">1,18 </w:t>
      </w:r>
      <w:r>
        <w:rPr>
          <w:rFonts w:eastAsiaTheme="minorEastAsia"/>
          <w:color w:val="000000" w:themeColor="text1"/>
          <w:kern w:val="24"/>
        </w:rPr>
        <w:t>=</w:t>
      </w:r>
      <w:r w:rsidR="001C4425">
        <w:rPr>
          <w:rFonts w:eastAsiaTheme="minorEastAsia"/>
          <w:color w:val="000000" w:themeColor="text1"/>
          <w:kern w:val="24"/>
        </w:rPr>
        <w:t>8.159:</w:t>
      </w:r>
      <w:r>
        <w:rPr>
          <w:rFonts w:eastAsiaTheme="minorEastAsia"/>
          <w:color w:val="000000" w:themeColor="text1"/>
          <w:kern w:val="24"/>
        </w:rPr>
        <w:t xml:space="preserve"> </w:t>
      </w:r>
      <w:r>
        <w:rPr>
          <w:rFonts w:eastAsiaTheme="minorEastAsia"/>
          <w:color w:val="000000" w:themeColor="text1"/>
          <w:kern w:val="24"/>
          <w:position w:val="7"/>
          <w:vertAlign w:val="superscript"/>
        </w:rPr>
        <w:t>****</w:t>
      </w:r>
      <w:r>
        <w:rPr>
          <w:rFonts w:eastAsiaTheme="minorEastAsia"/>
          <w:color w:val="000000" w:themeColor="text1"/>
          <w:kern w:val="24"/>
        </w:rPr>
        <w:t>p&lt;0.0001.</w:t>
      </w:r>
    </w:p>
    <w:p w14:paraId="2CDBC7BA" w14:textId="77777777" w:rsidR="004857B5" w:rsidRDefault="004857B5" w:rsidP="0099771D">
      <w:pPr>
        <w:pStyle w:val="NormalWeb"/>
        <w:spacing w:before="0" w:beforeAutospacing="0" w:after="0" w:afterAutospacing="0"/>
        <w:jc w:val="both"/>
      </w:pPr>
    </w:p>
    <w:p w14:paraId="2F1DCE44" w14:textId="77777777" w:rsidR="004857B5" w:rsidRDefault="004857B5" w:rsidP="004857B5">
      <w:pPr>
        <w:pStyle w:val="NormalWeb"/>
        <w:spacing w:before="0" w:beforeAutospacing="0" w:after="0" w:afterAutospacing="0"/>
        <w:jc w:val="both"/>
        <w:rPr>
          <w:rFonts w:eastAsiaTheme="minorEastAsia"/>
          <w:color w:val="000000" w:themeColor="text1"/>
          <w:kern w:val="24"/>
        </w:rPr>
      </w:pPr>
      <w:r>
        <w:rPr>
          <w:rFonts w:eastAsiaTheme="minorEastAsia"/>
          <w:b/>
          <w:bCs/>
          <w:color w:val="000000" w:themeColor="text1"/>
          <w:kern w:val="24"/>
        </w:rPr>
        <w:t xml:space="preserve">Supplementary Fig. 5. The correlation between infiltration of macrophages and autophagy in the muscle tissue of MHY1485-fed mice. (A) </w:t>
      </w:r>
      <w:r>
        <w:rPr>
          <w:rFonts w:eastAsiaTheme="minorEastAsia"/>
          <w:color w:val="000000" w:themeColor="text1"/>
          <w:kern w:val="24"/>
        </w:rPr>
        <w:t>Biceps femoris muscle tissue sections of vehicle- and 5mg/Kg MHY1485-fed mice (n=5) were dual immunostained with IBA1 (green) and WDFY3 (red). Nuclei were stained with DAPI (blue). (</w:t>
      </w:r>
      <w:r>
        <w:rPr>
          <w:rFonts w:eastAsiaTheme="minorEastAsia"/>
          <w:i/>
          <w:iCs/>
          <w:color w:val="000000" w:themeColor="text1"/>
          <w:kern w:val="24"/>
        </w:rPr>
        <w:t>i-ii</w:t>
      </w:r>
      <w:r>
        <w:rPr>
          <w:rFonts w:eastAsiaTheme="minorEastAsia"/>
          <w:color w:val="000000" w:themeColor="text1"/>
          <w:kern w:val="24"/>
        </w:rPr>
        <w:t>) Regions enclosed in dotted rectangles were magnified and shown below. (</w:t>
      </w:r>
      <w:r>
        <w:rPr>
          <w:rFonts w:eastAsiaTheme="minorEastAsia"/>
          <w:b/>
          <w:bCs/>
          <w:color w:val="000000" w:themeColor="text1"/>
          <w:kern w:val="24"/>
        </w:rPr>
        <w:t>B</w:t>
      </w:r>
      <w:r>
        <w:rPr>
          <w:rFonts w:eastAsiaTheme="minorEastAsia"/>
          <w:color w:val="000000" w:themeColor="text1"/>
          <w:kern w:val="24"/>
        </w:rPr>
        <w:t xml:space="preserve">) Total 11 images were randomly selected from vehicle- (n = 5 images) and MHY1485- (n=6 images) treated groups, counted for WDFY3-ir and IBA1-ir cells per sq mm tissue, and then correlated by parametric Pearson correlation analysis in GraphPad Prism software.  </w:t>
      </w:r>
    </w:p>
    <w:p w14:paraId="0050FFCF" w14:textId="77777777" w:rsidR="001C4425" w:rsidRDefault="001C4425" w:rsidP="004857B5">
      <w:pPr>
        <w:pStyle w:val="NormalWeb"/>
        <w:spacing w:before="0" w:beforeAutospacing="0" w:after="0" w:afterAutospacing="0"/>
        <w:jc w:val="both"/>
      </w:pPr>
    </w:p>
    <w:p w14:paraId="7670B1FB" w14:textId="7C216117" w:rsidR="004857B5" w:rsidRDefault="00B41E4C" w:rsidP="00BA1DF8">
      <w:pPr>
        <w:pStyle w:val="NormalWeb"/>
        <w:spacing w:before="0" w:beforeAutospacing="0" w:after="160" w:afterAutospacing="0" w:line="256" w:lineRule="auto"/>
        <w:jc w:val="both"/>
        <w:rPr>
          <w:rFonts w:eastAsiaTheme="minorEastAsia"/>
          <w:color w:val="000000" w:themeColor="text1"/>
          <w:kern w:val="24"/>
        </w:rPr>
      </w:pPr>
      <w:r>
        <w:rPr>
          <w:rFonts w:eastAsiaTheme="minorEastAsia"/>
          <w:b/>
          <w:bCs/>
          <w:color w:val="000000" w:themeColor="text1"/>
          <w:kern w:val="24"/>
        </w:rPr>
        <w:t xml:space="preserve">Supplementary Fig. 6. mTOR siRNA attenuates MHY1485-mediated upregulations of IL6 and RANTES. (A) </w:t>
      </w:r>
      <w:r>
        <w:rPr>
          <w:rFonts w:eastAsiaTheme="minorEastAsia"/>
          <w:color w:val="000000" w:themeColor="text1"/>
          <w:kern w:val="24"/>
        </w:rPr>
        <w:t>C20 human microglial cells were treated with mTOR siRNA (Cat #AM16708; ThermoFisher) followed by the treatment with DMSO (control) and 5 µM MHY1485. After another 24 hours, mRNA was isolated and amplified for mTOR (product length = 357 bp;  Sense primer: 5’ TCCCCTCCAATGACCCAGTT 3’; Anti-sense primer: 5’</w:t>
      </w:r>
      <w:r>
        <w:rPr>
          <w:rFonts w:eastAsiaTheme="minorEastAsia"/>
          <w:color w:val="222222"/>
          <w:kern w:val="24"/>
        </w:rPr>
        <w:t xml:space="preserve"> ACCACTGAGGCTTCTGCATC </w:t>
      </w:r>
      <w:r>
        <w:rPr>
          <w:rFonts w:eastAsiaTheme="minorEastAsia"/>
          <w:color w:val="000000" w:themeColor="text1"/>
          <w:kern w:val="24"/>
        </w:rPr>
        <w:t>3’) and GAPDH.</w:t>
      </w:r>
      <w:r>
        <w:rPr>
          <w:rFonts w:eastAsiaTheme="minorEastAsia"/>
          <w:b/>
          <w:bCs/>
          <w:color w:val="000000" w:themeColor="text1"/>
          <w:kern w:val="24"/>
        </w:rPr>
        <w:t xml:space="preserve"> (B) </w:t>
      </w:r>
      <w:r>
        <w:rPr>
          <w:rFonts w:eastAsiaTheme="minorEastAsia"/>
          <w:color w:val="000000" w:themeColor="text1"/>
          <w:kern w:val="24"/>
        </w:rPr>
        <w:t xml:space="preserve">Real-time mRNA quantification of mTOR was performed by the SYBRGREEN method. ELISA analyses of </w:t>
      </w:r>
      <w:r>
        <w:rPr>
          <w:rFonts w:eastAsiaTheme="minorEastAsia"/>
          <w:b/>
          <w:bCs/>
          <w:color w:val="000000" w:themeColor="text1"/>
          <w:kern w:val="24"/>
        </w:rPr>
        <w:t xml:space="preserve">(C) </w:t>
      </w:r>
      <w:r>
        <w:rPr>
          <w:rFonts w:eastAsiaTheme="minorEastAsia"/>
          <w:color w:val="000000" w:themeColor="text1"/>
          <w:kern w:val="24"/>
        </w:rPr>
        <w:t xml:space="preserve">IL6 and </w:t>
      </w:r>
      <w:r>
        <w:rPr>
          <w:rFonts w:eastAsiaTheme="minorEastAsia"/>
          <w:b/>
          <w:bCs/>
          <w:color w:val="000000" w:themeColor="text1"/>
          <w:kern w:val="24"/>
        </w:rPr>
        <w:t xml:space="preserve">(D) </w:t>
      </w:r>
      <w:r>
        <w:rPr>
          <w:rFonts w:eastAsiaTheme="minorEastAsia"/>
          <w:color w:val="000000" w:themeColor="text1"/>
          <w:kern w:val="24"/>
        </w:rPr>
        <w:t xml:space="preserve">RANTES were performed after 48 hrs of 5 µM MHY1485 treatment in </w:t>
      </w:r>
      <w:r>
        <w:rPr>
          <w:rFonts w:eastAsiaTheme="minorEastAsia"/>
          <w:i/>
          <w:iCs/>
          <w:color w:val="000000" w:themeColor="text1"/>
          <w:kern w:val="24"/>
        </w:rPr>
        <w:t>mtor</w:t>
      </w:r>
      <w:r>
        <w:rPr>
          <w:rFonts w:eastAsiaTheme="minorEastAsia"/>
          <w:color w:val="000000" w:themeColor="text1"/>
          <w:kern w:val="24"/>
        </w:rPr>
        <w:t xml:space="preserve"> siRNA-transfected C20 microglia cells. Results are mean ± SD of three different experiments. An unpaired t-test was performed to test the significance of the mean between groups that resulted  *p&lt;0.05 (=0.027; t =3.412) vs. IL6 of MHY-treated cells and **p&lt;0.01 ( =0.0031; t=6.367) versus RANTES of MHY-treated cells.</w:t>
      </w:r>
    </w:p>
    <w:p w14:paraId="29FFD9E4" w14:textId="2EE4CD14" w:rsidR="00272594" w:rsidRDefault="00272594" w:rsidP="00272594">
      <w:pPr>
        <w:pStyle w:val="NormalWeb"/>
        <w:spacing w:before="0" w:beforeAutospacing="0" w:after="0" w:afterAutospacing="0"/>
        <w:jc w:val="both"/>
        <w:rPr>
          <w:rFonts w:eastAsia="+mn-ea"/>
          <w:color w:val="000000"/>
          <w:kern w:val="24"/>
        </w:rPr>
      </w:pPr>
      <w:r>
        <w:rPr>
          <w:rFonts w:eastAsia="+mn-ea"/>
          <w:b/>
          <w:bCs/>
          <w:color w:val="000000"/>
          <w:kern w:val="24"/>
        </w:rPr>
        <w:t xml:space="preserve">Supplementary Fig. 7. Comparative analyses of gross movement and neurocognitive skill of female non-transgenic (NTg), MHY1485, and Tg-ATG13 mice . </w:t>
      </w:r>
      <w:r>
        <w:rPr>
          <w:rFonts w:eastAsia="+mn-ea"/>
          <w:color w:val="000000"/>
          <w:kern w:val="24"/>
        </w:rPr>
        <w:t xml:space="preserve">(A) N =10 mice/group were analyzed for average speed -1 , 0 , and 2 days after treadmill exercise in open-field gross movement activity test.  (B) N=8 mice/group were analyzed for making errors in Barnes maze analysis of spatial learning and memory. (C) Representative image for the performances of NTg, MHY1485-fed, and Tg mice in Barnes maze after 2 days post-treadmill exercise.  One-way ANOVA </w:t>
      </w:r>
      <w:r w:rsidR="00CB4D08">
        <w:rPr>
          <w:rFonts w:eastAsia="+mn-ea"/>
          <w:color w:val="000000"/>
          <w:kern w:val="24"/>
        </w:rPr>
        <w:t xml:space="preserve">followed by Tukey’s post-hoc </w:t>
      </w:r>
      <w:r w:rsidR="00EB092B">
        <w:rPr>
          <w:rFonts w:eastAsia="+mn-ea"/>
          <w:color w:val="000000"/>
          <w:kern w:val="24"/>
        </w:rPr>
        <w:t>analysis had been</w:t>
      </w:r>
      <w:r>
        <w:rPr>
          <w:rFonts w:eastAsia="+mn-ea"/>
          <w:color w:val="000000"/>
          <w:kern w:val="24"/>
        </w:rPr>
        <w:t xml:space="preserve"> performed to test the significance of mean between groups. A Pair-wise comparison analysis revealed  ***p&lt;0.001 between groups. Ns = no significance. Results are mean ± SD of three different experiments.</w:t>
      </w:r>
    </w:p>
    <w:p w14:paraId="1E14F503" w14:textId="77777777" w:rsidR="00643690" w:rsidRDefault="00643690" w:rsidP="00272594">
      <w:pPr>
        <w:pStyle w:val="NormalWeb"/>
        <w:spacing w:before="0" w:beforeAutospacing="0" w:after="0" w:afterAutospacing="0"/>
        <w:jc w:val="both"/>
      </w:pPr>
    </w:p>
    <w:p w14:paraId="3978B42F" w14:textId="77777777" w:rsidR="00643690" w:rsidRDefault="00643690" w:rsidP="00643690">
      <w:pPr>
        <w:pStyle w:val="NormalWeb"/>
        <w:spacing w:before="0" w:beforeAutospacing="0" w:after="0" w:afterAutospacing="0"/>
        <w:jc w:val="both"/>
        <w:rPr>
          <w:rFonts w:eastAsia="+mn-ea"/>
          <w:color w:val="000000"/>
          <w:kern w:val="24"/>
        </w:rPr>
      </w:pPr>
      <w:r>
        <w:rPr>
          <w:rFonts w:eastAsia="+mn-ea"/>
          <w:b/>
          <w:bCs/>
          <w:color w:val="000000"/>
          <w:kern w:val="24"/>
        </w:rPr>
        <w:t xml:space="preserve">Supplementary Fig. 8. Expression of atg13 mRNA in muscle tissue of NTg and Tg-ATG13 mice. (A) </w:t>
      </w:r>
      <w:r>
        <w:rPr>
          <w:rFonts w:eastAsia="+mn-ea"/>
          <w:color w:val="000000"/>
          <w:kern w:val="24"/>
        </w:rPr>
        <w:t>Muscle tissue biopsies were lysed by Trizol cell lysis  buffer followed by the isolation of mRNA and then amplified for atg13 (product length = 473 bp;  Sense primer: 5’ CTGGCCTTTTCCCATCAACTCT 3’; Anti-sense primer: 5’</w:t>
      </w:r>
      <w:r>
        <w:rPr>
          <w:rFonts w:eastAsia="+mn-ea"/>
          <w:color w:val="222222"/>
          <w:kern w:val="24"/>
        </w:rPr>
        <w:t xml:space="preserve"> TCCGGGGGATTCACCATAGG </w:t>
      </w:r>
      <w:r>
        <w:rPr>
          <w:rFonts w:eastAsia="+mn-ea"/>
          <w:color w:val="000000"/>
          <w:kern w:val="24"/>
        </w:rPr>
        <w:t>3’) and GAPDH.</w:t>
      </w:r>
      <w:r>
        <w:rPr>
          <w:rFonts w:eastAsia="+mn-ea"/>
          <w:b/>
          <w:bCs/>
          <w:color w:val="000000"/>
          <w:kern w:val="24"/>
        </w:rPr>
        <w:t xml:space="preserve"> (B) </w:t>
      </w:r>
      <w:r>
        <w:rPr>
          <w:rFonts w:eastAsia="+mn-ea"/>
          <w:color w:val="000000"/>
          <w:kern w:val="24"/>
        </w:rPr>
        <w:t>Real-time mRNA quantification of atg13 was performed by the SYBRGREEN method. An unpaired t-test was performed to test the significance of the mean between groups that resulted  *p&lt;0.05 (=0.019; t</w:t>
      </w:r>
      <w:r>
        <w:rPr>
          <w:rFonts w:eastAsia="+mn-ea"/>
          <w:color w:val="000000"/>
          <w:kern w:val="24"/>
          <w:position w:val="-6"/>
          <w:vertAlign w:val="subscript"/>
        </w:rPr>
        <w:t>1,8</w:t>
      </w:r>
      <w:r>
        <w:rPr>
          <w:rFonts w:eastAsia="+mn-ea"/>
          <w:color w:val="000000"/>
          <w:kern w:val="24"/>
        </w:rPr>
        <w:t xml:space="preserve"> =2.951) vs. NTg.</w:t>
      </w:r>
    </w:p>
    <w:p w14:paraId="0B97369E" w14:textId="77777777" w:rsidR="001C4425" w:rsidRDefault="001C4425" w:rsidP="00643690">
      <w:pPr>
        <w:pStyle w:val="NormalWeb"/>
        <w:spacing w:before="0" w:beforeAutospacing="0" w:after="0" w:afterAutospacing="0"/>
        <w:jc w:val="both"/>
      </w:pPr>
    </w:p>
    <w:p w14:paraId="2BC1A284" w14:textId="77777777" w:rsidR="00095568" w:rsidRDefault="001C4425" w:rsidP="001C4425">
      <w:pPr>
        <w:pStyle w:val="NormalWeb"/>
        <w:spacing w:before="0" w:beforeAutospacing="0" w:after="0" w:afterAutospacing="0"/>
        <w:jc w:val="both"/>
        <w:rPr>
          <w:rFonts w:eastAsia="Calibri"/>
          <w:color w:val="000000"/>
          <w:kern w:val="24"/>
        </w:rPr>
      </w:pPr>
      <w:r>
        <w:rPr>
          <w:rFonts w:eastAsia="Calibri"/>
          <w:b/>
          <w:bCs/>
          <w:color w:val="000000"/>
          <w:kern w:val="24"/>
        </w:rPr>
        <w:t xml:space="preserve">Supplementary Fig. 9. Bielschowsky’s staining for myelinated nerve fibers in skeletal muscle tissue. </w:t>
      </w:r>
      <w:r>
        <w:rPr>
          <w:rFonts w:eastAsia="Calibri"/>
          <w:color w:val="000000"/>
          <w:kern w:val="24"/>
        </w:rPr>
        <w:t xml:space="preserve">Transverse sections of muscle tissue  (n=3 /group)were stained </w:t>
      </w:r>
    </w:p>
    <w:p w14:paraId="62DBA5B0" w14:textId="420DF01F" w:rsidR="001C4425" w:rsidRDefault="001C4425" w:rsidP="001C4425">
      <w:pPr>
        <w:pStyle w:val="NormalWeb"/>
        <w:spacing w:before="0" w:beforeAutospacing="0" w:after="0" w:afterAutospacing="0"/>
        <w:jc w:val="both"/>
        <w:rPr>
          <w:rFonts w:eastAsia="Calibri"/>
          <w:color w:val="000000"/>
          <w:kern w:val="24"/>
        </w:rPr>
      </w:pPr>
      <w:r>
        <w:rPr>
          <w:rFonts w:eastAsia="Calibri"/>
          <w:color w:val="000000"/>
          <w:kern w:val="24"/>
        </w:rPr>
        <w:lastRenderedPageBreak/>
        <w:t>by Bielschowsky's staining to show myelinated axonal fibers (red arrowhead indicating nerve fibers) in muscle fibers in wild-type (upper panel) and Tg-ATG13 mice (lower panel). (</w:t>
      </w:r>
      <w:r>
        <w:rPr>
          <w:rFonts w:eastAsia="Calibri"/>
          <w:b/>
          <w:bCs/>
          <w:i/>
          <w:iCs/>
          <w:color w:val="000000"/>
          <w:kern w:val="24"/>
        </w:rPr>
        <w:t>Inset)</w:t>
      </w:r>
      <w:r>
        <w:rPr>
          <w:rFonts w:eastAsia="Calibri"/>
          <w:color w:val="000000"/>
          <w:kern w:val="24"/>
        </w:rPr>
        <w:t xml:space="preserve"> Magnified images.</w:t>
      </w:r>
    </w:p>
    <w:p w14:paraId="4BB412AE" w14:textId="77777777" w:rsidR="00455C58" w:rsidRDefault="00455C58" w:rsidP="001C4425">
      <w:pPr>
        <w:pStyle w:val="NormalWeb"/>
        <w:spacing w:before="0" w:beforeAutospacing="0" w:after="0" w:afterAutospacing="0"/>
        <w:jc w:val="both"/>
        <w:rPr>
          <w:rFonts w:eastAsia="Calibri"/>
          <w:color w:val="000000"/>
          <w:kern w:val="24"/>
        </w:rPr>
      </w:pPr>
    </w:p>
    <w:p w14:paraId="0EF040B1" w14:textId="58D9419B" w:rsidR="00455C58" w:rsidRDefault="00455C58" w:rsidP="001C4425">
      <w:pPr>
        <w:pStyle w:val="NormalWeb"/>
        <w:spacing w:before="0" w:beforeAutospacing="0" w:after="0" w:afterAutospacing="0"/>
        <w:jc w:val="both"/>
      </w:pPr>
      <w:r w:rsidRPr="00455C58">
        <w:rPr>
          <w:rFonts w:eastAsia="Calibri"/>
          <w:b/>
          <w:bCs/>
          <w:color w:val="000000"/>
          <w:kern w:val="24"/>
        </w:rPr>
        <w:t>Supplementary Fig. 10.</w:t>
      </w:r>
      <w:r>
        <w:rPr>
          <w:rFonts w:eastAsia="Calibri"/>
          <w:color w:val="000000"/>
          <w:kern w:val="24"/>
        </w:rPr>
        <w:t xml:space="preserve"> Full images of raw blots.</w:t>
      </w:r>
    </w:p>
    <w:p w14:paraId="09E768A0" w14:textId="77777777" w:rsidR="00BA1DF8" w:rsidRDefault="00BA1DF8" w:rsidP="006A26E1">
      <w:pPr>
        <w:pStyle w:val="NormalWeb"/>
        <w:spacing w:before="0" w:beforeAutospacing="0" w:after="0" w:afterAutospacing="0"/>
        <w:jc w:val="both"/>
      </w:pPr>
    </w:p>
    <w:p w14:paraId="7CBCDFA3" w14:textId="5EB4F0D8" w:rsidR="0041329E" w:rsidRDefault="0041329E"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FF"/>
          <w:sz w:val="24"/>
          <w:szCs w:val="24"/>
          <w:u w:val="single" w:color="0000FF"/>
          <w:bdr w:val="nil"/>
        </w:rPr>
      </w:pPr>
    </w:p>
    <w:p w14:paraId="5E88786A" w14:textId="77777777" w:rsidR="0041329E" w:rsidRDefault="0041329E">
      <w:pPr>
        <w:rPr>
          <w:rFonts w:ascii="Times New Roman" w:eastAsia="Calibri" w:hAnsi="Times New Roman" w:cs="Times New Roman"/>
          <w:color w:val="0000FF"/>
          <w:sz w:val="24"/>
          <w:szCs w:val="24"/>
          <w:u w:val="single" w:color="0000FF"/>
          <w:bdr w:val="nil"/>
        </w:rPr>
      </w:pPr>
      <w:r>
        <w:rPr>
          <w:rFonts w:ascii="Times New Roman" w:eastAsia="Calibri" w:hAnsi="Times New Roman" w:cs="Times New Roman"/>
          <w:color w:val="0000FF"/>
          <w:sz w:val="24"/>
          <w:szCs w:val="24"/>
          <w:u w:val="single" w:color="0000FF"/>
          <w:bdr w:val="nil"/>
        </w:rPr>
        <w:br w:type="page"/>
      </w:r>
    </w:p>
    <w:p w14:paraId="67AFCF6A" w14:textId="77777777" w:rsidR="005B227B" w:rsidRPr="0011435E" w:rsidRDefault="005B227B" w:rsidP="005B227B">
      <w:pPr>
        <w:pBdr>
          <w:top w:val="nil"/>
          <w:left w:val="nil"/>
          <w:bottom w:val="nil"/>
          <w:right w:val="nil"/>
          <w:between w:val="nil"/>
          <w:bar w:val="nil"/>
        </w:pBdr>
        <w:spacing w:after="0" w:line="240" w:lineRule="auto"/>
        <w:jc w:val="both"/>
        <w:rPr>
          <w:rFonts w:ascii="Times New Roman" w:eastAsia="Calibri" w:hAnsi="Times New Roman" w:cs="Times New Roman"/>
          <w:color w:val="0000FF"/>
          <w:sz w:val="24"/>
          <w:szCs w:val="24"/>
          <w:u w:val="single" w:color="0000FF"/>
          <w:bdr w:val="nil"/>
        </w:rPr>
      </w:pPr>
    </w:p>
    <w:p w14:paraId="1D65657F" w14:textId="0E11382D" w:rsidR="00D5718E" w:rsidRDefault="0044747D">
      <w:r>
        <w:rPr>
          <w:noProof/>
          <w14:ligatures w14:val="standardContextual"/>
        </w:rPr>
        <mc:AlternateContent>
          <mc:Choice Requires="wps">
            <w:drawing>
              <wp:anchor distT="0" distB="0" distL="114300" distR="114300" simplePos="0" relativeHeight="251658242" behindDoc="0" locked="0" layoutInCell="1" allowOverlap="1" wp14:anchorId="39FA46D7" wp14:editId="05523B3F">
                <wp:simplePos x="0" y="0"/>
                <wp:positionH relativeFrom="column">
                  <wp:posOffset>447472</wp:posOffset>
                </wp:positionH>
                <wp:positionV relativeFrom="paragraph">
                  <wp:posOffset>7295583</wp:posOffset>
                </wp:positionV>
                <wp:extent cx="2782111" cy="710119"/>
                <wp:effectExtent l="0" t="0" r="0" b="0"/>
                <wp:wrapNone/>
                <wp:docPr id="858049676"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chemeClr val="lt1"/>
                        </a:solidFill>
                        <a:ln w="6350">
                          <a:noFill/>
                        </a:ln>
                      </wps:spPr>
                      <wps:txbx>
                        <w:txbxContent>
                          <w:p w14:paraId="0CA3B49F" w14:textId="2B625A9A" w:rsidR="0044747D" w:rsidRPr="0044747D" w:rsidRDefault="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Supplementary Fig.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FA46D7" id="_x0000_t202" coordsize="21600,21600" o:spt="202" path="m,l,21600r21600,l21600,xe">
                <v:stroke joinstyle="miter"/>
                <v:path gradientshapeok="t" o:connecttype="rect"/>
              </v:shapetype>
              <v:shape id="Text Box 12" o:spid="_x0000_s1026" type="#_x0000_t202" style="position:absolute;margin-left:35.25pt;margin-top:574.45pt;width:219.05pt;height:55.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W3LAIAAFQEAAAOAAAAZHJzL2Uyb0RvYy54bWysVE1v2zAMvQ/YfxB0X2xnadMacYosRYYB&#10;QVsgHXpWZCk2IIuapMTOfv0o2flYt9Owi0yJ1CP5+OTZQ9cochDW1aALmo1SSoTmUNZ6V9Dvr6tP&#10;d5Q4z3TJFGhR0KNw9GH+8cOsNbkYQwWqFJYgiHZ5awpaeW/yJHG8Eg1zIzBCo1OCbZjHrd0lpWUt&#10;ojcqGafpbdKCLY0FLpzD08feSecRX0rB/bOUTniiCoq1+bjauG7DmsxnLN9ZZqqaD2Wwf6iiYbXG&#10;pGeoR+YZ2dv6D6im5hYcSD/i0CQgZc1F7AG7ydJ33WwqZkTsBclx5kyT+3+w/OmwMS+W+O4LdDjA&#10;QEhrXO7wMPTTSduEL1ZK0I8UHs+0ic4Tjofj6d04yzJKOPqmWZpl9wEmudw21vmvAhoSjIJaHEtk&#10;ix3Wzvehp5CQzIGqy1WtVNwEKYilsuTAcIjKxxoR/LcopUlb0NvPN2kE1hCu98hKYy2XnoLlu203&#10;NLqF8oj9W+il4Qxf1Vjkmjn/wixqAVtGfftnXKQCTAKDRUkF9uffzkM8jgi9lLSorYK6H3tmBSXq&#10;m8bh3WeTSRBj3ExupmPc2GvP9tqj980SsHMkGKuLZoj36mRKC80bPoNFyIoupjnmLqg/mUvfKx6f&#10;EReLRQxC+Rnm13pjeIAOTIcRvHZvzJphTh4n/AQnFbL83bj62HBTw2LvQdZxloHgntWBd5RuVMPw&#10;zMLbuN7HqMvPYP4LAAD//wMAUEsDBBQABgAIAAAAIQAYpOyO4wAAAAwBAAAPAAAAZHJzL2Rvd25y&#10;ZXYueG1sTI/LTsMwEEX3SPyDNUhsUGu3JQ9CnAohoBI7mgJi58ZDEhHbUewm4e8ZVrCcO0d3zuTb&#10;2XRsxMG3zkpYLQUwtJXTra0lHMrHRQrMB2W16pxFCd/oYVucn+Uq026yLzjuQ82oxPpMSWhC6DPO&#10;fdWgUX7perS0+3SDUYHGoeZ6UBOVm46vhYi5Ua2lC43q8b7B6mt/MhI+rur3Zz8/vU6baNM/7MYy&#10;edOllJcX890tsIBz+IPhV5/UoSCnoztZ7VknIRERkZSvrtMbYEREIo2BHSlaxyIBXuT8/xPFDwAA&#10;AP//AwBQSwECLQAUAAYACAAAACEAtoM4kv4AAADhAQAAEwAAAAAAAAAAAAAAAAAAAAAAW0NvbnRl&#10;bnRfVHlwZXNdLnhtbFBLAQItABQABgAIAAAAIQA4/SH/1gAAAJQBAAALAAAAAAAAAAAAAAAAAC8B&#10;AABfcmVscy8ucmVsc1BLAQItABQABgAIAAAAIQDGs8W3LAIAAFQEAAAOAAAAAAAAAAAAAAAAAC4C&#10;AABkcnMvZTJvRG9jLnhtbFBLAQItABQABgAIAAAAIQAYpOyO4wAAAAwBAAAPAAAAAAAAAAAAAAAA&#10;AIYEAABkcnMvZG93bnJldi54bWxQSwUGAAAAAAQABADzAAAAlgUAAAAA&#10;" fillcolor="white [3201]" stroked="f" strokeweight=".5pt">
                <v:textbox>
                  <w:txbxContent>
                    <w:p w14:paraId="0CA3B49F" w14:textId="2B625A9A" w:rsidR="0044747D" w:rsidRPr="0044747D" w:rsidRDefault="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Supplementary Fig. 1</w:t>
                      </w:r>
                    </w:p>
                  </w:txbxContent>
                </v:textbox>
              </v:shape>
            </w:pict>
          </mc:Fallback>
        </mc:AlternateContent>
      </w:r>
      <w:r w:rsidR="00564B3F">
        <w:rPr>
          <w:noProof/>
          <w14:ligatures w14:val="standardContextual"/>
        </w:rPr>
        <w:drawing>
          <wp:inline distT="0" distB="0" distL="0" distR="0" wp14:anchorId="45A4DF1A" wp14:editId="64A0AEF3">
            <wp:extent cx="5852160" cy="7662672"/>
            <wp:effectExtent l="0" t="0" r="0" b="0"/>
            <wp:docPr id="331602754" name="Picture 10"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02754" name="Picture 10" descr="A collage of graphs and chart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52160" cy="7662672"/>
                    </a:xfrm>
                    <a:prstGeom prst="rect">
                      <a:avLst/>
                    </a:prstGeom>
                  </pic:spPr>
                </pic:pic>
              </a:graphicData>
            </a:graphic>
          </wp:inline>
        </w:drawing>
      </w:r>
    </w:p>
    <w:p w14:paraId="79C2505D" w14:textId="38D6B844" w:rsidR="00D5718E" w:rsidRDefault="00D5718E"/>
    <w:p w14:paraId="1C29D126" w14:textId="0B15BA6D" w:rsidR="0044747D" w:rsidRDefault="001C4425">
      <w:r>
        <w:br w:type="page"/>
      </w:r>
      <w:r w:rsidR="0044747D">
        <w:rPr>
          <w:noProof/>
          <w14:ligatures w14:val="standardContextual"/>
        </w:rPr>
        <w:lastRenderedPageBreak/>
        <mc:AlternateContent>
          <mc:Choice Requires="wps">
            <w:drawing>
              <wp:anchor distT="0" distB="0" distL="114300" distR="114300" simplePos="0" relativeHeight="251658244" behindDoc="0" locked="0" layoutInCell="1" allowOverlap="1" wp14:anchorId="37A7C6EF" wp14:editId="1533E08D">
                <wp:simplePos x="0" y="0"/>
                <wp:positionH relativeFrom="column">
                  <wp:posOffset>1576381</wp:posOffset>
                </wp:positionH>
                <wp:positionV relativeFrom="paragraph">
                  <wp:posOffset>4504487</wp:posOffset>
                </wp:positionV>
                <wp:extent cx="2782111" cy="710119"/>
                <wp:effectExtent l="0" t="0" r="0" b="0"/>
                <wp:wrapNone/>
                <wp:docPr id="1783960166"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430E2FFB" w14:textId="0CA8B85A"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A7C6EF" id="_x0000_s1027" type="#_x0000_t202" style="position:absolute;margin-left:124.1pt;margin-top:354.7pt;width:219.05pt;height:55.9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BuOAIAAGwEAAAOAAAAZHJzL2Uyb0RvYy54bWysVEtv2zAMvg/YfxB0X2xnadMacYosRYYB&#10;QVsgHXpWZCk2IIuapMTOfv0o2Xms22lYDgopUnx8H+nZQ9cochDW1aALmo1SSoTmUNZ6V9Dvr6tP&#10;d5Q4z3TJFGhR0KNw9GH+8cOsNbkYQwWqFJZgEO3y1hS08t7kSeJ4JRrmRmCERqME2zCPqt0lpWUt&#10;Rm9UMk7T26QFWxoLXDiHt4+9kc5jfCkF989SOuGJKijW5uNp47kNZzKfsXxnmalqPpTB/qGKhtUa&#10;k55DPTLPyN7Wf4Rqam7BgfQjDk0CUtZcxB6wmyx9182mYkbEXhAcZ84wuf8Xlj8dNubFEt99gQ4J&#10;DIC0xuUOL0M/nbRN+MdKCdoRwuMZNtF5wvFyPL0bZ1lGCUfbNEuz7D6ESS6vjXX+q4CGBKGgFmmJ&#10;aLHD2vne9eQSkjlQdbmqlYrK0S2VJQeGDCLxJbSUKOY8XhZ0FX9Dtt+eKU3agt5+vkljJg0hXp9K&#10;aSzu0mSQfLftSF1eAbCF8oi4WOhHxhm+qrH4NWZ+YRZnBKHAuffPeEgFmAsGiZIK7M+/3Qd/pA6t&#10;lLQ4cwV1P/bMCmzom0ZS77PJJAxpVCY30zEq9tqyvbbofbMEBAWBx+qiGPy9OonSQvOG67EIWdHE&#10;NMfcBfUncen7TcD14mKxiE44lob5td4YHkIHBgI1r90bs2bgzyPzT3CaTpa/o7H3DS81LPYeZB05&#10;Djj3qA7w40jHKRnWL+zMtR69Lh+J+S8AAAD//wMAUEsDBBQABgAIAAAAIQC+2jpP4wAAAAsBAAAP&#10;AAAAZHJzL2Rvd25yZXYueG1sTI9RS8MwFIXfBf9DuIJvLl0ctdbeDhFFByvbquBr1lzbapOUJlvr&#10;fr3xSR8v5+Oc72bLSXfsSINrrUGYzyJgZCqrWlMjvL0+XSXAnJdGyc4aQvgmB8v8/CyTqbKj2dGx&#10;9DULJcalEqHxvk85d1VDWrqZ7cmE7MMOWvpwDjVXgxxDue64iKKYa9masNDInh4aqr7Kg0Z4H8vn&#10;YbNafW77l+K0OZXFmh4LxMuL6f4OmKfJ/8Hwqx/UIQ9Oe3swyrEOQSwSEVCEm+h2ASwQcRJfA9sj&#10;JGIugOcZ//9D/gMAAP//AwBQSwECLQAUAAYACAAAACEAtoM4kv4AAADhAQAAEwAAAAAAAAAAAAAA&#10;AAAAAAAAW0NvbnRlbnRfVHlwZXNdLnhtbFBLAQItABQABgAIAAAAIQA4/SH/1gAAAJQBAAALAAAA&#10;AAAAAAAAAAAAAC8BAABfcmVscy8ucmVsc1BLAQItABQABgAIAAAAIQDKCrBuOAIAAGwEAAAOAAAA&#10;AAAAAAAAAAAAAC4CAABkcnMvZTJvRG9jLnhtbFBLAQItABQABgAIAAAAIQC+2jpP4wAAAAsBAAAP&#10;AAAAAAAAAAAAAAAAAJIEAABkcnMvZG93bnJldi54bWxQSwUGAAAAAAQABADzAAAAogUAAAAA&#10;" fillcolor="window" stroked="f" strokeweight=".5pt">
                <v:textbox>
                  <w:txbxContent>
                    <w:p w14:paraId="430E2FFB" w14:textId="0CA8B85A"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2</w:t>
                      </w:r>
                    </w:p>
                  </w:txbxContent>
                </v:textbox>
              </v:shape>
            </w:pict>
          </mc:Fallback>
        </mc:AlternateContent>
      </w:r>
      <w:r w:rsidR="0044747D">
        <w:rPr>
          <w:noProof/>
        </w:rPr>
        <w:drawing>
          <wp:anchor distT="0" distB="0" distL="114300" distR="114300" simplePos="0" relativeHeight="251658243" behindDoc="0" locked="0" layoutInCell="1" allowOverlap="1" wp14:anchorId="522530FF" wp14:editId="73107093">
            <wp:simplePos x="0" y="0"/>
            <wp:positionH relativeFrom="column">
              <wp:posOffset>1371600</wp:posOffset>
            </wp:positionH>
            <wp:positionV relativeFrom="paragraph">
              <wp:posOffset>885190</wp:posOffset>
            </wp:positionV>
            <wp:extent cx="2145665" cy="3501390"/>
            <wp:effectExtent l="0" t="0" r="6985" b="3810"/>
            <wp:wrapTopAndBottom/>
            <wp:docPr id="1583376221" name="Picture 3" descr="A graph of a test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76221" name="Picture 3" descr="A graph of a test results&#10;&#10;Description automatically generated with medium confidence"/>
                    <pic:cNvPicPr>
                      <a:picLocks noChangeAspect="1" noChangeArrowheads="1"/>
                    </pic:cNvPicPr>
                  </pic:nvPicPr>
                  <pic:blipFill rotWithShape="1">
                    <a:blip r:embed="rId6">
                      <a:extLst>
                        <a:ext uri="{28A0092B-C50C-407E-A947-70E740481C1C}">
                          <a14:useLocalDpi xmlns:a14="http://schemas.microsoft.com/office/drawing/2010/main" val="0"/>
                        </a:ext>
                      </a:extLst>
                    </a:blip>
                    <a:srcRect b="7047"/>
                    <a:stretch/>
                  </pic:blipFill>
                  <pic:spPr bwMode="auto">
                    <a:xfrm>
                      <a:off x="0" y="0"/>
                      <a:ext cx="2145665" cy="35013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4747D">
        <w:br w:type="page"/>
      </w:r>
    </w:p>
    <w:p w14:paraId="38BC4818" w14:textId="62366D47" w:rsidR="001C4425" w:rsidRDefault="0044747D">
      <w:r>
        <w:rPr>
          <w:noProof/>
          <w14:ligatures w14:val="standardContextual"/>
        </w:rPr>
        <w:lastRenderedPageBreak/>
        <mc:AlternateContent>
          <mc:Choice Requires="wps">
            <w:drawing>
              <wp:anchor distT="0" distB="0" distL="114300" distR="114300" simplePos="0" relativeHeight="251658246" behindDoc="0" locked="0" layoutInCell="1" allowOverlap="1" wp14:anchorId="1B30B516" wp14:editId="187AF6E6">
                <wp:simplePos x="0" y="0"/>
                <wp:positionH relativeFrom="column">
                  <wp:posOffset>738829</wp:posOffset>
                </wp:positionH>
                <wp:positionV relativeFrom="paragraph">
                  <wp:posOffset>7599680</wp:posOffset>
                </wp:positionV>
                <wp:extent cx="2782111" cy="710119"/>
                <wp:effectExtent l="0" t="0" r="0" b="0"/>
                <wp:wrapNone/>
                <wp:docPr id="1208319808"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3B98BCD0" w14:textId="346460D7"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30B516" id="_x0000_s1028" type="#_x0000_t202" style="position:absolute;margin-left:58.2pt;margin-top:598.4pt;width:219.05pt;height:55.9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HKOQIAAGwEAAAOAAAAZHJzL2Uyb0RvYy54bWysVEtv2zAMvg/YfxB0X2xnadMacYosRYYB&#10;QVsgHXpWZCk2IIuapMTOfv0o2Xms22lYDgopUnx8H+nZQ9cochDW1aALmo1SSoTmUNZ6V9Dvr6tP&#10;d5Q4z3TJFGhR0KNw9GH+8cOsNbkYQwWqFJZgEO3y1hS08t7kSeJ4JRrmRmCERqME2zCPqt0lpWUt&#10;Rm9UMk7T26QFWxoLXDiHt4+9kc5jfCkF989SOuGJKijW5uNp47kNZzKfsXxnmalqPpTB/qGKhtUa&#10;k55DPTLPyN7Wf4Rqam7BgfQjDk0CUtZcxB6wmyx9182mYkbEXhAcZ84wuf8Xlj8dNubFEt99gQ4J&#10;DIC0xuUOL0M/nbRN+MdKCdoRwuMZNtF5wvFyPL0bZ1lGCUfbNEuz7D6ESS6vjXX+q4CGBKGgFmmJ&#10;aLHD2vne9eQSkjlQdbmqlYrK0S2VJQeGDCLxJbSUKOY8XhZ0FX9Dtt+eKU3agt5+vkljJg0hXp9K&#10;aSzu0mSQfLftSF1iLycAtlAeERcL/cg4w1c1Fr/GzC/M4owgFDj3/hkPqQBzwSBRUoH9+bf74I/U&#10;oZWSFmeuoO7HnlmBDX3TSOp9NpmEIY3K5GY6RsVeW7bXFr1vloCgIPBYXRSDv1cnUVpo3nA9FiEr&#10;mpjmmLug/iQufb8JuF5cLBbRCcfSML/WG8ND6MBAoOa1e2PWDPx5ZP4JTtPJ8nc09r7hpYbF3oOs&#10;I8cB5x7VAX4c6Tglw/qFnbnWo9flIzH/BQAA//8DAFBLAwQUAAYACAAAACEA/VEIquMAAAANAQAA&#10;DwAAAGRycy9kb3ducmV2LnhtbEyPQU/DMAyF70j8h8hI3Fg6WKtRmk4IgWAS1aAgcc0a0xYap2qy&#10;tezX453g5mc/PX8vW022E3scfOtIwXwWgUCqnGmpVvD+9nCxBOGDJqM7R6jgBz2s8tOTTKfGjfSK&#10;+zLUgkPIp1pBE0KfSumrBq32M9cj8e3TDVYHlkMtzaBHDredvIyiRFrdEn9odI93DVbf5c4q+BjL&#10;x2GzXn+99E/FYXMoi2e8L5Q6P5tub0AEnMKfGY74jA45M23djowXHet5smDrcbhOuARb4ngRg9jy&#10;6ipaJiDzTP5vkf8CAAD//wMAUEsBAi0AFAAGAAgAAAAhALaDOJL+AAAA4QEAABMAAAAAAAAAAAAA&#10;AAAAAAAAAFtDb250ZW50X1R5cGVzXS54bWxQSwECLQAUAAYACAAAACEAOP0h/9YAAACUAQAACwAA&#10;AAAAAAAAAAAAAAAvAQAAX3JlbHMvLnJlbHNQSwECLQAUAAYACAAAACEACtoRyjkCAABsBAAADgAA&#10;AAAAAAAAAAAAAAAuAgAAZHJzL2Uyb0RvYy54bWxQSwECLQAUAAYACAAAACEA/VEIquMAAAANAQAA&#10;DwAAAAAAAAAAAAAAAACTBAAAZHJzL2Rvd25yZXYueG1sUEsFBgAAAAAEAAQA8wAAAKMFAAAAAA==&#10;" fillcolor="window" stroked="f" strokeweight=".5pt">
                <v:textbox>
                  <w:txbxContent>
                    <w:p w14:paraId="3B98BCD0" w14:textId="346460D7"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3</w:t>
                      </w:r>
                    </w:p>
                  </w:txbxContent>
                </v:textbox>
              </v:shape>
            </w:pict>
          </mc:Fallback>
        </mc:AlternateContent>
      </w:r>
      <w:r w:rsidR="000562E6">
        <w:rPr>
          <w:noProof/>
          <w14:ligatures w14:val="standardContextual"/>
        </w:rPr>
        <w:drawing>
          <wp:inline distT="0" distB="0" distL="0" distR="0" wp14:anchorId="5D0B2817" wp14:editId="0E70A60E">
            <wp:extent cx="5254752" cy="7620000"/>
            <wp:effectExtent l="0" t="0" r="3175" b="0"/>
            <wp:docPr id="73696979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69796" name="Picture 10"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4752" cy="7620000"/>
                    </a:xfrm>
                    <a:prstGeom prst="rect">
                      <a:avLst/>
                    </a:prstGeom>
                  </pic:spPr>
                </pic:pic>
              </a:graphicData>
            </a:graphic>
          </wp:inline>
        </w:drawing>
      </w:r>
    </w:p>
    <w:p w14:paraId="22161EE3" w14:textId="6585EA80" w:rsidR="001C4425" w:rsidRDefault="001C4425">
      <w:r>
        <w:br w:type="page"/>
      </w:r>
    </w:p>
    <w:p w14:paraId="3B281DF7" w14:textId="6EE3DA4C" w:rsidR="001C4425" w:rsidRDefault="001C4425">
      <w:pPr>
        <w:rPr>
          <w:rFonts w:ascii="Aptos" w:hAnsi="Aptos"/>
          <w:noProof/>
        </w:rPr>
      </w:pPr>
    </w:p>
    <w:p w14:paraId="363A8E05" w14:textId="3A3FDDF7" w:rsidR="001C4425" w:rsidRDefault="0044747D">
      <w:pPr>
        <w:rPr>
          <w:rFonts w:ascii="Aptos" w:hAnsi="Aptos"/>
          <w:noProof/>
        </w:rPr>
      </w:pPr>
      <w:r>
        <w:rPr>
          <w:noProof/>
          <w14:ligatures w14:val="standardContextual"/>
        </w:rPr>
        <mc:AlternateContent>
          <mc:Choice Requires="wps">
            <w:drawing>
              <wp:anchor distT="0" distB="0" distL="114300" distR="114300" simplePos="0" relativeHeight="251658247" behindDoc="0" locked="0" layoutInCell="1" allowOverlap="1" wp14:anchorId="3F3316AF" wp14:editId="3D52575A">
                <wp:simplePos x="0" y="0"/>
                <wp:positionH relativeFrom="column">
                  <wp:posOffset>642025</wp:posOffset>
                </wp:positionH>
                <wp:positionV relativeFrom="paragraph">
                  <wp:posOffset>2934578</wp:posOffset>
                </wp:positionV>
                <wp:extent cx="2782111" cy="710119"/>
                <wp:effectExtent l="0" t="0" r="0" b="0"/>
                <wp:wrapNone/>
                <wp:docPr id="900647104"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3892FF09" w14:textId="35A582F3"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3316AF" id="_x0000_s1029" type="#_x0000_t202" style="position:absolute;margin-left:50.55pt;margin-top:231.05pt;width:219.05pt;height:55.9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4fOQIAAGwEAAAOAAAAZHJzL2Uyb0RvYy54bWysVEtv2zAMvg/YfxB0X2yn6cuIU2QpMgwI&#10;2gLp0LMiS7EBWdQkJXb260fJzqPdTsNyUEiR4uP7SE8fukaRvbCuBl3QbJRSIjSHstbbgv54XX65&#10;o8R5pkumQIuCHoSjD7PPn6atycUYKlClsASDaJe3pqCV9yZPEscr0TA3AiM0GiXYhnlU7TYpLWsx&#10;eqOScZreJC3Y0ljgwjm8feyNdBbjSym4f5bSCU9UQbE2H08bz004k9mU5VvLTFXzoQz2D1U0rNaY&#10;9BTqkXlGdrb+I1RTcwsOpB9xaBKQsuYi9oDdZOmHbtYVMyL2guA4c4LJ/b+w/Gm/Ni+W+O4rdEhg&#10;AKQ1Lnd4GfrppG3CP1ZK0I4QHk6wic4Tjpfj27txlmWUcLTdZmmW3Ycwyfm1sc5/E9CQIBTUIi0R&#10;LbZfOd+7Hl1CMgeqLpe1UlE5uIWyZM+QQSS+hJYSxZzHy4Iu42/I9u6Z0qQt6M3VdRozaQjx+lRK&#10;Y3HnJoPku01H6rKgV0cANlAeEBcL/cg4w5c1Fr/CzC/M4owgFDj3/hkPqQBzwSBRUoH99bf74I/U&#10;oZWSFmeuoO7njlmBDX3XSOp9NpmEIY3K5Pp2jIq9tGwuLXrXLABBQeCxuigGf6+OorTQvOF6zENW&#10;NDHNMXdB/VFc+H4TcL24mM+jE46lYX6l14aH0IGBQM1r98asGfjzyPwTHKeT5R9o7H3DSw3znQdZ&#10;R44Dzj2qA/w40nFKhvULO3OpR6/zR2L2GwAA//8DAFBLAwQUAAYACAAAACEAg1KciOIAAAALAQAA&#10;DwAAAGRycy9kb3ducmV2LnhtbEyPwU7DMBBE70j8g7VI3KiTFAoNcSqEQFCJqBCQuLrxkgTidRS7&#10;TejXs5zgNqN9mp3JVpPtxB4H3zpSEM8iEEiVMy3VCt5e78+uQPigyejOESr4Rg+r/Pgo06lxI73g&#10;vgy14BDyqVbQhNCnUvqqQav9zPVIfPtwg9WB7VBLM+iRw20nkyhaSKtb4g+N7vG2weqr3FkF72P5&#10;MGzW68/n/rE4bA5l8YR3hVKnJ9PNNYiAU/iD4bc+V4ecO23djowXHfsojhlVcL5IWDBxMV8mILYs&#10;LudLkHkm/2/IfwAAAP//AwBQSwECLQAUAAYACAAAACEAtoM4kv4AAADhAQAAEwAAAAAAAAAAAAAA&#10;AAAAAAAAW0NvbnRlbnRfVHlwZXNdLnhtbFBLAQItABQABgAIAAAAIQA4/SH/1gAAAJQBAAALAAAA&#10;AAAAAAAAAAAAAC8BAABfcmVscy8ucmVsc1BLAQItABQABgAIAAAAIQB1aF4fOQIAAGwEAAAOAAAA&#10;AAAAAAAAAAAAAC4CAABkcnMvZTJvRG9jLnhtbFBLAQItABQABgAIAAAAIQCDUpyI4gAAAAsBAAAP&#10;AAAAAAAAAAAAAAAAAJMEAABkcnMvZG93bnJldi54bWxQSwUGAAAAAAQABADzAAAAogUAAAAA&#10;" fillcolor="window" stroked="f" strokeweight=".5pt">
                <v:textbox>
                  <w:txbxContent>
                    <w:p w14:paraId="3892FF09" w14:textId="35A582F3"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4</w:t>
                      </w:r>
                    </w:p>
                  </w:txbxContent>
                </v:textbox>
              </v:shape>
            </w:pict>
          </mc:Fallback>
        </mc:AlternateContent>
      </w:r>
      <w:r w:rsidR="001C4425">
        <w:rPr>
          <w:rFonts w:ascii="Aptos" w:hAnsi="Aptos"/>
          <w:noProof/>
          <w14:ligatures w14:val="standardContextual"/>
        </w:rPr>
        <w:drawing>
          <wp:inline distT="0" distB="0" distL="0" distR="0" wp14:anchorId="74EB3C9F" wp14:editId="03463CB1">
            <wp:extent cx="2815908" cy="2704289"/>
            <wp:effectExtent l="0" t="0" r="3810" b="1270"/>
            <wp:docPr id="638227809" name="Picture 5" descr="A diagram of a car with numbers and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27809" name="Picture 5" descr="A diagram of a car with numbers and a number of points&#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b="15968"/>
                    <a:stretch/>
                  </pic:blipFill>
                  <pic:spPr bwMode="auto">
                    <a:xfrm>
                      <a:off x="0" y="0"/>
                      <a:ext cx="2816353" cy="2704716"/>
                    </a:xfrm>
                    <a:prstGeom prst="rect">
                      <a:avLst/>
                    </a:prstGeom>
                    <a:ln>
                      <a:noFill/>
                    </a:ln>
                    <a:extLst>
                      <a:ext uri="{53640926-AAD7-44D8-BBD7-CCE9431645EC}">
                        <a14:shadowObscured xmlns:a14="http://schemas.microsoft.com/office/drawing/2010/main"/>
                      </a:ext>
                    </a:extLst>
                  </pic:spPr>
                </pic:pic>
              </a:graphicData>
            </a:graphic>
          </wp:inline>
        </w:drawing>
      </w:r>
      <w:r w:rsidR="001C4425">
        <w:rPr>
          <w:rFonts w:ascii="Aptos" w:hAnsi="Aptos"/>
          <w:noProof/>
        </w:rPr>
        <w:br w:type="page"/>
      </w:r>
    </w:p>
    <w:p w14:paraId="6B5D21BA" w14:textId="3E3BDC07" w:rsidR="001C4425" w:rsidRDefault="001C4425">
      <w:pPr>
        <w:rPr>
          <w:rFonts w:ascii="Aptos" w:hAnsi="Aptos"/>
          <w:noProof/>
        </w:rPr>
      </w:pPr>
    </w:p>
    <w:p w14:paraId="3A2EC8A4" w14:textId="283C984D" w:rsidR="001C4425" w:rsidRDefault="0044747D">
      <w:pPr>
        <w:rPr>
          <w:rFonts w:ascii="Aptos" w:hAnsi="Aptos"/>
          <w:noProof/>
        </w:rPr>
      </w:pPr>
      <w:r>
        <w:rPr>
          <w:noProof/>
          <w14:ligatures w14:val="standardContextual"/>
        </w:rPr>
        <mc:AlternateContent>
          <mc:Choice Requires="wps">
            <w:drawing>
              <wp:anchor distT="0" distB="0" distL="114300" distR="114300" simplePos="0" relativeHeight="251658248" behindDoc="0" locked="0" layoutInCell="1" allowOverlap="1" wp14:anchorId="3D754785" wp14:editId="6A05D21C">
                <wp:simplePos x="0" y="0"/>
                <wp:positionH relativeFrom="column">
                  <wp:posOffset>214009</wp:posOffset>
                </wp:positionH>
                <wp:positionV relativeFrom="paragraph">
                  <wp:posOffset>4266619</wp:posOffset>
                </wp:positionV>
                <wp:extent cx="2782111" cy="710119"/>
                <wp:effectExtent l="0" t="0" r="0" b="0"/>
                <wp:wrapNone/>
                <wp:docPr id="906893985"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50DD0D0F" w14:textId="1F3A38F5"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754785" id="_x0000_s1030" type="#_x0000_t202" style="position:absolute;margin-left:16.85pt;margin-top:335.95pt;width:219.05pt;height:55.9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NYOgIAAGwEAAAOAAAAZHJzL2Uyb0RvYy54bWysVEtv2zAMvg/YfxB0X2xnadMacYosRYYB&#10;QVsgHXpWZCk2IIuapMTOfv0o2Xms22lYDgopUnx8H+nZQ9cochDW1aALmo1SSoTmUNZ6V9Dvr6tP&#10;d5Q4z3TJFGhR0KNw9GH+8cOsNbkYQwWqFJZgEO3y1hS08t7kSeJ4JRrmRmCERqME2zCPqt0lpWUt&#10;Rm9UMk7T26QFWxoLXDiHt4+9kc5jfCkF989SOuGJKijW5uNp47kNZzKfsXxnmalqPpTB/qGKhtUa&#10;k55DPTLPyN7Wf4Rqam7BgfQjDk0CUtZcxB6wmyx9182mYkbEXhAcZ84wuf8Xlj8dNubFEt99gQ4J&#10;DIC0xuUOL0M/nbRN+MdKCdoRwuMZNtF5wvFyPL0bZ1lGCUfbNEuz7D6ESS6vjXX+q4CGBKGgFmmJ&#10;aLHD2vne9eQSkjlQdbmqlYrK0S2VJQeGDCLxJbSUKOY8XhZ0FX9Dtt+eKU3agt5+vkljJg0hXp9K&#10;aSzu0mSQfLftSF0WdHICYAvlEXGx0I+MM3xVY/FrzPzCLM4IQoFz75/xkAowFwwSJRXYn3+7D/5I&#10;HVopaXHmCup+7JkV2NA3jaTeZ5NJGNKoTG6mY1TstWV7bdH7ZgkICgKP1UUx+Ht1EqWF5g3XYxGy&#10;oolpjrkL6k/i0vebgOvFxWIRnXAsDfNrvTE8hA4MBGpeuzdmzcCfR+af4DSdLH9HY+8bXmpY7D3I&#10;OnIccO5RHeDHkY5TMqxf2JlrPXpdPhLzXwAAAP//AwBQSwMEFAAGAAgAAAAhAGt5AxPhAAAACgEA&#10;AA8AAABkcnMvZG93bnJldi54bWxMj0FLw0AQhe+C/2EZwZvdxEpTYyZFRNFCQzUKXrfJmESzu2F3&#10;28T+eseTHof38eZ72WrSvTiQ8501CPEsAkGmsnVnGoS314eLJQgflKlVbw0hfJOHVX56kqm0tqN5&#10;oUMZGsElxqcKoQ1hSKX0VUta+ZkdyHD2YZ1WgU/XyNqpkct1Ly+jaCG16gx/aNVAdy1VX+VeI7yP&#10;5aPbrtefz8NTcdwey2JD9wXi+dl0ewMi0BT+YPjVZ3XI2Wln96b2okeYzxMmERZJfA2Cgask5i07&#10;hGTJkcwz+X9C/gMAAP//AwBQSwECLQAUAAYACAAAACEAtoM4kv4AAADhAQAAEwAAAAAAAAAAAAAA&#10;AAAAAAAAW0NvbnRlbnRfVHlwZXNdLnhtbFBLAQItABQABgAIAAAAIQA4/SH/1gAAAJQBAAALAAAA&#10;AAAAAAAAAAAAAC8BAABfcmVscy8ucmVsc1BLAQItABQABgAIAAAAIQDLfSNYOgIAAGwEAAAOAAAA&#10;AAAAAAAAAAAAAC4CAABkcnMvZTJvRG9jLnhtbFBLAQItABQABgAIAAAAIQBreQMT4QAAAAoBAAAP&#10;AAAAAAAAAAAAAAAAAJQEAABkcnMvZG93bnJldi54bWxQSwUGAAAAAAQABADzAAAAogUAAAAA&#10;" fillcolor="window" stroked="f" strokeweight=".5pt">
                <v:textbox>
                  <w:txbxContent>
                    <w:p w14:paraId="50DD0D0F" w14:textId="1F3A38F5"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5</w:t>
                      </w:r>
                    </w:p>
                  </w:txbxContent>
                </v:textbox>
              </v:shape>
            </w:pict>
          </mc:Fallback>
        </mc:AlternateContent>
      </w:r>
      <w:r w:rsidR="001C4425">
        <w:rPr>
          <w:rFonts w:ascii="Aptos" w:hAnsi="Aptos"/>
          <w:noProof/>
          <w14:ligatures w14:val="standardContextual"/>
        </w:rPr>
        <w:drawing>
          <wp:inline distT="0" distB="0" distL="0" distR="0" wp14:anchorId="1EEAFEC6" wp14:editId="2CAFF9D8">
            <wp:extent cx="4901184" cy="4206240"/>
            <wp:effectExtent l="0" t="0" r="0" b="3810"/>
            <wp:docPr id="1554504164" name="Picture 6"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04164" name="Picture 6" descr="A collage of images of cell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1184" cy="4206240"/>
                    </a:xfrm>
                    <a:prstGeom prst="rect">
                      <a:avLst/>
                    </a:prstGeom>
                  </pic:spPr>
                </pic:pic>
              </a:graphicData>
            </a:graphic>
          </wp:inline>
        </w:drawing>
      </w:r>
    </w:p>
    <w:p w14:paraId="771B31F8" w14:textId="350F54FF" w:rsidR="001C4425" w:rsidRDefault="001C4425">
      <w:pPr>
        <w:rPr>
          <w:rFonts w:ascii="Aptos" w:hAnsi="Aptos"/>
          <w:noProof/>
        </w:rPr>
      </w:pPr>
      <w:r>
        <w:rPr>
          <w:rFonts w:ascii="Aptos" w:hAnsi="Aptos"/>
          <w:noProof/>
        </w:rPr>
        <w:br w:type="page"/>
      </w:r>
    </w:p>
    <w:p w14:paraId="1974C74C" w14:textId="6BC6562D" w:rsidR="001C4425" w:rsidRDefault="0044747D">
      <w:pPr>
        <w:rPr>
          <w:rFonts w:ascii="Aptos" w:hAnsi="Aptos"/>
          <w:noProof/>
        </w:rPr>
      </w:pPr>
      <w:r>
        <w:rPr>
          <w:noProof/>
          <w14:ligatures w14:val="standardContextual"/>
        </w:rPr>
        <w:lastRenderedPageBreak/>
        <mc:AlternateContent>
          <mc:Choice Requires="wps">
            <w:drawing>
              <wp:anchor distT="0" distB="0" distL="114300" distR="114300" simplePos="0" relativeHeight="251658249" behindDoc="0" locked="0" layoutInCell="1" allowOverlap="1" wp14:anchorId="32E4F00A" wp14:editId="7FECDE4C">
                <wp:simplePos x="0" y="0"/>
                <wp:positionH relativeFrom="column">
                  <wp:posOffset>573931</wp:posOffset>
                </wp:positionH>
                <wp:positionV relativeFrom="paragraph">
                  <wp:posOffset>4649821</wp:posOffset>
                </wp:positionV>
                <wp:extent cx="2782111" cy="710119"/>
                <wp:effectExtent l="0" t="0" r="0" b="0"/>
                <wp:wrapNone/>
                <wp:docPr id="115265360"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341D6C53" w14:textId="04834359"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E4F00A" id="_x0000_s1031" type="#_x0000_t202" style="position:absolute;margin-left:45.2pt;margin-top:366.15pt;width:219.05pt;height:55.9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2yNOgIAAGwEAAAOAAAAZHJzL2Uyb0RvYy54bWysVEuP2jAQvlfqf7B8L0ko7CMirCgrqkpo&#10;dyW22rNxbBLJ8bi2IaG/vmMnPLrtqSoHM+MZz+P7ZjJ76BpFDsK6GnRBs1FKidAcylrvCvr9dfXp&#10;jhLnmS6ZAi0KehSOPsw/fpi1JhdjqECVwhIMol3emoJW3ps8SRyvRMPcCIzQaJRgG+ZRtbuktKzF&#10;6I1Kxml6k7RgS2OBC+fw9rE30nmML6Xg/llKJzxRBcXafDxtPLfhTOYzlu8sM1XNhzLYP1TRsFpj&#10;0nOoR+YZ2dv6j1BNzS04kH7EoUlAypqL2AN2k6XvutlUzIjYC4LjzBkm9//C8qfDxrxY4rsv0CGB&#10;AZDWuNzhZeink7YJ/1gpQTtCeDzDJjpPOF6Ob+/GWZZRwtF2m6VZdh/CJJfXxjr/VUBDglBQi7RE&#10;tNhh7XzvenIJyRyoulzVSkXl6JbKkgNDBpH4ElpKFHMeLwu6ir8h22/PlCZtQW8+T9OYSUOI16dS&#10;Gou7NBkk3207UpcFnZ4A2EJ5RFws9CPjDF/VWPwaM78wizOCUODc+2c8pALMBYNESQX259/ugz9S&#10;h1ZKWpy5grofe2YFNvRNI6n32WQShjQqk+ntGBV7bdleW/S+WQKCgsBjdVEM/l6dRGmhecP1WISs&#10;aGKaY+6C+pO49P0m4HpxsVhEJxxLw/xabwwPoQMDgZrX7o1ZM/DnkfknOE0ny9/R2PuGlxoWew+y&#10;jhwHnHtUB/hxpOOUDOsXduZaj16Xj8T8FwAAAP//AwBQSwMEFAAGAAgAAAAhAF+MmvPjAAAACgEA&#10;AA8AAABkcnMvZG93bnJldi54bWxMj8FOwzAQRO9I/IO1SNyo0zSFELKpEAJBJaJCQOLqxksSiO3I&#10;dpu0X485wXE1TzNv89WkerYn6zqjEeazCBjp2shONwjvbw8XKTDnhZaiN5oQDuRgVZye5CKTZtSv&#10;tK98w0KJdplAaL0fMs5d3ZISbmYG0iH7NFYJH07bcGnFGMpVz+MouuRKdDostGKgu5bq72qnED7G&#10;6tFu1uuvl+GpPG6OVflM9yXi+dl0ewPM0+T/YPjVD+pQBKet2WnpWI9wHSWBRLhaxAtgAVjG6RLY&#10;FiFNkjnwIuf/Xyh+AAAA//8DAFBLAQItABQABgAIAAAAIQC2gziS/gAAAOEBAAATAAAAAAAAAAAA&#10;AAAAAAAAAABbQ29udGVudF9UeXBlc10ueG1sUEsBAi0AFAAGAAgAAAAhADj9If/WAAAAlAEAAAsA&#10;AAAAAAAAAAAAAAAALwEAAF9yZWxzLy5yZWxzUEsBAi0AFAAGAAgAAAAhALTPbI06AgAAbAQAAA4A&#10;AAAAAAAAAAAAAAAALgIAAGRycy9lMm9Eb2MueG1sUEsBAi0AFAAGAAgAAAAhAF+MmvPjAAAACgEA&#10;AA8AAAAAAAAAAAAAAAAAlAQAAGRycy9kb3ducmV2LnhtbFBLBQYAAAAABAAEAPMAAACkBQAAAAA=&#10;" fillcolor="window" stroked="f" strokeweight=".5pt">
                <v:textbox>
                  <w:txbxContent>
                    <w:p w14:paraId="341D6C53" w14:textId="04834359"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6</w:t>
                      </w:r>
                    </w:p>
                  </w:txbxContent>
                </v:textbox>
              </v:shape>
            </w:pict>
          </mc:Fallback>
        </mc:AlternateContent>
      </w:r>
      <w:r w:rsidR="001C4425">
        <w:rPr>
          <w:rFonts w:ascii="Aptos" w:hAnsi="Aptos"/>
          <w:noProof/>
          <w14:ligatures w14:val="standardContextual"/>
        </w:rPr>
        <w:drawing>
          <wp:inline distT="0" distB="0" distL="0" distR="0" wp14:anchorId="5678F93B" wp14:editId="630407E6">
            <wp:extent cx="5175504" cy="4517136"/>
            <wp:effectExtent l="0" t="0" r="6350" b="0"/>
            <wp:docPr id="1976533796" name="Picture 7" descr="A diagram of a test resul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33796" name="Picture 7" descr="A diagram of a test resul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5504" cy="4517136"/>
                    </a:xfrm>
                    <a:prstGeom prst="rect">
                      <a:avLst/>
                    </a:prstGeom>
                  </pic:spPr>
                </pic:pic>
              </a:graphicData>
            </a:graphic>
          </wp:inline>
        </w:drawing>
      </w:r>
      <w:r w:rsidR="001C4425">
        <w:rPr>
          <w:rFonts w:ascii="Aptos" w:hAnsi="Aptos"/>
          <w:noProof/>
        </w:rPr>
        <w:br w:type="page"/>
      </w:r>
    </w:p>
    <w:p w14:paraId="679728AF" w14:textId="15934DAA" w:rsidR="001C4425" w:rsidRDefault="00381486">
      <w:pPr>
        <w:rPr>
          <w:rFonts w:ascii="Aptos" w:hAnsi="Aptos"/>
          <w:noProof/>
        </w:rPr>
      </w:pPr>
      <w:r>
        <w:rPr>
          <w:rFonts w:ascii="Aptos" w:hAnsi="Aptos"/>
          <w:noProof/>
          <w14:ligatures w14:val="standardContextual"/>
        </w:rPr>
        <w:lastRenderedPageBreak/>
        <w:drawing>
          <wp:anchor distT="0" distB="0" distL="114300" distR="114300" simplePos="0" relativeHeight="251658752" behindDoc="0" locked="0" layoutInCell="1" allowOverlap="1" wp14:anchorId="700B63BE" wp14:editId="52A1B254">
            <wp:simplePos x="0" y="0"/>
            <wp:positionH relativeFrom="column">
              <wp:posOffset>-35626</wp:posOffset>
            </wp:positionH>
            <wp:positionV relativeFrom="paragraph">
              <wp:posOffset>165834</wp:posOffset>
            </wp:positionV>
            <wp:extent cx="5943600" cy="5311140"/>
            <wp:effectExtent l="0" t="0" r="0" b="3810"/>
            <wp:wrapSquare wrapText="bothSides"/>
            <wp:docPr id="728189310" name="Picture 10"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89310" name="Picture 10" descr="A screenshot of a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311140"/>
                    </a:xfrm>
                    <a:prstGeom prst="rect">
                      <a:avLst/>
                    </a:prstGeom>
                  </pic:spPr>
                </pic:pic>
              </a:graphicData>
            </a:graphic>
          </wp:anchor>
        </w:drawing>
      </w:r>
      <w:r w:rsidR="0044747D">
        <w:rPr>
          <w:noProof/>
          <w14:ligatures w14:val="standardContextual"/>
        </w:rPr>
        <mc:AlternateContent>
          <mc:Choice Requires="wps">
            <w:drawing>
              <wp:anchor distT="0" distB="0" distL="114300" distR="114300" simplePos="0" relativeHeight="251656704" behindDoc="0" locked="0" layoutInCell="1" allowOverlap="1" wp14:anchorId="0F8D8AB0" wp14:editId="742EA4A6">
                <wp:simplePos x="0" y="0"/>
                <wp:positionH relativeFrom="column">
                  <wp:posOffset>262255</wp:posOffset>
                </wp:positionH>
                <wp:positionV relativeFrom="paragraph">
                  <wp:posOffset>5621452</wp:posOffset>
                </wp:positionV>
                <wp:extent cx="2781935" cy="709930"/>
                <wp:effectExtent l="0" t="0" r="0" b="0"/>
                <wp:wrapNone/>
                <wp:docPr id="1042649594" name="Text Box 12"/>
                <wp:cNvGraphicFramePr/>
                <a:graphic xmlns:a="http://schemas.openxmlformats.org/drawingml/2006/main">
                  <a:graphicData uri="http://schemas.microsoft.com/office/word/2010/wordprocessingShape">
                    <wps:wsp>
                      <wps:cNvSpPr txBox="1"/>
                      <wps:spPr>
                        <a:xfrm>
                          <a:off x="0" y="0"/>
                          <a:ext cx="2781935" cy="709930"/>
                        </a:xfrm>
                        <a:prstGeom prst="rect">
                          <a:avLst/>
                        </a:prstGeom>
                        <a:solidFill>
                          <a:sysClr val="window" lastClr="FFFFFF"/>
                        </a:solidFill>
                        <a:ln w="6350">
                          <a:noFill/>
                        </a:ln>
                      </wps:spPr>
                      <wps:txbx>
                        <w:txbxContent>
                          <w:p w14:paraId="3ABB61EF" w14:textId="1C89EEC8"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8D8AB0" id="_x0000_s1032" type="#_x0000_t202" style="position:absolute;margin-left:20.65pt;margin-top:442.65pt;width:219.05pt;height:55.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y/OwIAAGwEAAAOAAAAZHJzL2Uyb0RvYy54bWysVEtv2zAMvg/YfxB0X+y8msaIU2QpMgwI&#10;2gLp0LMiS7EBWdQkJXb260fJebXbaVgOCilSfHwf6dlDWytyENZVoHPa76WUCM2hqPQupz9eV1/u&#10;KXGe6YIp0CKnR+How/zzp1ljMjGAElQhLMEg2mWNyWnpvcmSxPFS1Mz1wAiNRgm2Zh5Vu0sKyxqM&#10;XqtkkKZ3SQO2MBa4cA5vHzsjncf4Ugrun6V0whOVU6zNx9PGcxvOZD5j2c4yU1b8VAb7hypqVmlM&#10;egn1yDwje1v9EaquuAUH0vc41AlIWXERe8Bu+umHbjYlMyL2guA4c4HJ/b+w/OmwMS+W+PYrtEhg&#10;AKQxLnN4Gfpppa3DP1ZK0I4QHi+widYTjpeDyX1/OhxTwtE2SafTYcQ1ub421vlvAmoShJxapCWi&#10;xQ5r5zEjup5dQjIHqipWlVJRObqlsuTAkEEkvoCGEsWcx8ucruIvFI0h3j1TmjQ5vRuO05hJQ4jX&#10;+SmN7tcmg+TbbUuqAh+cAdhCcURcLHQj4wxfVVj8GjO/MIszglDg3PtnPKQCzAUniZIS7K+/3Qd/&#10;pA6tlDQ4czl1P/fMCmzou0ZSp/3RKAxpVEbjyQAVe2vZ3lr0vl4CgtLHDTM8isHfq7MoLdRvuB6L&#10;kBVNTHPMnVN/Fpe+2wRcLy4Wi+iEY2mYX+uN4SF0YCBQ89q+MWtO/Hlk/gnO08myDzR2vuGlhsXe&#10;g6wixwHnDtUT/DjSkbfT+oWdudWj1/UjMf8NAAD//wMAUEsDBBQABgAIAAAAIQDivNYu4gAAAAoB&#10;AAAPAAAAZHJzL2Rvd25yZXYueG1sTI/BToQwEIbvJr5DMybe3IKiC0jZGKPRTSSraOK1S0dAaUva&#10;7oL79I4nvc1kvvzz/cVq1gPbo/O9NQLiRQQMTWNVb1oBb6/3ZykwH6RRcrAGBXyjh1V5fFTIXNnJ&#10;vOC+Di2jEONzKaALYcw5902HWvqFHdHQ7cM6LQOtruXKyYnC9cDPo+iKa9kb+tDJEW87bL7qnRbw&#10;PtUPbrNefz6Pj9Vhc6irJ7yrhDg9mW+ugQWcwx8Mv/qkDiU5be3OKM8GAUl8QaSANL2kgYBkmSXA&#10;tgKybBkDLwv+v0L5AwAA//8DAFBLAQItABQABgAIAAAAIQC2gziS/gAAAOEBAAATAAAAAAAAAAAA&#10;AAAAAAAAAABbQ29udGVudF9UeXBlc10ueG1sUEsBAi0AFAAGAAgAAAAhADj9If/WAAAAlAEAAAsA&#10;AAAAAAAAAAAAAAAALwEAAF9yZWxzLy5yZWxzUEsBAi0AFAAGAAgAAAAhAGM5vL87AgAAbAQAAA4A&#10;AAAAAAAAAAAAAAAALgIAAGRycy9lMm9Eb2MueG1sUEsBAi0AFAAGAAgAAAAhAOK81i7iAAAACgEA&#10;AA8AAAAAAAAAAAAAAAAAlQQAAGRycy9kb3ducmV2LnhtbFBLBQYAAAAABAAEAPMAAACkBQAAAAA=&#10;" fillcolor="window" stroked="f" strokeweight=".5pt">
                <v:textbox>
                  <w:txbxContent>
                    <w:p w14:paraId="3ABB61EF" w14:textId="1C89EEC8"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7</w:t>
                      </w:r>
                    </w:p>
                  </w:txbxContent>
                </v:textbox>
              </v:shape>
            </w:pict>
          </mc:Fallback>
        </mc:AlternateContent>
      </w:r>
    </w:p>
    <w:p w14:paraId="5C311417" w14:textId="46A9FCC3" w:rsidR="001C4425" w:rsidRDefault="001C4425">
      <w:pPr>
        <w:rPr>
          <w:rFonts w:ascii="Aptos" w:hAnsi="Aptos"/>
          <w:noProof/>
        </w:rPr>
      </w:pPr>
    </w:p>
    <w:p w14:paraId="54BD6A05" w14:textId="37ABC32F" w:rsidR="001C4425" w:rsidRDefault="001C4425">
      <w:pPr>
        <w:rPr>
          <w:rFonts w:ascii="Aptos" w:hAnsi="Aptos"/>
          <w:noProof/>
        </w:rPr>
      </w:pPr>
      <w:r>
        <w:rPr>
          <w:rFonts w:ascii="Aptos" w:hAnsi="Aptos"/>
          <w:noProof/>
        </w:rPr>
        <w:br w:type="page"/>
      </w:r>
      <w:r w:rsidR="002519F4">
        <w:rPr>
          <w:rFonts w:ascii="Aptos" w:hAnsi="Aptos"/>
          <w:noProof/>
        </w:rPr>
        <w:lastRenderedPageBreak/>
        <w:t xml:space="preserve">                                                           </w:t>
      </w:r>
    </w:p>
    <w:p w14:paraId="2DD9CBA7" w14:textId="59CF13B7" w:rsidR="001C4425" w:rsidRDefault="001C4425">
      <w:pPr>
        <w:rPr>
          <w:rFonts w:ascii="Aptos" w:hAnsi="Aptos"/>
          <w:noProof/>
        </w:rPr>
      </w:pPr>
    </w:p>
    <w:p w14:paraId="302C58DF" w14:textId="1BB10876" w:rsidR="001C4425" w:rsidRDefault="0044747D">
      <w:pPr>
        <w:rPr>
          <w:rFonts w:ascii="Aptos" w:hAnsi="Aptos"/>
          <w:noProof/>
        </w:rPr>
      </w:pPr>
      <w:r>
        <w:rPr>
          <w:noProof/>
          <w14:ligatures w14:val="standardContextual"/>
        </w:rPr>
        <mc:AlternateContent>
          <mc:Choice Requires="wps">
            <w:drawing>
              <wp:anchor distT="0" distB="0" distL="114300" distR="114300" simplePos="0" relativeHeight="251658251" behindDoc="0" locked="0" layoutInCell="1" allowOverlap="1" wp14:anchorId="719E59ED" wp14:editId="2600E3FC">
                <wp:simplePos x="0" y="0"/>
                <wp:positionH relativeFrom="column">
                  <wp:posOffset>1984443</wp:posOffset>
                </wp:positionH>
                <wp:positionV relativeFrom="paragraph">
                  <wp:posOffset>4395727</wp:posOffset>
                </wp:positionV>
                <wp:extent cx="2782111" cy="710119"/>
                <wp:effectExtent l="0" t="0" r="0" b="0"/>
                <wp:wrapNone/>
                <wp:docPr id="330639072"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ysClr val="window" lastClr="FFFFFF"/>
                        </a:solidFill>
                        <a:ln w="6350">
                          <a:noFill/>
                        </a:ln>
                      </wps:spPr>
                      <wps:txbx>
                        <w:txbxContent>
                          <w:p w14:paraId="3C6F5C15" w14:textId="562DC427"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9E59ED" id="_x0000_s1033" type="#_x0000_t202" style="position:absolute;margin-left:156.25pt;margin-top:346.1pt;width:219.05pt;height:55.9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L8OQIAAGwEAAAOAAAAZHJzL2Uyb0RvYy54bWysVEtv2zAMvg/YfxB0X2xnadMacYosRYYB&#10;QVsgHXpWZCk2IIuapMTOfv0o2Xms22lYDgopUnx8H+nZQ9cochDW1aALmo1SSoTmUNZ6V9Dvr6tP&#10;d5Q4z3TJFGhR0KNw9GH+8cOsNbkYQwWqFJZgEO3y1hS08t7kSeJ4JRrmRmCERqME2zCPqt0lpWUt&#10;Rm9UMk7T26QFWxoLXDiHt4+9kc5jfCkF989SOuGJKijW5uNp47kNZzKfsXxnmalqPpTB/qGKhtUa&#10;k55DPTLPyN7Wf4Rqam7BgfQjDk0CUtZcxB6wmyx9182mYkbEXhAcZ84wuf8Xlj8dNubFEt99gQ4J&#10;DIC0xuUOL0M/nbRN+MdKCdoRwuMZNtF5wvFyPL0bZ1lGCUfbNEuz7D6ESS6vjXX+q4CGBKGgFmmJ&#10;aLHD2vne9eQSkjlQdbmqlYrK0S2VJQeGDCLxJbSUKOY8XhZ0FX9Dtt+eKU3agt5+vkljJg0hXp9K&#10;aSzu0mSQfLftSF1i+ScAtlAeERcL/cg4w1c1Fr/GzC/M4owgFDj3/hkPqQBzwSBRUoH9+bf74I/U&#10;oZWSFmeuoO7HnlmBDX3TSOp9NpmEIY3K5GY6RsVeW7bXFr1vloCgIPBYXRSDv1cnUVpo3nA9FiEr&#10;mpjmmLug/iQufb8JuF5cLBbRCcfSML/WG8ND6MBAoOa1e2PWDPx5ZP4JTtPJ8nc09r7hpYbF3oOs&#10;I8cB5x7VAX4c6Tglw/qFnbnWo9flIzH/BQAA//8DAFBLAwQUAAYACAAAACEAFvIX4OMAAAALAQAA&#10;DwAAAGRycy9kb3ducmV2LnhtbEyPwU7DMBBE70j8g7VI3KjdQEMJcSqEQFCJqBCQuLrxkgTidWS7&#10;TejXY05wXM3TzNt8NZme7dH5zpKE+UwAQ6qt7qiR8PZ6f7YE5oMirXpLKOEbPayK46NcZdqO9IL7&#10;KjQslpDPlIQ2hCHj3NctGuVndkCK2Yd1RoV4uoZrp8ZYbnqeCJFyozqKC60a8LbF+qvaGQnvY/Xg&#10;Nuv15/PwWB42h6p8wrtSytOT6eYaWMAp/MHwqx/VoYhOW7sj7Vkv4XyeLCIqIb1KEmCRuFyIFNhW&#10;wlJcCOBFzv//UPwAAAD//wMAUEsBAi0AFAAGAAgAAAAhALaDOJL+AAAA4QEAABMAAAAAAAAAAAAA&#10;AAAAAAAAAFtDb250ZW50X1R5cGVzXS54bWxQSwECLQAUAAYACAAAACEAOP0h/9YAAACUAQAACwAA&#10;AAAAAAAAAAAAAAAvAQAAX3JlbHMvLnJlbHNQSwECLQAUAAYACAAAACEAC62C/DkCAABsBAAADgAA&#10;AAAAAAAAAAAAAAAuAgAAZHJzL2Uyb0RvYy54bWxQSwECLQAUAAYACAAAACEAFvIX4OMAAAALAQAA&#10;DwAAAAAAAAAAAAAAAACTBAAAZHJzL2Rvd25yZXYueG1sUEsFBgAAAAAEAAQA8wAAAKMFAAAAAA==&#10;" fillcolor="window" stroked="f" strokeweight=".5pt">
                <v:textbox>
                  <w:txbxContent>
                    <w:p w14:paraId="3C6F5C15" w14:textId="562DC427"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8</w:t>
                      </w:r>
                    </w:p>
                  </w:txbxContent>
                </v:textbox>
              </v:shape>
            </w:pict>
          </mc:Fallback>
        </mc:AlternateContent>
      </w:r>
      <w:r>
        <w:rPr>
          <w:rFonts w:ascii="Aptos" w:hAnsi="Aptos"/>
          <w:noProof/>
          <w14:ligatures w14:val="standardContextual"/>
        </w:rPr>
        <w:drawing>
          <wp:anchor distT="0" distB="0" distL="114300" distR="114300" simplePos="0" relativeHeight="251658241" behindDoc="0" locked="0" layoutInCell="1" allowOverlap="1" wp14:anchorId="34440173" wp14:editId="09BC3D23">
            <wp:simplePos x="0" y="0"/>
            <wp:positionH relativeFrom="column">
              <wp:posOffset>1361440</wp:posOffset>
            </wp:positionH>
            <wp:positionV relativeFrom="paragraph">
              <wp:posOffset>404495</wp:posOffset>
            </wp:positionV>
            <wp:extent cx="2724785" cy="3987800"/>
            <wp:effectExtent l="0" t="0" r="0" b="0"/>
            <wp:wrapTopAndBottom/>
            <wp:docPr id="1993904601" name="Picture 1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04601" name="Picture 10" descr="A diagram of a graph&#10;&#10;Description automatically generated"/>
                    <pic:cNvPicPr/>
                  </pic:nvPicPr>
                  <pic:blipFill rotWithShape="1">
                    <a:blip r:embed="rId12" cstate="print">
                      <a:extLst>
                        <a:ext uri="{28A0092B-C50C-407E-A947-70E740481C1C}">
                          <a14:useLocalDpi xmlns:a14="http://schemas.microsoft.com/office/drawing/2010/main" val="0"/>
                        </a:ext>
                      </a:extLst>
                    </a:blip>
                    <a:srcRect b="8747"/>
                    <a:stretch/>
                  </pic:blipFill>
                  <pic:spPr bwMode="auto">
                    <a:xfrm>
                      <a:off x="0" y="0"/>
                      <a:ext cx="2724785" cy="3987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C4425">
        <w:rPr>
          <w:rFonts w:ascii="Aptos" w:hAnsi="Aptos"/>
          <w:noProof/>
        </w:rPr>
        <w:br w:type="page"/>
      </w:r>
    </w:p>
    <w:p w14:paraId="6DBAA02E" w14:textId="09BC983A" w:rsidR="001C4425" w:rsidRDefault="0044747D">
      <w:pPr>
        <w:rPr>
          <w:rFonts w:ascii="Aptos" w:hAnsi="Aptos"/>
          <w:noProof/>
        </w:rPr>
      </w:pPr>
      <w:r>
        <w:rPr>
          <w:rFonts w:ascii="Aptos" w:hAnsi="Aptos"/>
          <w:noProof/>
          <w14:ligatures w14:val="standardContextual"/>
        </w:rPr>
        <w:lastRenderedPageBreak/>
        <w:drawing>
          <wp:anchor distT="0" distB="0" distL="114300" distR="114300" simplePos="0" relativeHeight="251658240" behindDoc="1" locked="0" layoutInCell="1" allowOverlap="1" wp14:anchorId="7AE8D531" wp14:editId="6034A9AD">
            <wp:simplePos x="0" y="0"/>
            <wp:positionH relativeFrom="column">
              <wp:posOffset>1653702</wp:posOffset>
            </wp:positionH>
            <wp:positionV relativeFrom="paragraph">
              <wp:posOffset>330740</wp:posOffset>
            </wp:positionV>
            <wp:extent cx="2316480" cy="3583940"/>
            <wp:effectExtent l="0" t="0" r="7620" b="0"/>
            <wp:wrapTopAndBottom/>
            <wp:docPr id="644586209" name="Picture 1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86209" name="Picture 11" descr="A close-up of a microsco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6480" cy="3583940"/>
                    </a:xfrm>
                    <a:prstGeom prst="rect">
                      <a:avLst/>
                    </a:prstGeom>
                  </pic:spPr>
                </pic:pic>
              </a:graphicData>
            </a:graphic>
          </wp:anchor>
        </w:drawing>
      </w:r>
    </w:p>
    <w:p w14:paraId="498B319F" w14:textId="06F8C86A" w:rsidR="001C4425" w:rsidRDefault="0044747D">
      <w:pPr>
        <w:rPr>
          <w:rFonts w:ascii="Aptos" w:hAnsi="Aptos"/>
          <w:noProof/>
        </w:rPr>
      </w:pPr>
      <w:r>
        <w:rPr>
          <w:noProof/>
          <w14:ligatures w14:val="standardContextual"/>
        </w:rPr>
        <mc:AlternateContent>
          <mc:Choice Requires="wps">
            <w:drawing>
              <wp:anchor distT="0" distB="0" distL="114300" distR="114300" simplePos="0" relativeHeight="251658252" behindDoc="0" locked="0" layoutInCell="1" allowOverlap="1" wp14:anchorId="1A0C528C" wp14:editId="38F9BF82">
                <wp:simplePos x="0" y="0"/>
                <wp:positionH relativeFrom="column">
                  <wp:posOffset>1682885</wp:posOffset>
                </wp:positionH>
                <wp:positionV relativeFrom="paragraph">
                  <wp:posOffset>3631916</wp:posOffset>
                </wp:positionV>
                <wp:extent cx="2782111" cy="710119"/>
                <wp:effectExtent l="0" t="0" r="0" b="0"/>
                <wp:wrapNone/>
                <wp:docPr id="727785588" name="Text Box 12"/>
                <wp:cNvGraphicFramePr/>
                <a:graphic xmlns:a="http://schemas.openxmlformats.org/drawingml/2006/main">
                  <a:graphicData uri="http://schemas.microsoft.com/office/word/2010/wordprocessingShape">
                    <wps:wsp>
                      <wps:cNvSpPr txBox="1"/>
                      <wps:spPr>
                        <a:xfrm>
                          <a:off x="0" y="0"/>
                          <a:ext cx="2782111" cy="710119"/>
                        </a:xfrm>
                        <a:prstGeom prst="rect">
                          <a:avLst/>
                        </a:prstGeom>
                        <a:solidFill>
                          <a:schemeClr val="lt1"/>
                        </a:solidFill>
                        <a:ln w="6350">
                          <a:noFill/>
                        </a:ln>
                      </wps:spPr>
                      <wps:txbx>
                        <w:txbxContent>
                          <w:p w14:paraId="34CAE363" w14:textId="71B8D908"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0C528C" id="_x0000_s1034" type="#_x0000_t202" style="position:absolute;margin-left:132.5pt;margin-top:286pt;width:219.05pt;height:55.9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TtMQIAAFsEAAAOAAAAZHJzL2Uyb0RvYy54bWysVE1v2zAMvQ/YfxB0X2xnaZsacYosRYYB&#10;QVsgHXpWZCkRIIuapMTOfv0oOV/rdhp2kSmReiQfnzx56BpN9sJ5BaaixSCnRBgOtTKbin5/XXwa&#10;U+IDMzXTYERFD8LTh+nHD5PWlmIIW9C1cARBjC9bW9FtCLbMMs+3omF+AFYYdEpwDQu4dZusdqxF&#10;9EZnwzy/zVpwtXXAhfd4+tg76TThSyl4eJbSi0B0RbG2kFaX1nVcs+mElRvH7FbxYxnsH6pomDKY&#10;9Az1yAIjO6f+gGoUd+BBhgGHJgMpFRepB+ymyN91s9oyK1IvSI63Z5r8/4PlT/uVfXEkdF+gwwFG&#10;QlrrS4+HsZ9OuiZ+sVKCfqTwcKZNdIFwPBzejYdFUVDC0XdX5EVxH2Gyy23rfPgqoCHRqKjDsSS2&#10;2H7pQx96ConJPGhVL5TWaROlIObakT3DIeqQakTw36K0IW1Fbz/f5AnYQLzeI2uDtVx6ilbo1h1R&#10;dUXHp37XUB+QBge9QrzlC4W1LpkPL8yhJLBzlHl4xkVqwFxwtCjZgvv5t/MYj5NCLyUtSqyi/seO&#10;OUGJ/mZwhvfFaBQ1mTajm7shbty1Z33tMbtmDkgA8ozVJTPGB30ypYPmDV/DLGZFFzMcc1c0nMx5&#10;6IWPr4mL2SwFoQotC0uzsjxCR8LjJF67N+bscVwBB/0EJzGy8t3U+th408BsF0CqNNLIc8/qkX5U&#10;cBLF8bXFJ3K9T1GXf8L0FwAAAP//AwBQSwMEFAAGAAgAAAAhAPwCdQ/jAAAACwEAAA8AAABkcnMv&#10;ZG93bnJldi54bWxMj0trwzAQhO+F/AexgV5KI8fGD1zLIZQ+oLfEfdCbYm1tE2tlLMV2/33VU3ub&#10;ZYbZb4rdons24Wg7QwK2mwAYUm1UR42A1+rxNgNmnSQle0Mo4Bst7MrVVSFzZWY64HR0DfMlZHMp&#10;oHVuyDm3dYta2o0ZkLz3ZUYtnT/HhqtRzr5c9zwMgoRr2ZH/0MoB71usz8eLFvB503y82OXpbY7i&#10;aHh4nqr0XVVCXK+X/R0wh4v7C8MvvkeH0jOdzIWUZb2AMIn9FicgTkMvfCINoi2wk4AkizLgZcH/&#10;byh/AAAA//8DAFBLAQItABQABgAIAAAAIQC2gziS/gAAAOEBAAATAAAAAAAAAAAAAAAAAAAAAABb&#10;Q29udGVudF9UeXBlc10ueG1sUEsBAi0AFAAGAAgAAAAhADj9If/WAAAAlAEAAAsAAAAAAAAAAAAA&#10;AAAALwEAAF9yZWxzLy5yZWxzUEsBAi0AFAAGAAgAAAAhAN649O0xAgAAWwQAAA4AAAAAAAAAAAAA&#10;AAAALgIAAGRycy9lMm9Eb2MueG1sUEsBAi0AFAAGAAgAAAAhAPwCdQ/jAAAACwEAAA8AAAAAAAAA&#10;AAAAAAAAiwQAAGRycy9kb3ducmV2LnhtbFBLBQYAAAAABAAEAPMAAACbBQAAAAA=&#10;" fillcolor="white [3201]" stroked="f" strokeweight=".5pt">
                <v:textbox>
                  <w:txbxContent>
                    <w:p w14:paraId="34CAE363" w14:textId="71B8D908" w:rsidR="0044747D" w:rsidRPr="0044747D" w:rsidRDefault="0044747D" w:rsidP="0044747D">
                      <w:pPr>
                        <w:rPr>
                          <w:rFonts w:ascii="Times New Roman" w:hAnsi="Times New Roman" w:cs="Times New Roman"/>
                          <w:b/>
                          <w:bCs/>
                          <w:sz w:val="24"/>
                          <w:szCs w:val="24"/>
                          <w:u w:val="single"/>
                        </w:rPr>
                      </w:pPr>
                      <w:r w:rsidRPr="0044747D">
                        <w:rPr>
                          <w:rFonts w:ascii="Times New Roman" w:hAnsi="Times New Roman" w:cs="Times New Roman"/>
                          <w:b/>
                          <w:bCs/>
                          <w:sz w:val="24"/>
                          <w:szCs w:val="24"/>
                          <w:u w:val="single"/>
                        </w:rPr>
                        <w:t xml:space="preserve">Supplementary Fig. </w:t>
                      </w:r>
                      <w:r>
                        <w:rPr>
                          <w:rFonts w:ascii="Times New Roman" w:hAnsi="Times New Roman" w:cs="Times New Roman"/>
                          <w:b/>
                          <w:bCs/>
                          <w:sz w:val="24"/>
                          <w:szCs w:val="24"/>
                          <w:u w:val="single"/>
                        </w:rPr>
                        <w:t>9</w:t>
                      </w:r>
                    </w:p>
                  </w:txbxContent>
                </v:textbox>
              </v:shape>
            </w:pict>
          </mc:Fallback>
        </mc:AlternateContent>
      </w:r>
      <w:r w:rsidR="001C4425">
        <w:rPr>
          <w:rFonts w:ascii="Aptos" w:hAnsi="Aptos"/>
          <w:noProof/>
        </w:rPr>
        <w:br w:type="page"/>
      </w:r>
      <w:r w:rsidR="00E73340">
        <w:rPr>
          <w:rFonts w:ascii="Aptos" w:hAnsi="Aptos"/>
          <w:noProof/>
        </w:rPr>
        <w:lastRenderedPageBreak/>
        <w:br w:type="page"/>
      </w:r>
      <w:r w:rsidR="00E73340">
        <w:rPr>
          <w:rFonts w:ascii="Aptos" w:hAnsi="Aptos"/>
          <w:noProof/>
          <w14:ligatures w14:val="standardContextual"/>
        </w:rPr>
        <w:drawing>
          <wp:anchor distT="0" distB="0" distL="114300" distR="114300" simplePos="0" relativeHeight="251658253" behindDoc="1" locked="0" layoutInCell="1" allowOverlap="1" wp14:anchorId="78A30D4F" wp14:editId="12A90491">
            <wp:simplePos x="0" y="0"/>
            <wp:positionH relativeFrom="column">
              <wp:posOffset>-607234</wp:posOffset>
            </wp:positionH>
            <wp:positionV relativeFrom="paragraph">
              <wp:posOffset>283210</wp:posOffset>
            </wp:positionV>
            <wp:extent cx="7187565" cy="7907020"/>
            <wp:effectExtent l="0" t="0" r="0" b="0"/>
            <wp:wrapTopAndBottom/>
            <wp:docPr id="135599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7565" cy="7907020"/>
                    </a:xfrm>
                    <a:prstGeom prst="rect">
                      <a:avLst/>
                    </a:prstGeom>
                    <a:noFill/>
                  </pic:spPr>
                </pic:pic>
              </a:graphicData>
            </a:graphic>
            <wp14:sizeRelH relativeFrom="page">
              <wp14:pctWidth>0</wp14:pctWidth>
            </wp14:sizeRelH>
            <wp14:sizeRelV relativeFrom="page">
              <wp14:pctHeight>0</wp14:pctHeight>
            </wp14:sizeRelV>
          </wp:anchor>
        </w:drawing>
      </w:r>
    </w:p>
    <w:p w14:paraId="6FA5728C" w14:textId="77777777" w:rsidR="001C4425" w:rsidRPr="00E87325" w:rsidRDefault="001C4425">
      <w:pPr>
        <w:rPr>
          <w:rFonts w:ascii="Times New Roman" w:hAnsi="Times New Roman" w:cs="Times New Roman"/>
          <w:noProof/>
          <w:sz w:val="24"/>
          <w:szCs w:val="24"/>
        </w:rPr>
      </w:pPr>
    </w:p>
    <w:p w14:paraId="3447D501" w14:textId="77777777" w:rsidR="0019671C" w:rsidRPr="00E87325" w:rsidRDefault="00D5718E" w:rsidP="0019671C">
      <w:pPr>
        <w:pStyle w:val="EndNoteBibliography"/>
        <w:spacing w:after="0"/>
        <w:ind w:left="720" w:hanging="720"/>
        <w:rPr>
          <w:rFonts w:ascii="Times New Roman" w:hAnsi="Times New Roman" w:cs="Times New Roman"/>
          <w:sz w:val="24"/>
          <w:szCs w:val="24"/>
        </w:rPr>
      </w:pPr>
      <w:r w:rsidRPr="00E87325">
        <w:rPr>
          <w:rFonts w:ascii="Times New Roman" w:hAnsi="Times New Roman" w:cs="Times New Roman"/>
          <w:sz w:val="24"/>
          <w:szCs w:val="24"/>
        </w:rPr>
        <w:fldChar w:fldCharType="begin"/>
      </w:r>
      <w:r w:rsidRPr="00E87325">
        <w:rPr>
          <w:rFonts w:ascii="Times New Roman" w:hAnsi="Times New Roman" w:cs="Times New Roman"/>
          <w:sz w:val="24"/>
          <w:szCs w:val="24"/>
        </w:rPr>
        <w:instrText xml:space="preserve"> ADDIN EN.REFLIST </w:instrText>
      </w:r>
      <w:r w:rsidRPr="00E87325">
        <w:rPr>
          <w:rFonts w:ascii="Times New Roman" w:hAnsi="Times New Roman" w:cs="Times New Roman"/>
          <w:sz w:val="24"/>
          <w:szCs w:val="24"/>
        </w:rPr>
        <w:fldChar w:fldCharType="separate"/>
      </w:r>
      <w:r w:rsidR="0019671C" w:rsidRPr="00E87325">
        <w:rPr>
          <w:rFonts w:ascii="Times New Roman" w:hAnsi="Times New Roman" w:cs="Times New Roman"/>
          <w:sz w:val="24"/>
          <w:szCs w:val="24"/>
        </w:rPr>
        <w:t>1.</w:t>
      </w:r>
      <w:r w:rsidR="0019671C" w:rsidRPr="00E87325">
        <w:rPr>
          <w:rFonts w:ascii="Times New Roman" w:hAnsi="Times New Roman" w:cs="Times New Roman"/>
          <w:sz w:val="24"/>
          <w:szCs w:val="24"/>
        </w:rPr>
        <w:tab/>
        <w:t>Ghosh A, Roy A, Liu X, Kordower JH, Mufson EJ, Hartley DM, Ghosh S, Mosley RL, Gendelman HE, Pahan K. Selective inhibition of nf-kappab activation prevents dopaminergic neuronal loss in a mouse model of parkinson's disease. Proc Natl Acad Sci U S A. 2007;104:18754-18759. doi: 10.1073/pnas.0704908104. PMID: 18000063.</w:t>
      </w:r>
    </w:p>
    <w:p w14:paraId="310C370D" w14:textId="22993814" w:rsidR="0019671C" w:rsidRPr="00E87325" w:rsidRDefault="0019671C" w:rsidP="0019671C">
      <w:pPr>
        <w:pStyle w:val="EndNoteBibliography"/>
        <w:ind w:left="720" w:hanging="720"/>
        <w:rPr>
          <w:rFonts w:ascii="Times New Roman" w:hAnsi="Times New Roman" w:cs="Times New Roman"/>
          <w:sz w:val="24"/>
          <w:szCs w:val="24"/>
        </w:rPr>
      </w:pPr>
      <w:r w:rsidRPr="00E87325">
        <w:rPr>
          <w:rFonts w:ascii="Times New Roman" w:hAnsi="Times New Roman" w:cs="Times New Roman"/>
          <w:sz w:val="24"/>
          <w:szCs w:val="24"/>
        </w:rPr>
        <w:t>2.</w:t>
      </w:r>
      <w:r w:rsidRPr="00E87325">
        <w:rPr>
          <w:rFonts w:ascii="Times New Roman" w:hAnsi="Times New Roman" w:cs="Times New Roman"/>
          <w:sz w:val="24"/>
          <w:szCs w:val="24"/>
        </w:rPr>
        <w:tab/>
        <w:t xml:space="preserve">Roy A, Jana M, Corbett Grant T, Ramaswamy S, Kordower Jeffrey H, Gonzalez Frank J, Pahan K. Regulation of cyclic amp response element binding and hippocampal plasticity-related genes by peroxisome proliferator-activated receptor α. Cell Reports. 2013;4:724-737. doi: </w:t>
      </w:r>
      <w:hyperlink r:id="rId15" w:history="1">
        <w:r w:rsidRPr="00E87325">
          <w:rPr>
            <w:rStyle w:val="Hyperlink"/>
            <w:rFonts w:ascii="Times New Roman" w:hAnsi="Times New Roman" w:cs="Times New Roman"/>
            <w:sz w:val="24"/>
            <w:szCs w:val="24"/>
          </w:rPr>
          <w:t>https://doi.org/10.1016/j.celrep.2013.07.028</w:t>
        </w:r>
      </w:hyperlink>
      <w:r w:rsidRPr="00E87325">
        <w:rPr>
          <w:rFonts w:ascii="Times New Roman" w:hAnsi="Times New Roman" w:cs="Times New Roman"/>
          <w:sz w:val="24"/>
          <w:szCs w:val="24"/>
        </w:rPr>
        <w:t>.</w:t>
      </w:r>
    </w:p>
    <w:p w14:paraId="07260BC4" w14:textId="5D3E1082" w:rsidR="00093A2F" w:rsidRDefault="00D5718E">
      <w:r w:rsidRPr="00E87325">
        <w:rPr>
          <w:rFonts w:ascii="Times New Roman" w:hAnsi="Times New Roman" w:cs="Times New Roman"/>
          <w:sz w:val="24"/>
          <w:szCs w:val="24"/>
        </w:rPr>
        <w:fldChar w:fldCharType="end"/>
      </w:r>
    </w:p>
    <w:sectPr w:rsidR="00093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NjEzNDCzMDA1NrdQ0lEKTi0uzszPAykwqwUA2G0HrCwAAAA="/>
    <w:docVar w:name="EN.InstantFormat" w:val="&lt;ENInstantFormat&gt;&lt;Enabled&gt;1&lt;/Enabled&gt;&lt;ScanUnformatted&gt;1&lt;/ScanUnformatted&gt;&lt;ScanChanges&gt;1&lt;/ScanChanges&gt;&lt;Suspended&gt;0&lt;/Suspended&gt;&lt;/ENInstantFormat&gt;"/>
    <w:docVar w:name="EN.Layout" w:val="&lt;ENLayout&gt;&lt;Style&gt;Molecular Cellular Bi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00vx2vcs50sgev0wovravjf29zvrwar5ts&quot;&gt;JBC&lt;record-ids&gt;&lt;item&gt;60&lt;/item&gt;&lt;/record-ids&gt;&lt;/item&gt;&lt;/Libraries&gt;"/>
  </w:docVars>
  <w:rsids>
    <w:rsidRoot w:val="005B227B"/>
    <w:rsid w:val="000562E6"/>
    <w:rsid w:val="00084C5B"/>
    <w:rsid w:val="00093A2F"/>
    <w:rsid w:val="00095568"/>
    <w:rsid w:val="000A3A28"/>
    <w:rsid w:val="0019671C"/>
    <w:rsid w:val="00197E1E"/>
    <w:rsid w:val="00197E45"/>
    <w:rsid w:val="001C4425"/>
    <w:rsid w:val="002519F4"/>
    <w:rsid w:val="00272594"/>
    <w:rsid w:val="00323AC4"/>
    <w:rsid w:val="00381486"/>
    <w:rsid w:val="00381EDA"/>
    <w:rsid w:val="0041329E"/>
    <w:rsid w:val="00424545"/>
    <w:rsid w:val="00426A3F"/>
    <w:rsid w:val="0044747D"/>
    <w:rsid w:val="00455C58"/>
    <w:rsid w:val="0048409A"/>
    <w:rsid w:val="004857B5"/>
    <w:rsid w:val="004B0AE2"/>
    <w:rsid w:val="00531CEF"/>
    <w:rsid w:val="0056243A"/>
    <w:rsid w:val="00564B3F"/>
    <w:rsid w:val="005B227B"/>
    <w:rsid w:val="00643690"/>
    <w:rsid w:val="0069525B"/>
    <w:rsid w:val="0069552B"/>
    <w:rsid w:val="006A26E1"/>
    <w:rsid w:val="006E2318"/>
    <w:rsid w:val="006F0FD7"/>
    <w:rsid w:val="00731601"/>
    <w:rsid w:val="007A59E2"/>
    <w:rsid w:val="007E53F0"/>
    <w:rsid w:val="008545BA"/>
    <w:rsid w:val="0099771D"/>
    <w:rsid w:val="00AC5ABE"/>
    <w:rsid w:val="00B41E4C"/>
    <w:rsid w:val="00B6630F"/>
    <w:rsid w:val="00BA1DF8"/>
    <w:rsid w:val="00BB19AC"/>
    <w:rsid w:val="00C20A70"/>
    <w:rsid w:val="00C733A6"/>
    <w:rsid w:val="00C87152"/>
    <w:rsid w:val="00CB4D08"/>
    <w:rsid w:val="00CE6714"/>
    <w:rsid w:val="00D13AE5"/>
    <w:rsid w:val="00D23F5D"/>
    <w:rsid w:val="00D3160B"/>
    <w:rsid w:val="00D5718E"/>
    <w:rsid w:val="00D83D18"/>
    <w:rsid w:val="00DB5A75"/>
    <w:rsid w:val="00DD5951"/>
    <w:rsid w:val="00E73340"/>
    <w:rsid w:val="00E825EE"/>
    <w:rsid w:val="00E87325"/>
    <w:rsid w:val="00EB092B"/>
    <w:rsid w:val="00EB0E90"/>
    <w:rsid w:val="00EB68E7"/>
    <w:rsid w:val="00EE6646"/>
    <w:rsid w:val="00FE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B26B"/>
  <w15:chartTrackingRefBased/>
  <w15:docId w15:val="{2374F19C-6B12-4E83-B5F0-9040C21E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27B"/>
    <w:rPr>
      <w:kern w:val="0"/>
      <w14:ligatures w14:val="none"/>
    </w:rPr>
  </w:style>
  <w:style w:type="paragraph" w:styleId="Heading1">
    <w:name w:val="heading 1"/>
    <w:basedOn w:val="Normal"/>
    <w:next w:val="Normal"/>
    <w:link w:val="Heading1Char"/>
    <w:uiPriority w:val="9"/>
    <w:qFormat/>
    <w:rsid w:val="005B227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227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227B"/>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227B"/>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B227B"/>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B227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B227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B227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B227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2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2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2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27B"/>
    <w:rPr>
      <w:rFonts w:eastAsiaTheme="majorEastAsia" w:cstheme="majorBidi"/>
      <w:color w:val="272727" w:themeColor="text1" w:themeTint="D8"/>
    </w:rPr>
  </w:style>
  <w:style w:type="paragraph" w:styleId="Title">
    <w:name w:val="Title"/>
    <w:basedOn w:val="Normal"/>
    <w:next w:val="Normal"/>
    <w:link w:val="TitleChar"/>
    <w:uiPriority w:val="10"/>
    <w:qFormat/>
    <w:rsid w:val="005B227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2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27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2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27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B227B"/>
    <w:rPr>
      <w:i/>
      <w:iCs/>
      <w:color w:val="404040" w:themeColor="text1" w:themeTint="BF"/>
    </w:rPr>
  </w:style>
  <w:style w:type="paragraph" w:styleId="ListParagraph">
    <w:name w:val="List Paragraph"/>
    <w:basedOn w:val="Normal"/>
    <w:uiPriority w:val="34"/>
    <w:qFormat/>
    <w:rsid w:val="005B227B"/>
    <w:pPr>
      <w:ind w:left="720"/>
      <w:contextualSpacing/>
    </w:pPr>
    <w:rPr>
      <w:kern w:val="2"/>
      <w14:ligatures w14:val="standardContextual"/>
    </w:rPr>
  </w:style>
  <w:style w:type="character" w:styleId="IntenseEmphasis">
    <w:name w:val="Intense Emphasis"/>
    <w:basedOn w:val="DefaultParagraphFont"/>
    <w:uiPriority w:val="21"/>
    <w:qFormat/>
    <w:rsid w:val="005B227B"/>
    <w:rPr>
      <w:i/>
      <w:iCs/>
      <w:color w:val="0F4761" w:themeColor="accent1" w:themeShade="BF"/>
    </w:rPr>
  </w:style>
  <w:style w:type="paragraph" w:styleId="IntenseQuote">
    <w:name w:val="Intense Quote"/>
    <w:basedOn w:val="Normal"/>
    <w:next w:val="Normal"/>
    <w:link w:val="IntenseQuoteChar"/>
    <w:uiPriority w:val="30"/>
    <w:qFormat/>
    <w:rsid w:val="005B2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B227B"/>
    <w:rPr>
      <w:i/>
      <w:iCs/>
      <w:color w:val="0F4761" w:themeColor="accent1" w:themeShade="BF"/>
    </w:rPr>
  </w:style>
  <w:style w:type="character" w:styleId="IntenseReference">
    <w:name w:val="Intense Reference"/>
    <w:basedOn w:val="DefaultParagraphFont"/>
    <w:uiPriority w:val="32"/>
    <w:qFormat/>
    <w:rsid w:val="005B227B"/>
    <w:rPr>
      <w:b/>
      <w:bCs/>
      <w:smallCaps/>
      <w:color w:val="0F4761" w:themeColor="accent1" w:themeShade="BF"/>
      <w:spacing w:val="5"/>
    </w:rPr>
  </w:style>
  <w:style w:type="paragraph" w:customStyle="1" w:styleId="BodyAA">
    <w:name w:val="Body A A"/>
    <w:rsid w:val="005B227B"/>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14:ligatures w14:val="none"/>
    </w:rPr>
  </w:style>
  <w:style w:type="character" w:styleId="Hyperlink">
    <w:name w:val="Hyperlink"/>
    <w:basedOn w:val="DefaultParagraphFont"/>
    <w:uiPriority w:val="99"/>
    <w:unhideWhenUsed/>
    <w:rsid w:val="005B227B"/>
    <w:rPr>
      <w:color w:val="467886" w:themeColor="hyperlink"/>
      <w:u w:val="single"/>
    </w:rPr>
  </w:style>
  <w:style w:type="paragraph" w:styleId="NormalWeb">
    <w:name w:val="Normal (Web)"/>
    <w:basedOn w:val="Normal"/>
    <w:link w:val="NormalWebChar"/>
    <w:uiPriority w:val="99"/>
    <w:semiHidden/>
    <w:unhideWhenUsed/>
    <w:rsid w:val="00D23F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D5718E"/>
    <w:pPr>
      <w:spacing w:after="0"/>
      <w:jc w:val="center"/>
    </w:pPr>
    <w:rPr>
      <w:rFonts w:ascii="Aptos" w:hAnsi="Aptos"/>
      <w:noProof/>
    </w:rPr>
  </w:style>
  <w:style w:type="character" w:customStyle="1" w:styleId="NormalWebChar">
    <w:name w:val="Normal (Web) Char"/>
    <w:basedOn w:val="DefaultParagraphFont"/>
    <w:link w:val="NormalWeb"/>
    <w:uiPriority w:val="99"/>
    <w:semiHidden/>
    <w:rsid w:val="00D5718E"/>
    <w:rPr>
      <w:rFonts w:ascii="Times New Roman" w:eastAsia="Times New Roman" w:hAnsi="Times New Roman" w:cs="Times New Roman"/>
      <w:kern w:val="0"/>
      <w:sz w:val="24"/>
      <w:szCs w:val="24"/>
      <w14:ligatures w14:val="none"/>
    </w:rPr>
  </w:style>
  <w:style w:type="character" w:customStyle="1" w:styleId="EndNoteBibliographyTitleChar">
    <w:name w:val="EndNote Bibliography Title Char"/>
    <w:basedOn w:val="NormalWebChar"/>
    <w:link w:val="EndNoteBibliographyTitle"/>
    <w:rsid w:val="00D5718E"/>
    <w:rPr>
      <w:rFonts w:ascii="Aptos" w:eastAsia="Times New Roman" w:hAnsi="Aptos" w:cs="Times New Roman"/>
      <w:noProof/>
      <w:kern w:val="0"/>
      <w:sz w:val="24"/>
      <w:szCs w:val="24"/>
      <w14:ligatures w14:val="none"/>
    </w:rPr>
  </w:style>
  <w:style w:type="paragraph" w:customStyle="1" w:styleId="EndNoteBibliography">
    <w:name w:val="EndNote Bibliography"/>
    <w:basedOn w:val="Normal"/>
    <w:link w:val="EndNoteBibliographyChar"/>
    <w:rsid w:val="00D5718E"/>
    <w:pPr>
      <w:spacing w:line="240" w:lineRule="auto"/>
    </w:pPr>
    <w:rPr>
      <w:rFonts w:ascii="Aptos" w:hAnsi="Aptos"/>
      <w:noProof/>
    </w:rPr>
  </w:style>
  <w:style w:type="character" w:customStyle="1" w:styleId="EndNoteBibliographyChar">
    <w:name w:val="EndNote Bibliography Char"/>
    <w:basedOn w:val="NormalWebChar"/>
    <w:link w:val="EndNoteBibliography"/>
    <w:rsid w:val="00D5718E"/>
    <w:rPr>
      <w:rFonts w:ascii="Aptos" w:eastAsia="Times New Roman" w:hAnsi="Aptos" w:cs="Times New Roman"/>
      <w:noProof/>
      <w:kern w:val="0"/>
      <w:sz w:val="24"/>
      <w:szCs w:val="24"/>
      <w14:ligatures w14:val="none"/>
    </w:rPr>
  </w:style>
  <w:style w:type="character" w:styleId="UnresolvedMention">
    <w:name w:val="Unresolved Mention"/>
    <w:basedOn w:val="DefaultParagraphFont"/>
    <w:uiPriority w:val="99"/>
    <w:semiHidden/>
    <w:unhideWhenUsed/>
    <w:rsid w:val="0056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611981">
      <w:bodyDiv w:val="1"/>
      <w:marLeft w:val="0"/>
      <w:marRight w:val="0"/>
      <w:marTop w:val="0"/>
      <w:marBottom w:val="0"/>
      <w:divBdr>
        <w:top w:val="none" w:sz="0" w:space="0" w:color="auto"/>
        <w:left w:val="none" w:sz="0" w:space="0" w:color="auto"/>
        <w:bottom w:val="none" w:sz="0" w:space="0" w:color="auto"/>
        <w:right w:val="none" w:sz="0" w:space="0" w:color="auto"/>
      </w:divBdr>
    </w:div>
    <w:div w:id="1019892481">
      <w:bodyDiv w:val="1"/>
      <w:marLeft w:val="0"/>
      <w:marRight w:val="0"/>
      <w:marTop w:val="0"/>
      <w:marBottom w:val="0"/>
      <w:divBdr>
        <w:top w:val="none" w:sz="0" w:space="0" w:color="auto"/>
        <w:left w:val="none" w:sz="0" w:space="0" w:color="auto"/>
        <w:bottom w:val="none" w:sz="0" w:space="0" w:color="auto"/>
        <w:right w:val="none" w:sz="0" w:space="0" w:color="auto"/>
      </w:divBdr>
    </w:div>
    <w:div w:id="1040669032">
      <w:bodyDiv w:val="1"/>
      <w:marLeft w:val="0"/>
      <w:marRight w:val="0"/>
      <w:marTop w:val="0"/>
      <w:marBottom w:val="0"/>
      <w:divBdr>
        <w:top w:val="none" w:sz="0" w:space="0" w:color="auto"/>
        <w:left w:val="none" w:sz="0" w:space="0" w:color="auto"/>
        <w:bottom w:val="none" w:sz="0" w:space="0" w:color="auto"/>
        <w:right w:val="none" w:sz="0" w:space="0" w:color="auto"/>
      </w:divBdr>
    </w:div>
    <w:div w:id="1293631319">
      <w:bodyDiv w:val="1"/>
      <w:marLeft w:val="0"/>
      <w:marRight w:val="0"/>
      <w:marTop w:val="0"/>
      <w:marBottom w:val="0"/>
      <w:divBdr>
        <w:top w:val="none" w:sz="0" w:space="0" w:color="auto"/>
        <w:left w:val="none" w:sz="0" w:space="0" w:color="auto"/>
        <w:bottom w:val="none" w:sz="0" w:space="0" w:color="auto"/>
        <w:right w:val="none" w:sz="0" w:space="0" w:color="auto"/>
      </w:divBdr>
    </w:div>
    <w:div w:id="1574773764">
      <w:bodyDiv w:val="1"/>
      <w:marLeft w:val="0"/>
      <w:marRight w:val="0"/>
      <w:marTop w:val="0"/>
      <w:marBottom w:val="0"/>
      <w:divBdr>
        <w:top w:val="none" w:sz="0" w:space="0" w:color="auto"/>
        <w:left w:val="none" w:sz="0" w:space="0" w:color="auto"/>
        <w:bottom w:val="none" w:sz="0" w:space="0" w:color="auto"/>
        <w:right w:val="none" w:sz="0" w:space="0" w:color="auto"/>
      </w:divBdr>
    </w:div>
    <w:div w:id="1643120742">
      <w:bodyDiv w:val="1"/>
      <w:marLeft w:val="0"/>
      <w:marRight w:val="0"/>
      <w:marTop w:val="0"/>
      <w:marBottom w:val="0"/>
      <w:divBdr>
        <w:top w:val="none" w:sz="0" w:space="0" w:color="auto"/>
        <w:left w:val="none" w:sz="0" w:space="0" w:color="auto"/>
        <w:bottom w:val="none" w:sz="0" w:space="0" w:color="auto"/>
        <w:right w:val="none" w:sz="0" w:space="0" w:color="auto"/>
      </w:divBdr>
    </w:div>
    <w:div w:id="1791898123">
      <w:bodyDiv w:val="1"/>
      <w:marLeft w:val="0"/>
      <w:marRight w:val="0"/>
      <w:marTop w:val="0"/>
      <w:marBottom w:val="0"/>
      <w:divBdr>
        <w:top w:val="none" w:sz="0" w:space="0" w:color="auto"/>
        <w:left w:val="none" w:sz="0" w:space="0" w:color="auto"/>
        <w:bottom w:val="none" w:sz="0" w:space="0" w:color="auto"/>
        <w:right w:val="none" w:sz="0" w:space="0" w:color="auto"/>
      </w:divBdr>
    </w:div>
    <w:div w:id="20555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hyperlink" Target="https://doi.org/10.1016/j.celrep.2013.07.028" TargetMode="External"/><Relationship Id="rId10" Type="http://schemas.openxmlformats.org/officeDocument/2006/relationships/image" Target="media/image6.tiff"/><Relationship Id="rId4" Type="http://schemas.openxmlformats.org/officeDocument/2006/relationships/hyperlink" Target="mailto:aroy@simmaron.com" TargetMode="External"/><Relationship Id="rId9" Type="http://schemas.openxmlformats.org/officeDocument/2006/relationships/image" Target="media/image5.tif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Avik Roy</dc:creator>
  <cp:keywords/>
  <dc:description/>
  <cp:lastModifiedBy>Avik Roy</cp:lastModifiedBy>
  <cp:revision>2</cp:revision>
  <cp:lastPrinted>2024-02-07T01:55:00Z</cp:lastPrinted>
  <dcterms:created xsi:type="dcterms:W3CDTF">2024-10-24T23:45:00Z</dcterms:created>
  <dcterms:modified xsi:type="dcterms:W3CDTF">2024-10-24T23:45:00Z</dcterms:modified>
</cp:coreProperties>
</file>