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747B6">
      <w:pPr>
        <w:bidi w:val="0"/>
        <w:rPr>
          <w:rFonts w:hint="eastAsia"/>
          <w:b/>
          <w:bCs/>
          <w:sz w:val="20"/>
          <w:szCs w:val="20"/>
          <w:lang w:val="en-US" w:eastAsia="zh-CN"/>
        </w:rPr>
      </w:pPr>
      <w:r>
        <w:rPr>
          <w:rFonts w:hint="eastAsia"/>
          <w:b/>
          <w:bCs/>
          <w:sz w:val="20"/>
          <w:szCs w:val="20"/>
          <w:lang w:val="en-US" w:eastAsia="zh-CN"/>
        </w:rPr>
        <w:t>Supplementary material</w:t>
      </w:r>
    </w:p>
    <w:p w14:paraId="333D8A32">
      <w:pPr>
        <w:bidi w:val="0"/>
        <w:rPr>
          <w:rFonts w:hint="default"/>
          <w:b/>
          <w:bCs/>
          <w:sz w:val="20"/>
          <w:szCs w:val="20"/>
          <w:lang w:val="en-US" w:eastAsia="zh-CN"/>
        </w:rPr>
      </w:pPr>
    </w:p>
    <w:p w14:paraId="76062BE9">
      <w:pPr>
        <w:bidi w:val="0"/>
        <w:rPr>
          <w:rFonts w:hint="default"/>
          <w:b w:val="0"/>
          <w:bCs w:val="0"/>
          <w:sz w:val="20"/>
          <w:szCs w:val="20"/>
          <w:lang w:val="en-US" w:eastAsia="zh-CN"/>
        </w:rPr>
      </w:pPr>
      <w:r>
        <w:rPr>
          <w:rFonts w:hint="eastAsia"/>
          <w:b w:val="0"/>
          <w:bCs w:val="0"/>
          <w:sz w:val="20"/>
          <w:szCs w:val="20"/>
          <w:lang w:val="en-US" w:eastAsia="zh-CN"/>
        </w:rPr>
        <w:t>T</w:t>
      </w:r>
      <w:r>
        <w:rPr>
          <w:rFonts w:hint="default"/>
          <w:b w:val="0"/>
          <w:bCs w:val="0"/>
          <w:sz w:val="20"/>
          <w:szCs w:val="20"/>
        </w:rPr>
        <w:t>able</w:t>
      </w:r>
      <w:r>
        <w:rPr>
          <w:rFonts w:hint="eastAsia"/>
          <w:b w:val="0"/>
          <w:bCs w:val="0"/>
          <w:sz w:val="20"/>
          <w:szCs w:val="20"/>
          <w:lang w:val="en-US" w:eastAsia="zh-CN"/>
        </w:rPr>
        <w:t xml:space="preserve"> S1. Characteristics of participants in the cross-sectional study (mean </w:t>
      </w:r>
      <w:r>
        <w:rPr>
          <w:rFonts w:hint="default"/>
          <w:b w:val="0"/>
          <w:bCs w:val="0"/>
          <w:sz w:val="20"/>
          <w:szCs w:val="20"/>
          <w:lang w:val="en-US" w:eastAsia="zh-CN"/>
        </w:rPr>
        <w:t>±</w:t>
      </w:r>
      <w:r>
        <w:rPr>
          <w:rFonts w:hint="eastAsia"/>
          <w:b w:val="0"/>
          <w:bCs w:val="0"/>
          <w:sz w:val="20"/>
          <w:szCs w:val="20"/>
          <w:lang w:val="en-US" w:eastAsia="zh-CN"/>
        </w:rPr>
        <w:t xml:space="preserve"> SD)</w:t>
      </w:r>
    </w:p>
    <w:tbl>
      <w:tblPr>
        <w:tblStyle w:val="7"/>
        <w:tblW w:w="1086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7"/>
        <w:gridCol w:w="1842"/>
        <w:gridCol w:w="1999"/>
        <w:gridCol w:w="1984"/>
        <w:gridCol w:w="1855"/>
      </w:tblGrid>
      <w:tr w14:paraId="0ABB8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3187" w:type="dxa"/>
            <w:vMerge w:val="restart"/>
            <w:tcBorders>
              <w:top w:val="single" w:color="auto" w:sz="4" w:space="0"/>
            </w:tcBorders>
            <w:vAlign w:val="bottom"/>
          </w:tcPr>
          <w:p w14:paraId="6A12D225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Characteristic</w:t>
            </w:r>
            <w:r>
              <w:rPr>
                <w:rFonts w:hint="eastAsia" w:cs="Times New Roman"/>
                <w:b/>
                <w:sz w:val="20"/>
                <w:szCs w:val="20"/>
                <w:lang w:val="en-US" w:eastAsia="zh-CN"/>
              </w:rPr>
              <w:t>s</w:t>
            </w:r>
          </w:p>
        </w:tc>
        <w:tc>
          <w:tcPr>
            <w:tcW w:w="1842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ED5514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Healthy</w:t>
            </w:r>
            <w:r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  <w:t xml:space="preserve"> control</w:t>
            </w:r>
          </w:p>
        </w:tc>
        <w:tc>
          <w:tcPr>
            <w:tcW w:w="583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7239ED2C">
            <w:pPr>
              <w:jc w:val="center"/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COPD</w:t>
            </w:r>
          </w:p>
        </w:tc>
      </w:tr>
      <w:tr w14:paraId="59A0A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vMerge w:val="continue"/>
            <w:tcBorders>
              <w:bottom w:val="single" w:color="auto" w:sz="4" w:space="0"/>
            </w:tcBorders>
          </w:tcPr>
          <w:p w14:paraId="2FDD5B7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170E9B0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single" w:color="auto" w:sz="4" w:space="0"/>
              <w:bottom w:val="single" w:color="auto" w:sz="4" w:space="0"/>
            </w:tcBorders>
          </w:tcPr>
          <w:p w14:paraId="541F59D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SCOPD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60D82E9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</w:pPr>
            <w:bookmarkStart w:id="0" w:name="OLE_LINK113"/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B-ECOPD</w:t>
            </w:r>
            <w:bookmarkEnd w:id="0"/>
          </w:p>
        </w:tc>
        <w:tc>
          <w:tcPr>
            <w:tcW w:w="185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21BC759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NB-ECOPD</w:t>
            </w:r>
          </w:p>
        </w:tc>
      </w:tr>
      <w:tr w14:paraId="3C74C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single" w:color="auto" w:sz="4" w:space="0"/>
            </w:tcBorders>
          </w:tcPr>
          <w:p w14:paraId="0C0434B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auto" w:sz="4" w:space="0"/>
            </w:tcBorders>
          </w:tcPr>
          <w:p w14:paraId="53C3A60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n=29</w:t>
            </w:r>
          </w:p>
        </w:tc>
        <w:tc>
          <w:tcPr>
            <w:tcW w:w="1999" w:type="dxa"/>
            <w:tcBorders>
              <w:top w:val="single" w:color="auto" w:sz="4" w:space="0"/>
            </w:tcBorders>
          </w:tcPr>
          <w:p w14:paraId="79311D3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</w:pPr>
            <w:bookmarkStart w:id="1" w:name="OLE_LINK121"/>
            <w:bookmarkStart w:id="2" w:name="OLE_LINK120"/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bookmarkEnd w:id="1"/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=</w:t>
            </w: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63</w:t>
            </w:r>
            <w:bookmarkEnd w:id="2"/>
          </w:p>
        </w:tc>
        <w:tc>
          <w:tcPr>
            <w:tcW w:w="1984" w:type="dxa"/>
            <w:tcBorders>
              <w:top w:val="single" w:color="auto" w:sz="4" w:space="0"/>
            </w:tcBorders>
          </w:tcPr>
          <w:p w14:paraId="5BFE643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n=</w:t>
            </w: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855" w:type="dxa"/>
            <w:tcBorders>
              <w:top w:val="single" w:color="auto" w:sz="4" w:space="0"/>
            </w:tcBorders>
            <w:vAlign w:val="top"/>
          </w:tcPr>
          <w:p w14:paraId="4D15916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n=</w:t>
            </w: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26</w:t>
            </w:r>
          </w:p>
        </w:tc>
      </w:tr>
      <w:tr w14:paraId="25768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</w:tcPr>
          <w:p w14:paraId="34F85C5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Age (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Y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0B98A57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1.73 ± 10.12</w:t>
            </w:r>
          </w:p>
        </w:tc>
        <w:tc>
          <w:tcPr>
            <w:tcW w:w="1999" w:type="dxa"/>
          </w:tcPr>
          <w:p w14:paraId="40586A12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63.31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9.07</w:t>
            </w:r>
          </w:p>
        </w:tc>
        <w:tc>
          <w:tcPr>
            <w:tcW w:w="1984" w:type="dxa"/>
          </w:tcPr>
          <w:p w14:paraId="4686E6C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70.12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8.81</w:t>
            </w:r>
          </w:p>
        </w:tc>
        <w:tc>
          <w:tcPr>
            <w:tcW w:w="1855" w:type="dxa"/>
            <w:vAlign w:val="top"/>
          </w:tcPr>
          <w:p w14:paraId="109E1446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65.48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10.30</w:t>
            </w:r>
          </w:p>
        </w:tc>
      </w:tr>
      <w:tr w14:paraId="05FEF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</w:tcPr>
          <w:p w14:paraId="5E0E9DCB">
            <w:pP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Gender (M/F)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, n/n</w:t>
            </w:r>
          </w:p>
        </w:tc>
        <w:tc>
          <w:tcPr>
            <w:tcW w:w="1842" w:type="dxa"/>
          </w:tcPr>
          <w:p w14:paraId="68AB1FE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10/19</w:t>
            </w:r>
          </w:p>
        </w:tc>
        <w:tc>
          <w:tcPr>
            <w:tcW w:w="1999" w:type="dxa"/>
          </w:tcPr>
          <w:p w14:paraId="54A12B8A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1984" w:type="dxa"/>
          </w:tcPr>
          <w:p w14:paraId="0B0785D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855" w:type="dxa"/>
            <w:vAlign w:val="top"/>
          </w:tcPr>
          <w:p w14:paraId="191A1F81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21</w:t>
            </w:r>
          </w:p>
        </w:tc>
      </w:tr>
      <w:tr w14:paraId="1F4C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</w:tcPr>
          <w:p w14:paraId="4EFD3AC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1842" w:type="dxa"/>
          </w:tcPr>
          <w:p w14:paraId="5E87749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23.34 ± 2.77</w:t>
            </w:r>
          </w:p>
        </w:tc>
        <w:tc>
          <w:tcPr>
            <w:tcW w:w="1999" w:type="dxa"/>
          </w:tcPr>
          <w:p w14:paraId="487AEA6A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3.37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7.80</w:t>
            </w:r>
          </w:p>
        </w:tc>
        <w:tc>
          <w:tcPr>
            <w:tcW w:w="1984" w:type="dxa"/>
          </w:tcPr>
          <w:p w14:paraId="35D4B77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3.39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3.97</w:t>
            </w:r>
          </w:p>
        </w:tc>
        <w:tc>
          <w:tcPr>
            <w:tcW w:w="1855" w:type="dxa"/>
            <w:vAlign w:val="top"/>
          </w:tcPr>
          <w:p w14:paraId="3CEE550F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2.07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3.04</w:t>
            </w:r>
          </w:p>
        </w:tc>
      </w:tr>
      <w:tr w14:paraId="48CFE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bottom w:val="nil"/>
            </w:tcBorders>
          </w:tcPr>
          <w:p w14:paraId="1D8ABC48">
            <w:pP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isease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c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ourse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(Y)</w:t>
            </w:r>
          </w:p>
        </w:tc>
        <w:tc>
          <w:tcPr>
            <w:tcW w:w="1842" w:type="dxa"/>
            <w:tcBorders>
              <w:bottom w:val="nil"/>
            </w:tcBorders>
          </w:tcPr>
          <w:p w14:paraId="3148FD43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999" w:type="dxa"/>
            <w:tcBorders>
              <w:bottom w:val="nil"/>
            </w:tcBorders>
          </w:tcPr>
          <w:p w14:paraId="08B303E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4.36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5.87</w:t>
            </w:r>
          </w:p>
        </w:tc>
        <w:tc>
          <w:tcPr>
            <w:tcW w:w="1984" w:type="dxa"/>
            <w:tcBorders>
              <w:bottom w:val="nil"/>
            </w:tcBorders>
          </w:tcPr>
          <w:p w14:paraId="77F945BC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10.07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9.75</w:t>
            </w:r>
          </w:p>
        </w:tc>
        <w:tc>
          <w:tcPr>
            <w:tcW w:w="1855" w:type="dxa"/>
            <w:tcBorders>
              <w:bottom w:val="nil"/>
            </w:tcBorders>
            <w:vAlign w:val="top"/>
          </w:tcPr>
          <w:p w14:paraId="29F82FF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5.53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4.60</w:t>
            </w:r>
          </w:p>
        </w:tc>
      </w:tr>
      <w:tr w14:paraId="7FCCE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6CD373C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Smoking index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41C66DB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216.33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106.49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30331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738.6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3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367.85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74107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518.18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252.26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6D37C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591.76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 351.00</w:t>
            </w:r>
          </w:p>
        </w:tc>
      </w:tr>
      <w:tr w14:paraId="680B2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</w:tcBorders>
          </w:tcPr>
          <w:p w14:paraId="6B19BD1D">
            <w:pP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Comorbidity, n (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%)</w:t>
            </w:r>
          </w:p>
        </w:tc>
        <w:tc>
          <w:tcPr>
            <w:tcW w:w="1842" w:type="dxa"/>
            <w:tcBorders>
              <w:top w:val="nil"/>
            </w:tcBorders>
          </w:tcPr>
          <w:p w14:paraId="79B50B2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1999" w:type="dxa"/>
            <w:tcBorders>
              <w:top w:val="nil"/>
            </w:tcBorders>
          </w:tcPr>
          <w:p w14:paraId="1079CB4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3D53840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1855" w:type="dxa"/>
            <w:tcBorders>
              <w:top w:val="nil"/>
            </w:tcBorders>
            <w:vAlign w:val="top"/>
          </w:tcPr>
          <w:p w14:paraId="7688598C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4BB13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</w:tcPr>
          <w:p w14:paraId="4445F98F">
            <w:pPr>
              <w:ind w:firstLine="200" w:firstLineChars="100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bookmarkStart w:id="3" w:name="OLE_LINK114"/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Atopy</w:t>
            </w:r>
            <w:bookmarkEnd w:id="3"/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 xml:space="preserve"> </w:t>
            </w:r>
          </w:p>
        </w:tc>
        <w:tc>
          <w:tcPr>
            <w:tcW w:w="1842" w:type="dxa"/>
          </w:tcPr>
          <w:p w14:paraId="341F9770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(6.90)</w:t>
            </w:r>
          </w:p>
        </w:tc>
        <w:tc>
          <w:tcPr>
            <w:tcW w:w="1999" w:type="dxa"/>
          </w:tcPr>
          <w:p w14:paraId="56F1A0F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5 (7.94)</w:t>
            </w:r>
          </w:p>
        </w:tc>
        <w:tc>
          <w:tcPr>
            <w:tcW w:w="1984" w:type="dxa"/>
          </w:tcPr>
          <w:p w14:paraId="32AD9DC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 (</w:t>
            </w:r>
            <w:bookmarkStart w:id="4" w:name="OLE_LINK123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5.89</w:t>
            </w:r>
            <w:bookmarkEnd w:id="4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1855" w:type="dxa"/>
            <w:vAlign w:val="top"/>
          </w:tcPr>
          <w:p w14:paraId="76F7CA67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</w:t>
            </w:r>
            <w:bookmarkStart w:id="5" w:name="OLE_LINK116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7.69</w:t>
            </w:r>
            <w:bookmarkEnd w:id="5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4CFE0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</w:tcPr>
          <w:p w14:paraId="026A13F3">
            <w:pPr>
              <w:ind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Hypertension</w:t>
            </w:r>
          </w:p>
        </w:tc>
        <w:tc>
          <w:tcPr>
            <w:tcW w:w="1842" w:type="dxa"/>
          </w:tcPr>
          <w:p w14:paraId="5E652B73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(6.90)</w:t>
            </w:r>
          </w:p>
        </w:tc>
        <w:tc>
          <w:tcPr>
            <w:tcW w:w="1999" w:type="dxa"/>
          </w:tcPr>
          <w:p w14:paraId="6FF7E4B7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9 (14.29)</w:t>
            </w:r>
          </w:p>
        </w:tc>
        <w:tc>
          <w:tcPr>
            <w:tcW w:w="1984" w:type="dxa"/>
          </w:tcPr>
          <w:p w14:paraId="052B03E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10 (58.82)</w:t>
            </w:r>
          </w:p>
        </w:tc>
        <w:tc>
          <w:tcPr>
            <w:tcW w:w="1855" w:type="dxa"/>
            <w:vAlign w:val="top"/>
          </w:tcPr>
          <w:p w14:paraId="48EA133A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7 (26.92)</w:t>
            </w:r>
          </w:p>
        </w:tc>
      </w:tr>
      <w:tr w14:paraId="6D41E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</w:tcPr>
          <w:p w14:paraId="2C3D8346">
            <w:pPr>
              <w:ind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Diabetes</w:t>
            </w:r>
          </w:p>
        </w:tc>
        <w:tc>
          <w:tcPr>
            <w:tcW w:w="1842" w:type="dxa"/>
          </w:tcPr>
          <w:p w14:paraId="22D7FA6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bookmarkStart w:id="6" w:name="OLE_LINK115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(6.90)</w:t>
            </w:r>
            <w:bookmarkEnd w:id="6"/>
          </w:p>
        </w:tc>
        <w:tc>
          <w:tcPr>
            <w:tcW w:w="1999" w:type="dxa"/>
          </w:tcPr>
          <w:p w14:paraId="352BC3F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4 (6.35)</w:t>
            </w:r>
          </w:p>
        </w:tc>
        <w:tc>
          <w:tcPr>
            <w:tcW w:w="1984" w:type="dxa"/>
          </w:tcPr>
          <w:p w14:paraId="45913A0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3 (17.65)</w:t>
            </w:r>
          </w:p>
        </w:tc>
        <w:tc>
          <w:tcPr>
            <w:tcW w:w="1855" w:type="dxa"/>
            <w:vAlign w:val="top"/>
          </w:tcPr>
          <w:p w14:paraId="24E5670E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(7.69)</w:t>
            </w:r>
          </w:p>
        </w:tc>
      </w:tr>
      <w:tr w14:paraId="63A9C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</w:tcPr>
          <w:p w14:paraId="5579C4D7">
            <w:pPr>
              <w:ind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CVD</w:t>
            </w:r>
          </w:p>
        </w:tc>
        <w:tc>
          <w:tcPr>
            <w:tcW w:w="1842" w:type="dxa"/>
          </w:tcPr>
          <w:p w14:paraId="1CD2EB0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0 (0.00)</w:t>
            </w:r>
          </w:p>
        </w:tc>
        <w:tc>
          <w:tcPr>
            <w:tcW w:w="1999" w:type="dxa"/>
          </w:tcPr>
          <w:p w14:paraId="065600F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3 (4.76)</w:t>
            </w:r>
          </w:p>
        </w:tc>
        <w:tc>
          <w:tcPr>
            <w:tcW w:w="1984" w:type="dxa"/>
          </w:tcPr>
          <w:p w14:paraId="3D37037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 (5.89)</w:t>
            </w:r>
          </w:p>
        </w:tc>
        <w:tc>
          <w:tcPr>
            <w:tcW w:w="1855" w:type="dxa"/>
            <w:vAlign w:val="top"/>
          </w:tcPr>
          <w:p w14:paraId="20A0CD41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(7.69)</w:t>
            </w:r>
          </w:p>
        </w:tc>
      </w:tr>
      <w:tr w14:paraId="766AA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left w:val="nil"/>
              <w:bottom w:val="nil"/>
              <w:right w:val="nil"/>
            </w:tcBorders>
          </w:tcPr>
          <w:p w14:paraId="68179233">
            <w:pPr>
              <w:ind w:firstLine="200" w:firstLineChars="100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HLP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1C3154F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3 (10.34)</w:t>
            </w:r>
          </w:p>
        </w:tc>
        <w:tc>
          <w:tcPr>
            <w:tcW w:w="1999" w:type="dxa"/>
            <w:tcBorders>
              <w:left w:val="nil"/>
              <w:bottom w:val="nil"/>
              <w:right w:val="nil"/>
            </w:tcBorders>
          </w:tcPr>
          <w:p w14:paraId="00CF9F3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4 (6.35)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38434AA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 (5.89)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  <w:vAlign w:val="top"/>
          </w:tcPr>
          <w:p w14:paraId="6EA022B6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(7.69)</w:t>
            </w:r>
          </w:p>
        </w:tc>
      </w:tr>
      <w:tr w14:paraId="63CD5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79C2C75D">
            <w:pPr>
              <w:ind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GERD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993261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 (3.45)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27E50D72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4 (6.35)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4C2CC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0 (0.00)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00645D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0 (0.00)</w:t>
            </w:r>
          </w:p>
        </w:tc>
      </w:tr>
      <w:tr w14:paraId="7301C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1D5D35">
            <w:pP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bookmarkStart w:id="7" w:name="OLE_LINK118"/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Exacerbation history</w:t>
            </w:r>
            <w:r>
              <w:rPr>
                <w:rFonts w:hint="eastAsia" w:cs="Times New Roman"/>
                <w:sz w:val="20"/>
                <w:szCs w:val="20"/>
                <w:vertAlign w:val="superscript"/>
                <w:lang w:val="en-US" w:eastAsia="zh-CN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DCC35A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5C0BC1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80D4C7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9FB5E6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</w:p>
        </w:tc>
      </w:tr>
      <w:tr w14:paraId="3F0C4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48920E">
            <w:pPr>
              <w:ind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Exacerbations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in the past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year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4B2F8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E0D686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 (0, 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5344E7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3.5 (3, 5.75)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B64DC4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3 (2, 4)</w:t>
            </w:r>
          </w:p>
        </w:tc>
      </w:tr>
      <w:tr w14:paraId="3E792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316249">
            <w:pPr>
              <w:ind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Hospitalisation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in the past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year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648E89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968B14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0 (0, 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4F93CB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 (1.25, 3)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312A67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 w:bidi="ar-SA"/>
              </w:rPr>
              <w:t>1 (1, 2)</w:t>
            </w:r>
          </w:p>
        </w:tc>
      </w:tr>
      <w:tr w14:paraId="1EB1D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69DB5C">
            <w:pP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Maintenance inhalation, n (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%)</w:t>
            </w: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7E44DB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/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FA808E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14D2D4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8E6512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658EA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EC21DC">
            <w:pP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 LAMA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984FFE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D30F5D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5 (7.94)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1FB40A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0 (0.00)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8A401A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0 (0.00)</w:t>
            </w:r>
          </w:p>
        </w:tc>
      </w:tr>
      <w:tr w14:paraId="54A92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690D90">
            <w:pPr>
              <w:ind w:firstLine="200" w:firstLineChars="100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LABA + LAMA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88DA4A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E1BACC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15 (23.81)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BDD2AC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</w:t>
            </w:r>
            <w:bookmarkStart w:id="8" w:name="OLE_LINK124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11.76</w:t>
            </w:r>
            <w:bookmarkEnd w:id="8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3F4EBA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6 (</w:t>
            </w:r>
            <w:bookmarkStart w:id="9" w:name="OLE_LINK122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23.08</w:t>
            </w:r>
            <w:bookmarkEnd w:id="9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3970F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BCE37B">
            <w:pP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 LABA + ICS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8C285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16722A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10 (15.87)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2C8D62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5 (29.41)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5CC282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11 (</w:t>
            </w:r>
            <w:bookmarkStart w:id="10" w:name="OLE_LINK117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42.31</w:t>
            </w:r>
            <w:bookmarkEnd w:id="10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)</w:t>
            </w:r>
          </w:p>
        </w:tc>
      </w:tr>
      <w:tr w14:paraId="2DA32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765002">
            <w:pP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 LAMA + ICS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50522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0C2D6F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(3.17)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3909F6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0 (0.00)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1EA267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0 (0.00)</w:t>
            </w:r>
          </w:p>
        </w:tc>
      </w:tr>
      <w:tr w14:paraId="2033C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4FC192">
            <w:pP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 LABA + LAMA + ICS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A6128E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0DE1C3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30 (47.62)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03878E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9 (52.94)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AC477A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8 (30.77) </w:t>
            </w:r>
          </w:p>
        </w:tc>
      </w:tr>
      <w:tr w14:paraId="285F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558C0F">
            <w:pPr>
              <w:ind w:firstLine="200" w:firstLineChars="100"/>
              <w:jc w:val="both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No regular inhalation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4DE572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DCE0FE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 (1.59)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454883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 (5.88)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01D8CB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 (3.85)</w:t>
            </w:r>
          </w:p>
        </w:tc>
      </w:tr>
      <w:tr w14:paraId="4CB3F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5C83691C">
            <w:pPr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GOLD stage</w:t>
            </w:r>
            <w:bookmarkEnd w:id="7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, n (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  <w:t>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E399EFA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/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160A7030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 xml:space="preserve">n </w:t>
            </w:r>
            <w:r>
              <w:rPr>
                <w:rFonts w:hint="eastAsia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= 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8A631A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 xml:space="preserve">n </w:t>
            </w:r>
            <w:r>
              <w:rPr>
                <w:rFonts w:hint="eastAsia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= 13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68A4F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 xml:space="preserve">n </w:t>
            </w:r>
            <w:r>
              <w:rPr>
                <w:rFonts w:hint="eastAsia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= 23</w:t>
            </w:r>
          </w:p>
        </w:tc>
      </w:tr>
      <w:tr w14:paraId="14125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79D01187">
            <w:pPr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 </w:t>
            </w:r>
            <w:bookmarkStart w:id="11" w:name="OLE_LINK119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Stage</w:t>
            </w:r>
            <w:bookmarkEnd w:id="11"/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I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EDE3517">
            <w:pPr>
              <w:jc w:val="center"/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51F62A13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12 (21.82)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1D9BE6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3 (23.08)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935902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(8.70)</w:t>
            </w:r>
          </w:p>
        </w:tc>
      </w:tr>
      <w:tr w14:paraId="4EDC8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5126B43D">
            <w:pPr>
              <w:ind w:firstLine="200" w:firstLineChars="100"/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Stage II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1282AD9">
            <w:pPr>
              <w:jc w:val="center"/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037F2D5A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20 (36.36)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D01D07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5 (38.46)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B09FCF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11 (47.83)</w:t>
            </w:r>
          </w:p>
        </w:tc>
      </w:tr>
      <w:tr w14:paraId="7B26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58537CFF">
            <w:pPr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 xml:space="preserve">  Stage III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EE19E1">
            <w:pPr>
              <w:jc w:val="center"/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1301B281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16 (39.09)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D170FF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3 (23.08)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2D0909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5 (21.74)</w:t>
            </w:r>
          </w:p>
        </w:tc>
      </w:tr>
      <w:tr w14:paraId="65C8D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</w:tcPr>
          <w:p w14:paraId="112B6C92">
            <w:pPr>
              <w:ind w:firstLine="200" w:firstLineChars="100"/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Stage IV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B3718D2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14:paraId="79AD44A1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7 (12.73)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8CBABC">
            <w:pPr>
              <w:jc w:val="center"/>
              <w:rPr>
                <w:rFonts w:hint="default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2 (15.38)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3EB444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highlight w:val="none"/>
                <w:lang w:val="en-US" w:eastAsia="zh-CN"/>
              </w:rPr>
              <w:t>5 (21.74)</w:t>
            </w:r>
          </w:p>
        </w:tc>
      </w:tr>
      <w:tr w14:paraId="17AAF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539416">
            <w:pP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FEV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(% pred)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D4B6E2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102.50 ± 14.96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28A123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 xml:space="preserve">60.66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26.57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EE432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59.79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27.28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26BAA0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59.04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24.49</w:t>
            </w:r>
          </w:p>
        </w:tc>
      </w:tr>
      <w:tr w14:paraId="131B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8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4A67CA33">
            <w:pP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FeNO (ppb)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7FCC51AC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23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1BF81AD7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8 ± 39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1FF3ACE3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4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0BE3D4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±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11</w:t>
            </w:r>
          </w:p>
        </w:tc>
      </w:tr>
    </w:tbl>
    <w:p w14:paraId="30593E79">
      <w:pPr>
        <w:spacing w:before="120" w:after="120" w:line="240" w:lineRule="auto"/>
        <w:outlineLvl w:val="0"/>
        <w:rPr>
          <w:rFonts w:hint="default"/>
          <w:b w:val="0"/>
          <w:bCs w:val="0"/>
          <w:i w:val="0"/>
          <w:iCs w:val="0"/>
          <w:sz w:val="20"/>
          <w:szCs w:val="20"/>
          <w:vertAlign w:val="baseli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0"/>
          <w:szCs w:val="20"/>
          <w:lang w:val="en-US" w:eastAsia="zh-CN"/>
        </w:rPr>
        <w:t>SD: standard deviation; Y: year; M: male; F: female; CVD: cardiovascular disease; HLP: hyperlipidaemia; GERD: gastroesophageal reflux disease; LAMA: long-acting muscarinic antagonist; ICS: inhaled corticosteroids; LABA: long-acting beta-agonist; FEV</w:t>
      </w:r>
      <w:r>
        <w:rPr>
          <w:rFonts w:hint="eastAsia"/>
          <w:b w:val="0"/>
          <w:bCs w:val="0"/>
          <w:i w:val="0"/>
          <w:iCs w:val="0"/>
          <w:sz w:val="20"/>
          <w:szCs w:val="20"/>
          <w:vertAlign w:val="subscript"/>
          <w:lang w:val="en-US" w:eastAsia="zh-CN"/>
        </w:rPr>
        <w:t>1</w:t>
      </w:r>
      <w:r>
        <w:rPr>
          <w:rFonts w:hint="eastAsia"/>
          <w:b w:val="0"/>
          <w:bCs w:val="0"/>
          <w:i w:val="0"/>
          <w:iCs w:val="0"/>
          <w:sz w:val="20"/>
          <w:szCs w:val="20"/>
          <w:lang w:val="en-US" w:eastAsia="zh-CN"/>
        </w:rPr>
        <w:t xml:space="preserve">: forced expiratory volume in the first second; FeNO: fractional exhaled nitric oxide; ILC: innate lymphoid cells. </w:t>
      </w:r>
      <w:r>
        <w:rPr>
          <w:rFonts w:hint="eastAsia"/>
          <w:b w:val="0"/>
          <w:bCs w:val="0"/>
          <w:i w:val="0"/>
          <w:iCs w:val="0"/>
          <w:sz w:val="20"/>
          <w:szCs w:val="20"/>
          <w:vertAlign w:val="superscript"/>
          <w:lang w:val="en-US" w:eastAsia="zh-CN"/>
        </w:rPr>
        <w:t>*</w:t>
      </w:r>
      <w:r>
        <w:rPr>
          <w:rFonts w:hint="eastAsia"/>
          <w:b w:val="0"/>
          <w:bCs w:val="0"/>
          <w:i w:val="0"/>
          <w:iCs w:val="0"/>
          <w:sz w:val="20"/>
          <w:szCs w:val="20"/>
          <w:vertAlign w:val="baseline"/>
          <w:lang w:val="en-US" w:eastAsia="zh-CN"/>
        </w:rPr>
        <w:t xml:space="preserve">Data were expressed as median and interquartile range; </w:t>
      </w:r>
      <w:r>
        <w:rPr>
          <w:rFonts w:hint="eastAsia"/>
          <w:sz w:val="20"/>
          <w:szCs w:val="20"/>
          <w:lang w:val="en-US" w:eastAsia="zh-CN"/>
        </w:rPr>
        <w:t xml:space="preserve">HC: healthy control; </w:t>
      </w:r>
      <w:r>
        <w:rPr>
          <w:rFonts w:hint="eastAsia" w:cs="Times New Roman"/>
          <w:sz w:val="20"/>
          <w:szCs w:val="20"/>
          <w:lang w:val="en-US" w:eastAsia="zh-CN"/>
        </w:rPr>
        <w:t>SCOPD: stable COPD</w:t>
      </w:r>
      <w:r>
        <w:rPr>
          <w:rFonts w:hint="eastAsia"/>
          <w:sz w:val="20"/>
          <w:szCs w:val="20"/>
          <w:lang w:val="en-US" w:eastAsia="zh-CN"/>
        </w:rPr>
        <w:t>;</w:t>
      </w:r>
      <w:r>
        <w:rPr>
          <w:rFonts w:hint="eastAsia" w:cs="Times New Roman"/>
          <w:sz w:val="20"/>
          <w:szCs w:val="20"/>
          <w:lang w:val="en-US" w:eastAsia="zh-CN"/>
        </w:rPr>
        <w:t xml:space="preserve"> B-ECOPD: </w:t>
      </w:r>
      <w:r>
        <w:rPr>
          <w:rFonts w:hint="eastAsia"/>
          <w:sz w:val="20"/>
          <w:szCs w:val="20"/>
          <w:lang w:val="en-US" w:eastAsia="zh-CN"/>
        </w:rPr>
        <w:t>COPD exacerbation complicated with bacterial infection; NB-ECOPD: COPD exacerbation not complicated with bacterial infection.</w:t>
      </w:r>
      <w:bookmarkStart w:id="12" w:name="_GoBack"/>
      <w:bookmarkEnd w:id="12"/>
    </w:p>
    <w:p w14:paraId="2081D099">
      <w:pPr>
        <w:spacing w:before="120" w:after="120" w:line="240" w:lineRule="auto"/>
        <w:outlineLvl w:val="0"/>
        <w:rPr>
          <w:rFonts w:hint="eastAsia"/>
          <w:b w:val="0"/>
          <w:bCs w:val="0"/>
          <w:i w:val="0"/>
          <w:iCs w:val="0"/>
          <w:sz w:val="22"/>
          <w:szCs w:val="22"/>
          <w:vertAlign w:val="baseline"/>
          <w:lang w:val="en-US" w:eastAsia="zh-CN"/>
        </w:rPr>
      </w:pPr>
    </w:p>
    <w:p w14:paraId="579DBDF4">
      <w:pPr>
        <w:spacing w:before="120" w:after="120" w:line="240" w:lineRule="auto"/>
        <w:outlineLvl w:val="0"/>
        <w:rPr>
          <w:rFonts w:hint="eastAsia"/>
          <w:b w:val="0"/>
          <w:bCs w:val="0"/>
          <w:i w:val="0"/>
          <w:iCs w:val="0"/>
          <w:sz w:val="22"/>
          <w:szCs w:val="22"/>
          <w:vertAlign w:val="baseline"/>
          <w:lang w:val="en-US" w:eastAsia="zh-CN"/>
        </w:rPr>
      </w:pPr>
    </w:p>
    <w:p w14:paraId="7039B2F9">
      <w:pPr>
        <w:spacing w:before="120" w:after="120" w:line="240" w:lineRule="auto"/>
        <w:outlineLvl w:val="0"/>
        <w:rPr>
          <w:rFonts w:hint="eastAsia"/>
          <w:b w:val="0"/>
          <w:bCs w:val="0"/>
          <w:i w:val="0"/>
          <w:iCs w:val="0"/>
          <w:sz w:val="22"/>
          <w:szCs w:val="22"/>
          <w:vertAlign w:val="baseline"/>
          <w:lang w:val="en-US" w:eastAsia="zh-CN"/>
        </w:rPr>
      </w:pPr>
    </w:p>
    <w:tbl>
      <w:tblPr>
        <w:tblStyle w:val="7"/>
        <w:tblW w:w="0" w:type="auto"/>
        <w:tblInd w:w="2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904"/>
        <w:gridCol w:w="1908"/>
        <w:gridCol w:w="1908"/>
        <w:gridCol w:w="1908"/>
      </w:tblGrid>
      <w:tr w14:paraId="413F0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3" w:type="dxa"/>
            <w:gridSpan w:val="5"/>
            <w:tcBorders>
              <w:top w:val="nil"/>
            </w:tcBorders>
          </w:tcPr>
          <w:p w14:paraId="73177624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664075" cy="1374140"/>
                  <wp:effectExtent l="0" t="0" r="10160" b="7620"/>
                  <wp:docPr id="25" name="图片 25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4075" cy="137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3AF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5" w:type="dxa"/>
            <w:gridSpan w:val="2"/>
            <w:tcBorders>
              <w:bottom w:val="nil"/>
            </w:tcBorders>
          </w:tcPr>
          <w:p w14:paraId="573E813B">
            <w:pPr>
              <w:jc w:val="center"/>
              <w:rPr>
                <w:rFonts w:hint="default" w:ascii="Arial" w:hAnsi="Arial" w:cs="Arial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vertAlign w:val="baseline"/>
                <w:lang w:val="en-US" w:eastAsia="zh-CN"/>
              </w:rPr>
              <w:t xml:space="preserve">      HC</w:t>
            </w:r>
          </w:p>
        </w:tc>
        <w:tc>
          <w:tcPr>
            <w:tcW w:w="1899" w:type="dxa"/>
            <w:tcBorders>
              <w:bottom w:val="nil"/>
            </w:tcBorders>
          </w:tcPr>
          <w:p w14:paraId="7061FCD6">
            <w:pPr>
              <w:ind w:firstLine="400" w:firstLineChars="200"/>
              <w:jc w:val="both"/>
              <w:rPr>
                <w:rFonts w:hint="default" w:ascii="Arial" w:hAnsi="Arial" w:cs="Arial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vertAlign w:val="baseline"/>
                <w:lang w:val="en-US" w:eastAsia="zh-CN"/>
              </w:rPr>
              <w:t>SCOPD</w:t>
            </w:r>
          </w:p>
        </w:tc>
        <w:tc>
          <w:tcPr>
            <w:tcW w:w="1899" w:type="dxa"/>
            <w:tcBorders>
              <w:bottom w:val="nil"/>
            </w:tcBorders>
          </w:tcPr>
          <w:p w14:paraId="29A76514">
            <w:pPr>
              <w:jc w:val="center"/>
              <w:rPr>
                <w:rFonts w:hint="default" w:ascii="Arial" w:hAnsi="Arial" w:cs="Arial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vertAlign w:val="baseline"/>
                <w:lang w:val="en-US" w:eastAsia="zh-CN"/>
              </w:rPr>
              <w:t>B-ECOPD</w:t>
            </w:r>
          </w:p>
        </w:tc>
        <w:tc>
          <w:tcPr>
            <w:tcW w:w="1900" w:type="dxa"/>
            <w:tcBorders>
              <w:bottom w:val="nil"/>
            </w:tcBorders>
          </w:tcPr>
          <w:p w14:paraId="25716BD3">
            <w:pPr>
              <w:jc w:val="center"/>
              <w:rPr>
                <w:rFonts w:hint="default" w:ascii="Arial" w:hAnsi="Arial" w:cs="Arial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vertAlign w:val="baseline"/>
                <w:lang w:val="en-US" w:eastAsia="zh-CN"/>
              </w:rPr>
              <w:t xml:space="preserve"> NB-ECOPD</w:t>
            </w:r>
          </w:p>
        </w:tc>
      </w:tr>
      <w:tr w14:paraId="3081D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5435209E">
            <w:pPr>
              <w:jc w:val="right"/>
              <w:rPr>
                <w:rFonts w:hint="default" w:ascii="Arial" w:hAnsi="Arial" w:cs="Arial" w:eastAsiaTheme="minorEastAsia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vertAlign w:val="baseline"/>
                <w:lang w:val="en-US" w:eastAsia="zh-CN"/>
              </w:rPr>
              <w:t>ILC1</w:t>
            </w:r>
          </w:p>
        </w:tc>
        <w:tc>
          <w:tcPr>
            <w:tcW w:w="7594" w:type="dxa"/>
            <w:gridSpan w:val="4"/>
          </w:tcPr>
          <w:p w14:paraId="2F075659">
            <w:pPr>
              <w:rPr>
                <w:rFonts w:hint="default" w:ascii="Arial" w:hAnsi="Arial" w:cs="Arial" w:eastAsiaTheme="minorEastAsia"/>
                <w:vertAlign w:val="baseline"/>
                <w:lang w:eastAsia="zh-CN"/>
              </w:rPr>
            </w:pPr>
            <w:r>
              <w:rPr>
                <w:rFonts w:hint="default" w:ascii="Arial" w:hAnsi="Arial" w:cs="Arial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675505" cy="1331595"/>
                  <wp:effectExtent l="0" t="0" r="9525" b="6985"/>
                  <wp:docPr id="18" name="图片 18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5505" cy="1331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9CD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2" w:hRule="atLeast"/>
        </w:trPr>
        <w:tc>
          <w:tcPr>
            <w:tcW w:w="639" w:type="dxa"/>
          </w:tcPr>
          <w:p w14:paraId="716CE341">
            <w:pPr>
              <w:jc w:val="right"/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vertAlign w:val="baseline"/>
                <w:lang w:val="en-US" w:eastAsia="zh-CN"/>
              </w:rPr>
              <w:t>ILC2</w:t>
            </w:r>
          </w:p>
        </w:tc>
        <w:tc>
          <w:tcPr>
            <w:tcW w:w="7594" w:type="dxa"/>
            <w:gridSpan w:val="4"/>
          </w:tcPr>
          <w:p w14:paraId="2A23AB56">
            <w:pPr>
              <w:rPr>
                <w:rFonts w:hint="default" w:ascii="Arial" w:hAnsi="Arial" w:cs="Arial" w:eastAsiaTheme="minorEastAsia"/>
                <w:vertAlign w:val="baseline"/>
                <w:lang w:eastAsia="zh-CN"/>
              </w:rPr>
            </w:pPr>
            <w:r>
              <w:rPr>
                <w:rFonts w:hint="default" w:ascii="Arial" w:hAnsi="Arial" w:cs="Arial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683125" cy="2889885"/>
                  <wp:effectExtent l="0" t="0" r="1905" b="3175"/>
                  <wp:docPr id="22" name="图片 22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3125" cy="288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3AD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4CD0D5C3">
            <w:pPr>
              <w:jc w:val="right"/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vertAlign w:val="baseline"/>
                <w:lang w:val="en-US" w:eastAsia="zh-CN"/>
              </w:rPr>
              <w:t>ILC3</w:t>
            </w:r>
          </w:p>
        </w:tc>
        <w:tc>
          <w:tcPr>
            <w:tcW w:w="7594" w:type="dxa"/>
            <w:gridSpan w:val="4"/>
          </w:tcPr>
          <w:p w14:paraId="5E3EF55F">
            <w:pPr>
              <w:rPr>
                <w:rFonts w:hint="default" w:ascii="Arial" w:hAnsi="Arial" w:cs="Arial" w:eastAsiaTheme="minorEastAsia"/>
                <w:vertAlign w:val="baseline"/>
                <w:lang w:eastAsia="zh-CN"/>
              </w:rPr>
            </w:pPr>
            <w:r>
              <w:rPr>
                <w:rFonts w:hint="default" w:ascii="Arial" w:hAnsi="Arial" w:cs="Arial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705985" cy="2099945"/>
                  <wp:effectExtent l="0" t="0" r="635" b="5080"/>
                  <wp:docPr id="23" name="图片 23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985" cy="2099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9745CF">
      <w:pPr>
        <w:spacing w:before="120" w:after="120" w:line="480" w:lineRule="auto"/>
        <w:outlineLvl w:val="0"/>
        <w:rPr>
          <w:rFonts w:hint="default" w:cs="Times New Roman"/>
          <w:sz w:val="20"/>
          <w:szCs w:val="20"/>
          <w:lang w:val="en-US" w:eastAsia="zh-CN"/>
        </w:rPr>
      </w:pPr>
      <w:r>
        <w:rPr>
          <w:rFonts w:hint="eastAsia"/>
          <w:b/>
          <w:bCs/>
          <w:sz w:val="20"/>
          <w:szCs w:val="20"/>
          <w:lang w:val="en-US" w:eastAsia="zh-CN"/>
        </w:rPr>
        <w:t>Figure S1</w:t>
      </w:r>
      <w:r>
        <w:rPr>
          <w:rFonts w:hint="eastAsia"/>
          <w:sz w:val="20"/>
          <w:szCs w:val="20"/>
          <w:lang w:val="en-US" w:eastAsia="zh-CN"/>
        </w:rPr>
        <w:t>. Representative flow cytometric plots demonstrating gating strategy for identifying ILC subsets and their signature markers in peripheral blood of healthy controls and COPD patients</w:t>
      </w:r>
      <w:r>
        <w:rPr>
          <w:rFonts w:hint="eastAsia" w:cs="Times New Roman"/>
          <w:sz w:val="20"/>
          <w:szCs w:val="20"/>
          <w:lang w:val="en-US" w:eastAsia="zh-CN"/>
        </w:rPr>
        <w:t xml:space="preserve">. </w:t>
      </w:r>
      <w:r>
        <w:rPr>
          <w:rFonts w:hint="eastAsia"/>
          <w:sz w:val="20"/>
          <w:szCs w:val="20"/>
          <w:lang w:val="en-US" w:eastAsia="zh-CN"/>
        </w:rPr>
        <w:t xml:space="preserve">HC: healthy control; </w:t>
      </w:r>
      <w:r>
        <w:rPr>
          <w:rFonts w:hint="eastAsia" w:cs="Times New Roman"/>
          <w:sz w:val="20"/>
          <w:szCs w:val="20"/>
          <w:lang w:val="en-US" w:eastAsia="zh-CN"/>
        </w:rPr>
        <w:t>SCOPD: stable COPD</w:t>
      </w:r>
      <w:r>
        <w:rPr>
          <w:rFonts w:hint="eastAsia"/>
          <w:sz w:val="20"/>
          <w:szCs w:val="20"/>
          <w:lang w:val="en-US" w:eastAsia="zh-CN"/>
        </w:rPr>
        <w:t>;</w:t>
      </w:r>
      <w:r>
        <w:rPr>
          <w:rFonts w:hint="eastAsia" w:cs="Times New Roman"/>
          <w:sz w:val="20"/>
          <w:szCs w:val="20"/>
          <w:lang w:val="en-US" w:eastAsia="zh-CN"/>
        </w:rPr>
        <w:t xml:space="preserve"> </w:t>
      </w:r>
      <w:r>
        <w:rPr>
          <w:rFonts w:hint="eastAsia"/>
          <w:sz w:val="20"/>
          <w:szCs w:val="20"/>
          <w:lang w:val="en-US" w:eastAsia="zh-CN"/>
        </w:rPr>
        <w:t>COPD exacerbation complicated with bacterial infection; NB-ECOPD: COPD exacerbation</w:t>
      </w:r>
      <w:r>
        <w:rPr>
          <w:rFonts w:hint="eastAsia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/>
          <w:sz w:val="20"/>
          <w:szCs w:val="20"/>
          <w:lang w:val="en-US" w:eastAsia="zh-CN"/>
        </w:rPr>
        <w:t>not complicated with bacterial infection</w:t>
      </w:r>
      <w:r>
        <w:rPr>
          <w:rFonts w:hint="eastAsia" w:ascii="Arial" w:hAnsi="Arial" w:cs="Arial"/>
          <w:sz w:val="20"/>
          <w:szCs w:val="20"/>
          <w:vertAlign w:val="baseline"/>
          <w:lang w:val="en-US" w:eastAsia="zh-CN"/>
        </w:rPr>
        <w:t xml:space="preserve"> </w:t>
      </w:r>
    </w:p>
    <w:p w14:paraId="038C8F3D">
      <w:pPr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5"/>
      </w:tblGrid>
      <w:tr w14:paraId="3E36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5" w:type="dxa"/>
          </w:tcPr>
          <w:p w14:paraId="142DD974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4886960" cy="1080135"/>
                  <wp:effectExtent l="0" t="0" r="3175" b="10160"/>
                  <wp:docPr id="24" name="图片 24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96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47BD5C">
      <w:pPr>
        <w:spacing w:line="48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/>
          <w:b/>
          <w:bCs/>
          <w:sz w:val="20"/>
          <w:szCs w:val="20"/>
          <w:lang w:val="en-US" w:eastAsia="zh-CN"/>
        </w:rPr>
        <w:t>Figure S2</w:t>
      </w:r>
      <w:r>
        <w:rPr>
          <w:rFonts w:hint="eastAsia"/>
          <w:sz w:val="20"/>
          <w:szCs w:val="20"/>
          <w:lang w:val="en-US" w:eastAsia="zh-CN"/>
        </w:rPr>
        <w:t>. Representative flow cytometric plots demonstrating gating strategy for identifying eosinophils in bronchoalveolar lavage fluid of mice</w:t>
      </w:r>
    </w:p>
    <w:p w14:paraId="1D9335E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7"/>
        <w:tblW w:w="8782" w:type="dxa"/>
        <w:tblInd w:w="-3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</w:tblGrid>
      <w:tr w14:paraId="0698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2" w:type="dxa"/>
          </w:tcPr>
          <w:p w14:paraId="1DC9D186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5446395" cy="1997075"/>
                  <wp:effectExtent l="0" t="0" r="5080" b="0"/>
                  <wp:docPr id="26" name="图片 26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6395" cy="199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954EA0">
      <w:pPr>
        <w:spacing w:before="120" w:after="120" w:line="480" w:lineRule="auto"/>
        <w:outlineLvl w:val="0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b/>
          <w:bCs/>
          <w:sz w:val="20"/>
          <w:szCs w:val="20"/>
          <w:lang w:val="en-US" w:eastAsia="zh-CN"/>
        </w:rPr>
        <w:t>Figure S3</w:t>
      </w:r>
      <w:r>
        <w:rPr>
          <w:rFonts w:hint="eastAsia"/>
          <w:sz w:val="20"/>
          <w:szCs w:val="20"/>
          <w:lang w:val="en-US" w:eastAsia="zh-CN"/>
        </w:rPr>
        <w:t>. Representative flow cytometric plots demonstrating gating strategy for identifying ILC subsets in lung tissue of mice</w:t>
      </w:r>
    </w:p>
    <w:p w14:paraId="200E6055">
      <w:pPr>
        <w:spacing w:before="120" w:after="120" w:line="480" w:lineRule="auto"/>
        <w:outlineLvl w:val="0"/>
        <w:rPr>
          <w:rFonts w:hint="eastAsia"/>
          <w:sz w:val="20"/>
          <w:szCs w:val="20"/>
          <w:lang w:val="en-US" w:eastAsia="zh-CN"/>
        </w:rPr>
      </w:pPr>
    </w:p>
    <w:p w14:paraId="3D41E140">
      <w:pPr>
        <w:spacing w:before="120" w:after="120" w:line="240" w:lineRule="auto"/>
        <w:outlineLvl w:val="0"/>
        <w:rPr>
          <w:rFonts w:hint="default"/>
          <w:b w:val="0"/>
          <w:bCs w:val="0"/>
          <w:i w:val="0"/>
          <w:iCs w:val="0"/>
          <w:sz w:val="22"/>
          <w:szCs w:val="22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0ZDY4MmNmMDcwZjZlNDY1YmY1ODg3NWQ2NTg4N2EifQ=="/>
  </w:docVars>
  <w:rsids>
    <w:rsidRoot w:val="00000000"/>
    <w:rsid w:val="003F5A0F"/>
    <w:rsid w:val="036602D5"/>
    <w:rsid w:val="03B1713F"/>
    <w:rsid w:val="04B70785"/>
    <w:rsid w:val="12A31296"/>
    <w:rsid w:val="138727D8"/>
    <w:rsid w:val="15F93F0A"/>
    <w:rsid w:val="18427A7C"/>
    <w:rsid w:val="18F01E20"/>
    <w:rsid w:val="19CF6119"/>
    <w:rsid w:val="24CF14FA"/>
    <w:rsid w:val="25C20861"/>
    <w:rsid w:val="30D963A8"/>
    <w:rsid w:val="33F35F58"/>
    <w:rsid w:val="34B73624"/>
    <w:rsid w:val="357F2D68"/>
    <w:rsid w:val="35826177"/>
    <w:rsid w:val="429D3BD8"/>
    <w:rsid w:val="441C0F88"/>
    <w:rsid w:val="4C9A7C15"/>
    <w:rsid w:val="4D9E6E56"/>
    <w:rsid w:val="4DE4323A"/>
    <w:rsid w:val="58932672"/>
    <w:rsid w:val="598C5387"/>
    <w:rsid w:val="5CFE54F6"/>
    <w:rsid w:val="618F68CD"/>
    <w:rsid w:val="63DA6BC7"/>
    <w:rsid w:val="65F71A99"/>
    <w:rsid w:val="6E6B4B72"/>
    <w:rsid w:val="73B5266E"/>
    <w:rsid w:val="7956617C"/>
    <w:rsid w:val="7B643141"/>
    <w:rsid w:val="7C9A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2"/>
    </w:pPr>
    <w:rPr>
      <w:rFonts w:ascii="Tahoma" w:hAnsi="Tahoma" w:eastAsia="黑体" w:cstheme="minorBidi"/>
      <w:sz w:val="21"/>
      <w:szCs w:val="22"/>
    </w:rPr>
  </w:style>
  <w:style w:type="paragraph" w:styleId="4">
    <w:name w:val="heading 4"/>
    <w:basedOn w:val="3"/>
    <w:next w:val="3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3"/>
    </w:pPr>
    <w:rPr>
      <w:rFonts w:ascii="黑体" w:hAnsi="黑体" w:cs="宋体"/>
      <w:bCs/>
      <w:szCs w:val="36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qFormat/>
    <w:uiPriority w:val="0"/>
    <w:rPr>
      <w:rFonts w:ascii="Tahoma" w:hAnsi="Tahoma" w:eastAsia="黑体" w:cstheme="minorBidi"/>
      <w:sz w:val="22"/>
      <w:szCs w:val="22"/>
    </w:rPr>
  </w:style>
  <w:style w:type="table" w:styleId="7">
    <w:name w:val="Table Grid"/>
    <w:basedOn w:val="6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Emphasis"/>
    <w:basedOn w:val="8"/>
    <w:qFormat/>
    <w:uiPriority w:val="0"/>
    <w:rPr>
      <w:i/>
    </w:rPr>
  </w:style>
  <w:style w:type="paragraph" w:customStyle="1" w:styleId="1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431</Words>
  <Characters>2015</Characters>
  <Lines>0</Lines>
  <Paragraphs>0</Paragraphs>
  <TotalTime>0</TotalTime>
  <ScaleCrop>false</ScaleCrop>
  <LinksUpToDate>false</LinksUpToDate>
  <CharactersWithSpaces>2326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2022-11-10T00:44:00Z</dcterms:created>
  <dc:creator>Dell</dc:creator>
  <cp:lastModifiedBy>Wei Liu</cp:lastModifiedBy>
  <dcterms:modified xsi:type="dcterms:W3CDTF">2025-03-04T10:09:06Z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C0B3DF544C3340BFBB33156B9221F334</vt:lpwstr>
  </property>
  <property fmtid="{D5CDD505-2E9C-101B-9397-08002B2CF9AE}" pid="4" name="KSOTemplateDocerSaveRecord">
    <vt:lpwstr>eyJoZGlkIjoiNzI1MzljODBiNDliMzEyMzFlZWNlN2EzYjU0N2YzMWEiLCJ1c2VySWQiOiIxMDUwMTM0MDQ0In0=</vt:lpwstr>
  </property>
</Properties>
</file>