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A11B9">
      <w:pPr>
        <w:spacing w:line="360" w:lineRule="auto"/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Supplementary Appendix 1.</w:t>
      </w:r>
    </w:p>
    <w:p w14:paraId="475EEB4A"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10F48BCC"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egoe UI" w:cs="Times New Roman"/>
          <w:color w:val="auto"/>
          <w:kern w:val="2"/>
          <w:sz w:val="20"/>
          <w:szCs w:val="20"/>
          <w:shd w:val="clear" w:fill="FFFFFF"/>
          <w:lang w:val="en-US" w:eastAsia="zh-CN" w:bidi="ar"/>
        </w:rPr>
        <w:t xml:space="preserve">Table </w:t>
      </w:r>
      <w:r>
        <w:rPr>
          <w:rFonts w:hint="default" w:ascii="Times New Roman" w:hAnsi="Times New Roman" w:eastAsia="Segoe UI" w:cs="Times New Roman"/>
          <w:color w:val="auto"/>
          <w:kern w:val="2"/>
          <w:sz w:val="20"/>
          <w:szCs w:val="20"/>
          <w:shd w:val="clear" w:fill="FFFFFF"/>
          <w:lang w:val="en-US" w:eastAsia="zh-CN" w:bidi="ar"/>
        </w:rPr>
        <w:t>S</w:t>
      </w:r>
      <w:r>
        <w:rPr>
          <w:rFonts w:hint="default" w:ascii="Times New Roman" w:hAnsi="Times New Roman" w:eastAsia="Segoe UI" w:cs="Times New Roman"/>
          <w:color w:val="auto"/>
          <w:kern w:val="2"/>
          <w:sz w:val="20"/>
          <w:szCs w:val="20"/>
          <w:shd w:val="clear" w:fill="FFFFFF"/>
          <w:lang w:val="en-US" w:eastAsia="zh-CN" w:bidi="ar"/>
        </w:rPr>
        <w:t>1</w:t>
      </w:r>
      <w:r>
        <w:rPr>
          <w:rFonts w:hint="default" w:ascii="Times New Roman" w:hAnsi="Times New Roman" w:eastAsia="Segoe UI" w:cs="Times New Roman"/>
          <w:color w:val="auto"/>
          <w:kern w:val="2"/>
          <w:sz w:val="20"/>
          <w:szCs w:val="20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The bas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ic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PREVENT 10-year risk estimation model equations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2099"/>
      </w:tblGrid>
      <w:tr w14:paraId="746C0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228" w:type="dxa"/>
            <w:gridSpan w:val="2"/>
            <w:shd w:val="clear" w:color="auto" w:fill="FFFFFF" w:themeFill="background1"/>
            <w:vAlign w:val="center"/>
          </w:tcPr>
          <w:p w14:paraId="10A3BB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10-year CVD risk assessment equation</w:t>
            </w:r>
          </w:p>
        </w:tc>
      </w:tr>
      <w:tr w14:paraId="07017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  <w:vAlign w:val="center"/>
          </w:tcPr>
          <w:p w14:paraId="708EA9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Male</w:t>
            </w:r>
          </w:p>
        </w:tc>
        <w:tc>
          <w:tcPr>
            <w:tcW w:w="12099" w:type="dxa"/>
            <w:vAlign w:val="center"/>
          </w:tcPr>
          <w:p w14:paraId="2C02EB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log-Odds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= -3.031168 + 0.7688528 × (age – 55) /10 + 0.0736174 × ((TC – HDL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 × 0.02586 – 3.5) – 0.0954431 × (HDL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× 0.02586 – 1.3) /0.3 – 0.4347345 × (min(SBP, 110) – 110) /20 + 0.3362658 × (max(SBP, 110) – 130) /20 + 0.7692857 × (if diabetes) + 0.4386871 × (if current smoker) + 0.5378979 × (min(eGFR, 60) – 60) / -15 + 0.0164827 × (max(eGFR, 60) – 90) / -15 + 0.288879 × (if using anti hypertensive medication) – 0.1337349 × (if using statin) – 0.0475924 × (if using anti-hypertensive medication) × (max(SBP, 110) – 130) /20 + 0.150273 × (if using statin) × ((TC – HDL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 × 0.02586 – 3.5) – 0.0517874 × (age – 55) /10 × ((TC – HDL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 × 0.02586 – 3.5) + 0.0191169 × (age – 55) /10 × (HDL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× 0.02586 – 1.3) /0.3 – 0.1049477 × (age – 55) /10 × (max(SBP, 110) – 130) /20 – 0.2251948 × (age – 55) /10 × (if diabetes) – 0.0895067 × (age – 55) /10 × (if current smoker) – 0.1543702 × (age – 55) /10 × (min(eGFR, 60) – 60) / -15</w:t>
            </w:r>
          </w:p>
        </w:tc>
      </w:tr>
      <w:tr w14:paraId="18DC6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 w14:paraId="5D3E14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9" w:type="dxa"/>
            <w:vAlign w:val="center"/>
          </w:tcPr>
          <w:p w14:paraId="31A4C3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Risk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= 1 / (1 +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exp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(-log-Odds))</w:t>
            </w:r>
          </w:p>
        </w:tc>
      </w:tr>
      <w:tr w14:paraId="1959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  <w:vAlign w:val="center"/>
          </w:tcPr>
          <w:p w14:paraId="59FCF0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Female</w:t>
            </w:r>
          </w:p>
        </w:tc>
        <w:tc>
          <w:tcPr>
            <w:tcW w:w="12099" w:type="dxa"/>
            <w:vAlign w:val="center"/>
          </w:tcPr>
          <w:p w14:paraId="57A2BD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log-Odds = -3.307728 + 0.7939329 × (age – 55) /10 + 0.0305239 × ((TC – HDL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 × 0.02586 – 3.5) – 0.1606857 × (HDL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× 0.02586 – 1.3) /0.3 – 0.2394003 × (min(SBP, 110) – 110) /20 + 0.360078 × (max(SBP, 110) – 130) /20 + 0.8667604 × (if diabetes) + 0.5360739 × (if current smoker) + 0.6045917 × (min(eGFR, 60) – 60) / -15 + 0.0433769 × (max(eGFR, 60) – 90) / -15 + 0.3151672 × (if using anti hypertensive medication) – 0.1477655 × (if using statin) – 0.0663612 × (if using anti-hypertensive medication) × (max(SBP, 110) – 130) /20 + 0.1197879 × (if using statin) × ((TC – HDL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 × 0.02586 – 3.5) – 0.0819715 × (age – 55) /10 × ((TC – HDL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 × 0.02586 – 3.5) + 0.0306769 × (age – 55) /10 × (HDL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× 0.02586 × 0.02586 – 1.3) /0.3 – 0.0946348 × (age – 55) /10 × (max(SBP, 110) – 130) /20 – 0.27057 × (age – 55) /10 × (if diabetes) – 0.078715 × (age – 55) /10 × (if current smoker) – 0.1637806 × (age – 55) /10 × (min(eGFR, 60) – 60) / -15</w:t>
            </w:r>
          </w:p>
        </w:tc>
      </w:tr>
      <w:tr w14:paraId="6160C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129" w:type="dxa"/>
            <w:vMerge w:val="continue"/>
            <w:vAlign w:val="center"/>
          </w:tcPr>
          <w:p w14:paraId="15C6B8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9" w:type="dxa"/>
            <w:vAlign w:val="center"/>
          </w:tcPr>
          <w:p w14:paraId="03B211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Risk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= 1 / (1 +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exp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(-log-Odds))</w:t>
            </w:r>
          </w:p>
        </w:tc>
      </w:tr>
    </w:tbl>
    <w:p w14:paraId="59DBB184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Abbreviations: TC,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t</w:t>
      </w:r>
      <w:r>
        <w:rPr>
          <w:rFonts w:hint="default" w:ascii="Times New Roman" w:hAnsi="Times New Roman" w:cs="Times New Roman"/>
          <w:sz w:val="20"/>
          <w:szCs w:val="20"/>
        </w:rPr>
        <w:t>otal cholesterol</w:t>
      </w:r>
      <w:r>
        <w:rPr>
          <w:rFonts w:hint="default" w:ascii="Times New Roman" w:hAnsi="Times New Roman" w:cs="Times New Roman"/>
          <w:sz w:val="20"/>
          <w:szCs w:val="20"/>
        </w:rPr>
        <w:t>; HDL-C, high-density lipoprotein cholesterol; SBP, s</w:t>
      </w:r>
      <w:r>
        <w:rPr>
          <w:rFonts w:hint="default" w:ascii="Times New Roman" w:hAnsi="Times New Roman" w:cs="Times New Roman"/>
          <w:sz w:val="20"/>
          <w:szCs w:val="20"/>
        </w:rPr>
        <w:t>ystolic blood pressure</w:t>
      </w:r>
      <w:r>
        <w:rPr>
          <w:rFonts w:hint="default" w:ascii="Times New Roman" w:hAnsi="Times New Roman" w:cs="Times New Roman"/>
          <w:sz w:val="20"/>
          <w:szCs w:val="20"/>
        </w:rPr>
        <w:t xml:space="preserve">; eGFR, </w:t>
      </w:r>
      <w:r>
        <w:rPr>
          <w:rFonts w:hint="default" w:ascii="Times New Roman" w:hAnsi="Times New Roman" w:cs="Times New Roman"/>
          <w:sz w:val="20"/>
          <w:szCs w:val="20"/>
        </w:rPr>
        <w:t>estimated glomerular filtration rate</w:t>
      </w:r>
      <w:r>
        <w:rPr>
          <w:rFonts w:hint="default" w:ascii="Times New Roman" w:hAnsi="Times New Roman" w:cs="Times New Roman"/>
          <w:sz w:val="20"/>
          <w:szCs w:val="20"/>
        </w:rPr>
        <w:t>.</w:t>
      </w:r>
    </w:p>
    <w:p w14:paraId="68AB5BFB"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2B9A45F7">
      <w:pPr>
        <w:spacing w:line="360" w:lineRule="auto"/>
        <w:ind w:firstLine="100" w:firstLineChars="50"/>
        <w:jc w:val="left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br w:type="page"/>
      </w:r>
      <w:r>
        <w:rPr>
          <w:rFonts w:hint="default" w:ascii="Times New Roman" w:hAnsi="Times New Roman" w:eastAsia="Segoe UI" w:cs="Times New Roman"/>
          <w:color w:val="auto"/>
          <w:kern w:val="2"/>
          <w:sz w:val="20"/>
          <w:szCs w:val="20"/>
          <w:shd w:val="clear" w:fill="FFFFFF"/>
          <w:lang w:val="en-US" w:eastAsia="zh-CN" w:bidi="ar"/>
        </w:rPr>
        <w:t xml:space="preserve">Table </w:t>
      </w:r>
      <w:r>
        <w:rPr>
          <w:rFonts w:hint="default" w:ascii="Times New Roman" w:hAnsi="Times New Roman" w:eastAsia="Segoe UI" w:cs="Times New Roman"/>
          <w:color w:val="auto"/>
          <w:kern w:val="2"/>
          <w:sz w:val="20"/>
          <w:szCs w:val="20"/>
          <w:shd w:val="clear" w:fill="FFFFFF"/>
          <w:lang w:val="en-US" w:eastAsia="zh-CN" w:bidi="ar"/>
        </w:rPr>
        <w:t xml:space="preserve">S2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Definition of CKM syndrome staging adjusted for data in NHANES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10398"/>
      </w:tblGrid>
      <w:tr w14:paraId="795BE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830" w:type="dxa"/>
            <w:shd w:val="clear" w:color="auto" w:fill="FFFFFF" w:themeFill="background1"/>
            <w:vAlign w:val="center"/>
          </w:tcPr>
          <w:p w14:paraId="4C8547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CKM syndrome stages</w:t>
            </w:r>
          </w:p>
        </w:tc>
        <w:tc>
          <w:tcPr>
            <w:tcW w:w="10398" w:type="dxa"/>
            <w:shd w:val="clear" w:color="auto" w:fill="FFFFFF" w:themeFill="background1"/>
            <w:vAlign w:val="center"/>
          </w:tcPr>
          <w:p w14:paraId="301D91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Definition</w:t>
            </w:r>
          </w:p>
        </w:tc>
      </w:tr>
      <w:tr w14:paraId="56673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vAlign w:val="center"/>
          </w:tcPr>
          <w:p w14:paraId="56692D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Stage 0: No CKM health risk factors</w:t>
            </w:r>
          </w:p>
        </w:tc>
        <w:tc>
          <w:tcPr>
            <w:tcW w:w="10398" w:type="dxa"/>
            <w:vAlign w:val="center"/>
          </w:tcPr>
          <w:p w14:paraId="6DF8D1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Individuals without overweight/obesity, metabolic risk factors (hypertriglyceridemia, hypertension, diabetes,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Me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T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), CKD or subclinical/clinical CVD</w:t>
            </w:r>
          </w:p>
          <w:p w14:paraId="59673E7C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(1)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BMI between 18.5 and 25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kg/m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 inclusive</w:t>
            </w:r>
          </w:p>
          <w:p w14:paraId="1C03BC9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(2)WC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&lt;102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cm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for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men or &lt;88 cm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for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female</w:t>
            </w:r>
          </w:p>
        </w:tc>
      </w:tr>
      <w:tr w14:paraId="7EA54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vAlign w:val="center"/>
          </w:tcPr>
          <w:p w14:paraId="514604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Stage 1: Excess or dysfunctional adiposity</w:t>
            </w:r>
          </w:p>
        </w:tc>
        <w:tc>
          <w:tcPr>
            <w:tcW w:w="10398" w:type="dxa"/>
            <w:vAlign w:val="center"/>
          </w:tcPr>
          <w:p w14:paraId="1ABD1A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Individuals with overweight/obesity, abdominal obesity, or adipose tissue dysfunction without other metabolic risk factors, CKD, or subclinical/clinical CVD</w:t>
            </w:r>
          </w:p>
          <w:p w14:paraId="02D9B59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(1)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BMI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≥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kg/m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43D8E32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(2)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≥ 102 cm for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male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or ≥ 88 cm for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female</w:t>
            </w:r>
          </w:p>
          <w:p w14:paraId="62E1772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(3)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F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BG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levels ranging from 100 to 124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mg/dL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, or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HbA1c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levels between 5.7 and 6.4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14:paraId="308B9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vAlign w:val="center"/>
          </w:tcPr>
          <w:p w14:paraId="262B75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Stage 2: Metabolic risk factors and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moderate to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high-risk CKD</w:t>
            </w:r>
          </w:p>
        </w:tc>
        <w:tc>
          <w:tcPr>
            <w:tcW w:w="10398" w:type="dxa"/>
            <w:vAlign w:val="center"/>
          </w:tcPr>
          <w:p w14:paraId="5F5F8A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Individuals with metabolic risk factors (hypertriglyceridemia, hypertension, diabetes,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MeTS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) or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moderate to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high-risk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CKD stage(</w:t>
            </w:r>
            <w:bookmarkStart w:id="0" w:name="_Hlk186127369"/>
            <w:r>
              <w:rPr>
                <w:rFonts w:hint="default" w:ascii="Times New Roman" w:hAnsi="Times New Roman" w:cs="Times New Roman"/>
                <w:sz w:val="20"/>
                <w:szCs w:val="20"/>
              </w:rPr>
              <w:t>The stage of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CKD is determined by the KDIGO criteria, using eGFR and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UACR.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The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eGFR was calculated using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the 2021 race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and ethnicity‐free Chronic Kidney Disease Epidemiology Collaboration creatinine equation</w:t>
            </w:r>
            <w:bookmarkEnd w:id="0"/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.</w:t>
            </w:r>
          </w:p>
          <w:p w14:paraId="230E4081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(1)TG &gt;135 mg/dL</w:t>
            </w:r>
          </w:p>
          <w:p w14:paraId="68525CA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(2)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Hypertension is defined by a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SBP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of ≥130 mm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Hg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a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of ≥80 mm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Hg, a medical diagnosis, or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taking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antihypertensive medication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</w:p>
          <w:p w14:paraId="2EDA363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(3)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Diabetes is defined by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FBG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levels of &gt; 126 mg/dL,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HbA1c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levels of ≥ 6.5%, a medical diagnosis, or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taking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insulin or glucose-lowering medication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</w:p>
          <w:p w14:paraId="6C55BEF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(4)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Moderate to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high-risk CKD in the KDIGO classification is defined as UACR ≥ 30 mg/g and eGFR ≥ 60 ml/min/1.73m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 UACR &lt; 300 mg/g and eGFR ≤ 45-59 ml/min/1.73m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 or UACR &lt; 30 mg/g and eGFR ≤ 30-44 ml/min/1.73m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</w:p>
        </w:tc>
      </w:tr>
      <w:tr w14:paraId="27F4F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vAlign w:val="center"/>
          </w:tcPr>
          <w:p w14:paraId="7696C9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Stage 3: Subclinical CVD in CKM</w:t>
            </w:r>
          </w:p>
        </w:tc>
        <w:tc>
          <w:tcPr>
            <w:tcW w:w="10398" w:type="dxa"/>
            <w:vAlign w:val="center"/>
          </w:tcPr>
          <w:p w14:paraId="619D51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Risk equivalents for subclinical CVD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: h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igh predicted 10-y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ear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CVD risk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very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high-risk KDIGO CKD stage</w:t>
            </w:r>
          </w:p>
          <w:p w14:paraId="697D818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(1)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A high 10-year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CVD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risk is defined as a 20% or above risk, as determined by the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basic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Predicting Risk of CVD EVENTs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(PREVENT) equation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</w:p>
          <w:p w14:paraId="11B355F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(2)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Very high-risk CKD in the KDIGO classification is defined as UACR ≥ 300 mg/g and eGFR ≤ 45-59 ml/min/1.73 m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 UACR ≥ 30 mg/g and eGFR ≤ 30-44 ml/min/1.73 m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or eGFR ≤ 29 ml/min/1.73 m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</w:p>
        </w:tc>
      </w:tr>
      <w:tr w14:paraId="29CAA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2830" w:type="dxa"/>
            <w:vAlign w:val="center"/>
          </w:tcPr>
          <w:p w14:paraId="7C1A8C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Stage 4: Clinical CVD in CKM</w:t>
            </w:r>
          </w:p>
        </w:tc>
        <w:tc>
          <w:tcPr>
            <w:tcW w:w="10398" w:type="dxa"/>
            <w:vAlign w:val="center"/>
          </w:tcPr>
          <w:p w14:paraId="218FEE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Clinical CVD (self-reported diagnosed cardiovascular disease, including heart failure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coronary heart disease, angina, heart attack, and stroke) in individuals</w:t>
            </w:r>
          </w:p>
        </w:tc>
      </w:tr>
    </w:tbl>
    <w:p w14:paraId="1260FBE3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Abbreviations: CKM syndrome, Cardiovascular-Kidney-Metabolic syndrome; NHANES, National Health and Nutrition Examination Survey; </w:t>
      </w:r>
      <w:r>
        <w:rPr>
          <w:rFonts w:hint="default" w:ascii="Times New Roman" w:hAnsi="Times New Roman" w:cs="Times New Roman"/>
          <w:sz w:val="20"/>
          <w:szCs w:val="20"/>
          <w:lang w:eastAsia="zh-CN"/>
        </w:rPr>
        <w:t>MeTS</w:t>
      </w:r>
      <w:r>
        <w:rPr>
          <w:rFonts w:hint="default" w:ascii="Times New Roman" w:hAnsi="Times New Roman" w:cs="Times New Roman"/>
          <w:sz w:val="20"/>
          <w:szCs w:val="20"/>
        </w:rPr>
        <w:t xml:space="preserve">, metabolic syndrome; CKD, chronic kidney disease; CVD, cardiovascular disease; </w:t>
      </w:r>
      <w:bookmarkStart w:id="1" w:name="_Hlk186116490"/>
      <w:r>
        <w:rPr>
          <w:rFonts w:hint="default" w:ascii="Times New Roman" w:hAnsi="Times New Roman" w:cs="Times New Roman"/>
          <w:sz w:val="20"/>
          <w:szCs w:val="20"/>
        </w:rPr>
        <w:t>BMI, body mass index; WC, waist circumference; FBG, fasting blood glucose; HbA1c, glycated hemoglobin A1c; KDIGO, Kidney Disease Improving Global Outcomes; UACR, urine albumin-to-creatinine ratio; eGFR, estimated glomerular filtration rate; TG, triglycerides; SBP, systolic blood pressure; DBP, diastolic blood pressure.</w:t>
      </w:r>
    </w:p>
    <w:bookmarkEnd w:id="1"/>
    <w:p w14:paraId="08CA44D1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*</w:t>
      </w:r>
      <w:r>
        <w:rPr>
          <w:rFonts w:hint="default" w:ascii="Times New Roman" w:hAnsi="Times New Roman" w:cs="Times New Roman"/>
          <w:color w:val="7B7B7B"/>
          <w:sz w:val="20"/>
          <w:szCs w:val="20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eastAsia="zh-CN"/>
        </w:rPr>
        <w:t>MeTS</w:t>
      </w:r>
      <w:r>
        <w:rPr>
          <w:rFonts w:hint="default" w:ascii="Times New Roman" w:hAnsi="Times New Roman" w:cs="Times New Roman"/>
          <w:sz w:val="20"/>
          <w:szCs w:val="20"/>
        </w:rPr>
        <w:t xml:space="preserve"> is defined by the presence of ≥3 of the following:</w:t>
      </w:r>
      <w:r>
        <w:rPr>
          <w:rFonts w:hint="default" w:ascii="Times New Roman" w:hAnsi="Times New Roman" w:cs="Times New Roman"/>
          <w:sz w:val="20"/>
          <w:szCs w:val="20"/>
        </w:rPr>
        <w:t xml:space="preserve"> (</w:t>
      </w:r>
      <w:r>
        <w:rPr>
          <w:rFonts w:hint="default" w:ascii="Times New Roman" w:hAnsi="Times New Roman" w:cs="Times New Roman"/>
          <w:sz w:val="20"/>
          <w:szCs w:val="20"/>
        </w:rPr>
        <w:t>1</w:t>
      </w:r>
      <w:r>
        <w:rPr>
          <w:rFonts w:hint="default" w:ascii="Times New Roman" w:hAnsi="Times New Roman" w:cs="Times New Roman"/>
          <w:sz w:val="20"/>
          <w:szCs w:val="20"/>
        </w:rPr>
        <w:t xml:space="preserve">) </w:t>
      </w:r>
      <w:r>
        <w:rPr>
          <w:rFonts w:hint="default" w:ascii="Times New Roman" w:hAnsi="Times New Roman" w:cs="Times New Roman"/>
          <w:sz w:val="20"/>
          <w:szCs w:val="20"/>
        </w:rPr>
        <w:t>W</w:t>
      </w:r>
      <w:r>
        <w:rPr>
          <w:rFonts w:hint="default" w:ascii="Times New Roman" w:hAnsi="Times New Roman" w:cs="Times New Roman"/>
          <w:sz w:val="20"/>
          <w:szCs w:val="20"/>
        </w:rPr>
        <w:t>C</w:t>
      </w:r>
      <w:r>
        <w:rPr>
          <w:rFonts w:hint="default" w:ascii="Times New Roman" w:hAnsi="Times New Roman" w:cs="Times New Roman"/>
          <w:sz w:val="20"/>
          <w:szCs w:val="20"/>
        </w:rPr>
        <w:t xml:space="preserve"> ≥ 102 cm for </w:t>
      </w:r>
      <w:r>
        <w:rPr>
          <w:rFonts w:hint="default" w:ascii="Times New Roman" w:hAnsi="Times New Roman" w:cs="Times New Roman"/>
          <w:sz w:val="20"/>
          <w:szCs w:val="20"/>
          <w:lang w:eastAsia="zh-CN"/>
        </w:rPr>
        <w:t>male</w:t>
      </w:r>
      <w:r>
        <w:rPr>
          <w:rFonts w:hint="default" w:ascii="Times New Roman" w:hAnsi="Times New Roman" w:cs="Times New Roman"/>
          <w:sz w:val="20"/>
          <w:szCs w:val="20"/>
        </w:rPr>
        <w:t xml:space="preserve"> or ≥ 88 cm for </w:t>
      </w:r>
      <w:r>
        <w:rPr>
          <w:rFonts w:hint="default" w:ascii="Times New Roman" w:hAnsi="Times New Roman" w:cs="Times New Roman"/>
          <w:sz w:val="20"/>
          <w:szCs w:val="20"/>
          <w:lang w:eastAsia="zh-CN"/>
        </w:rPr>
        <w:t>female</w:t>
      </w:r>
      <w:r>
        <w:rPr>
          <w:rFonts w:hint="default" w:ascii="Times New Roman" w:hAnsi="Times New Roman" w:cs="Times New Roman"/>
          <w:sz w:val="20"/>
          <w:szCs w:val="20"/>
        </w:rPr>
        <w:t xml:space="preserve">; (2) </w:t>
      </w:r>
      <w:r>
        <w:rPr>
          <w:rFonts w:hint="default" w:ascii="Times New Roman" w:hAnsi="Times New Roman" w:cs="Times New Roman"/>
          <w:sz w:val="20"/>
          <w:szCs w:val="20"/>
        </w:rPr>
        <w:t>HDL</w:t>
      </w:r>
      <w:r>
        <w:rPr>
          <w:rFonts w:hint="default" w:ascii="Times New Roman" w:hAnsi="Times New Roman" w:cs="Times New Roman"/>
          <w:sz w:val="20"/>
          <w:szCs w:val="20"/>
        </w:rPr>
        <w:t>-C</w:t>
      </w:r>
      <w:r>
        <w:rPr>
          <w:rFonts w:hint="default" w:ascii="Times New Roman" w:hAnsi="Times New Roman" w:cs="Times New Roman"/>
          <w:sz w:val="20"/>
          <w:szCs w:val="20"/>
        </w:rPr>
        <w:t xml:space="preserve"> &lt;40 mg/dL for </w:t>
      </w:r>
      <w:r>
        <w:rPr>
          <w:rFonts w:hint="default" w:ascii="Times New Roman" w:hAnsi="Times New Roman" w:cs="Times New Roman"/>
          <w:sz w:val="20"/>
          <w:szCs w:val="20"/>
          <w:lang w:eastAsia="zh-CN"/>
        </w:rPr>
        <w:t>male</w:t>
      </w:r>
      <w:r>
        <w:rPr>
          <w:rFonts w:hint="default" w:ascii="Times New Roman" w:hAnsi="Times New Roman" w:cs="Times New Roman"/>
          <w:sz w:val="20"/>
          <w:szCs w:val="20"/>
        </w:rPr>
        <w:t xml:space="preserve">, &lt;50 mg/dL for </w:t>
      </w:r>
      <w:r>
        <w:rPr>
          <w:rFonts w:hint="default" w:ascii="Times New Roman" w:hAnsi="Times New Roman" w:cs="Times New Roman"/>
          <w:sz w:val="20"/>
          <w:szCs w:val="20"/>
          <w:lang w:eastAsia="zh-CN"/>
        </w:rPr>
        <w:t>female</w:t>
      </w:r>
      <w:r>
        <w:rPr>
          <w:rFonts w:hint="default" w:ascii="Times New Roman" w:hAnsi="Times New Roman" w:cs="Times New Roman"/>
          <w:sz w:val="20"/>
          <w:szCs w:val="20"/>
        </w:rPr>
        <w:t xml:space="preserve">; (3) </w:t>
      </w:r>
      <w:r>
        <w:rPr>
          <w:rFonts w:hint="default" w:ascii="Times New Roman" w:hAnsi="Times New Roman" w:cs="Times New Roman"/>
          <w:sz w:val="20"/>
          <w:szCs w:val="20"/>
        </w:rPr>
        <w:t>T</w:t>
      </w:r>
      <w:r>
        <w:rPr>
          <w:rFonts w:hint="default" w:ascii="Times New Roman" w:hAnsi="Times New Roman" w:cs="Times New Roman"/>
          <w:sz w:val="20"/>
          <w:szCs w:val="20"/>
        </w:rPr>
        <w:t>G</w:t>
      </w:r>
      <w:r>
        <w:rPr>
          <w:rFonts w:hint="default" w:ascii="Times New Roman" w:hAnsi="Times New Roman" w:cs="Times New Roman"/>
          <w:sz w:val="20"/>
          <w:szCs w:val="20"/>
        </w:rPr>
        <w:t xml:space="preserve"> ≥150 mg/dL</w:t>
      </w:r>
      <w:r>
        <w:rPr>
          <w:rFonts w:hint="default" w:ascii="Times New Roman" w:hAnsi="Times New Roman" w:cs="Times New Roman"/>
          <w:sz w:val="20"/>
          <w:szCs w:val="20"/>
        </w:rPr>
        <w:t xml:space="preserve">; </w:t>
      </w:r>
      <w:r>
        <w:rPr>
          <w:rFonts w:hint="default" w:ascii="Times New Roman" w:hAnsi="Times New Roman" w:cs="Times New Roman"/>
          <w:sz w:val="20"/>
          <w:szCs w:val="20"/>
        </w:rPr>
        <w:t>(4)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Elevated blood pressure</w:t>
      </w:r>
      <w:r>
        <w:rPr>
          <w:rFonts w:hint="default" w:ascii="Times New Roman" w:hAnsi="Times New Roman" w:cs="Times New Roman"/>
          <w:sz w:val="20"/>
          <w:szCs w:val="20"/>
        </w:rPr>
        <w:t xml:space="preserve"> (SBP</w:t>
      </w:r>
      <w:r>
        <w:rPr>
          <w:rFonts w:hint="default" w:ascii="Times New Roman" w:hAnsi="Times New Roman" w:cs="Times New Roman"/>
          <w:sz w:val="20"/>
          <w:szCs w:val="20"/>
        </w:rPr>
        <w:t xml:space="preserve"> ≥130 mm Hg, </w:t>
      </w:r>
      <w:r>
        <w:rPr>
          <w:rFonts w:hint="default" w:ascii="Times New Roman" w:hAnsi="Times New Roman" w:cs="Times New Roman"/>
          <w:sz w:val="20"/>
          <w:szCs w:val="20"/>
        </w:rPr>
        <w:t>DBP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eastAsia="等线" w:cs="Times New Roman"/>
          <w:sz w:val="20"/>
          <w:szCs w:val="20"/>
        </w:rPr>
        <w:t>≥</w:t>
      </w:r>
      <w:r>
        <w:rPr>
          <w:rFonts w:hint="default" w:ascii="Times New Roman" w:hAnsi="Times New Roman" w:cs="Times New Roman"/>
          <w:sz w:val="20"/>
          <w:szCs w:val="20"/>
        </w:rPr>
        <w:t>80 mm Hg, a medical diagnosis, or taking antihypertensive medication</w:t>
      </w:r>
      <w:r>
        <w:rPr>
          <w:rFonts w:hint="default" w:ascii="Times New Roman" w:hAnsi="Times New Roman" w:cs="Times New Roman"/>
          <w:sz w:val="20"/>
          <w:szCs w:val="20"/>
        </w:rPr>
        <w:t xml:space="preserve">); (5) </w:t>
      </w:r>
      <w:r>
        <w:rPr>
          <w:rFonts w:hint="default" w:ascii="Times New Roman" w:hAnsi="Times New Roman" w:cs="Times New Roman"/>
          <w:sz w:val="20"/>
          <w:szCs w:val="20"/>
        </w:rPr>
        <w:t>F</w:t>
      </w:r>
      <w:r>
        <w:rPr>
          <w:rFonts w:hint="default" w:ascii="Times New Roman" w:hAnsi="Times New Roman" w:cs="Times New Roman"/>
          <w:sz w:val="20"/>
          <w:szCs w:val="20"/>
        </w:rPr>
        <w:t>BG</w:t>
      </w:r>
      <w:r>
        <w:rPr>
          <w:rFonts w:hint="default" w:ascii="Times New Roman" w:hAnsi="Times New Roman" w:cs="Times New Roman"/>
          <w:sz w:val="20"/>
          <w:szCs w:val="20"/>
        </w:rPr>
        <w:t xml:space="preserve"> ≥100 mg/</w:t>
      </w:r>
      <w:r>
        <w:rPr>
          <w:rFonts w:hint="default" w:ascii="Times New Roman" w:hAnsi="Times New Roman" w:cs="Times New Roman"/>
          <w:sz w:val="20"/>
          <w:szCs w:val="20"/>
        </w:rPr>
        <w:t>dL</w:t>
      </w:r>
    </w:p>
    <w:p w14:paraId="77AED9AF">
      <w:pPr>
        <w:rPr>
          <w:rFonts w:hint="default" w:ascii="Times New Roman" w:hAnsi="Times New Roman" w:cs="Times New Roman"/>
          <w:sz w:val="20"/>
          <w:szCs w:val="20"/>
        </w:rPr>
      </w:pPr>
    </w:p>
    <w:p w14:paraId="5E373979">
      <w:pPr>
        <w:rPr>
          <w:rFonts w:hint="default" w:ascii="Times New Roman" w:hAnsi="Times New Roman" w:cs="Times New Roman"/>
          <w:sz w:val="20"/>
          <w:szCs w:val="20"/>
        </w:rPr>
      </w:pPr>
    </w:p>
    <w:p w14:paraId="1F40B4C3">
      <w:pPr>
        <w:keepNext w:val="0"/>
        <w:keepLines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Segoe UI" w:cs="Times New Roman"/>
          <w:color w:val="auto"/>
          <w:kern w:val="2"/>
          <w:sz w:val="20"/>
          <w:szCs w:val="20"/>
          <w:shd w:val="clear" w:fill="FFFFFF"/>
          <w:lang w:val="en-US" w:eastAsia="zh-CN" w:bidi="ar"/>
        </w:rPr>
        <w:t xml:space="preserve">Table </w:t>
      </w:r>
      <w:r>
        <w:rPr>
          <w:rFonts w:hint="default" w:ascii="Times New Roman" w:hAnsi="Times New Roman" w:eastAsia="Segoe UI" w:cs="Times New Roman"/>
          <w:color w:val="auto"/>
          <w:kern w:val="2"/>
          <w:sz w:val="20"/>
          <w:szCs w:val="20"/>
          <w:shd w:val="clear" w:fill="FFFFFF"/>
          <w:lang w:val="en-US" w:eastAsia="zh-CN" w:bidi="ar"/>
        </w:rPr>
        <w:t xml:space="preserve">S3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Variables, Measurement Methods, and Equipment/Techniques</w:t>
      </w:r>
    </w:p>
    <w:tbl>
      <w:tblPr>
        <w:tblStyle w:val="16"/>
        <w:tblpPr w:leftFromText="180" w:rightFromText="180" w:vertAnchor="text" w:horzAnchor="page" w:tblpX="1904" w:tblpY="463"/>
        <w:tblOverlap w:val="never"/>
        <w:tblW w:w="46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1"/>
        <w:gridCol w:w="5124"/>
        <w:gridCol w:w="4627"/>
      </w:tblGrid>
      <w:tr w14:paraId="08D8F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pct"/>
            <w:vAlign w:val="top"/>
          </w:tcPr>
          <w:p w14:paraId="084B5E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Variable</w:t>
            </w:r>
          </w:p>
        </w:tc>
        <w:tc>
          <w:tcPr>
            <w:tcW w:w="2031" w:type="pct"/>
            <w:vAlign w:val="top"/>
          </w:tcPr>
          <w:p w14:paraId="7B451B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Measurement Method</w:t>
            </w:r>
          </w:p>
        </w:tc>
        <w:tc>
          <w:tcPr>
            <w:tcW w:w="1834" w:type="pct"/>
            <w:vAlign w:val="top"/>
          </w:tcPr>
          <w:p w14:paraId="448F22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Equipment/Technique</w:t>
            </w:r>
          </w:p>
        </w:tc>
      </w:tr>
      <w:tr w14:paraId="44FBF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pct"/>
            <w:vAlign w:val="top"/>
          </w:tcPr>
          <w:p w14:paraId="4CF564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Body Mass Index (BMI)</w:t>
            </w:r>
          </w:p>
        </w:tc>
        <w:tc>
          <w:tcPr>
            <w:tcW w:w="2031" w:type="pct"/>
            <w:vAlign w:val="top"/>
          </w:tcPr>
          <w:p w14:paraId="567628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Calculated from measured height and weight: BMI = weight (kg) / height² (m²)</w:t>
            </w:r>
          </w:p>
        </w:tc>
        <w:tc>
          <w:tcPr>
            <w:tcW w:w="1834" w:type="pct"/>
            <w:vAlign w:val="top"/>
          </w:tcPr>
          <w:p w14:paraId="6D2CE3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Calibrated scales,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stadiometers</w:t>
            </w:r>
          </w:p>
        </w:tc>
      </w:tr>
      <w:tr w14:paraId="42936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pct"/>
            <w:vAlign w:val="top"/>
          </w:tcPr>
          <w:p w14:paraId="62FB22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Systolic/Diastolic Blood Pressure (SBP/DBP)</w:t>
            </w:r>
          </w:p>
        </w:tc>
        <w:tc>
          <w:tcPr>
            <w:tcW w:w="2031" w:type="pct"/>
            <w:vAlign w:val="top"/>
          </w:tcPr>
          <w:p w14:paraId="54E81D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Mercury sphygmomanometer in seated position, with three measurements averaged for accuracy.</w:t>
            </w:r>
          </w:p>
        </w:tc>
        <w:tc>
          <w:tcPr>
            <w:tcW w:w="1834" w:type="pct"/>
            <w:vAlign w:val="top"/>
          </w:tcPr>
          <w:p w14:paraId="455408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Mercury sphygmomanometer</w:t>
            </w:r>
          </w:p>
        </w:tc>
      </w:tr>
      <w:tr w14:paraId="017C7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pct"/>
            <w:vAlign w:val="top"/>
          </w:tcPr>
          <w:p w14:paraId="7ADC85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Serum Creatinine</w:t>
            </w:r>
          </w:p>
        </w:tc>
        <w:tc>
          <w:tcPr>
            <w:tcW w:w="2031" w:type="pct"/>
            <w:vAlign w:val="top"/>
          </w:tcPr>
          <w:p w14:paraId="508275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Enzymatic method</w:t>
            </w:r>
          </w:p>
        </w:tc>
        <w:tc>
          <w:tcPr>
            <w:tcW w:w="1834" w:type="pct"/>
            <w:vAlign w:val="top"/>
          </w:tcPr>
          <w:p w14:paraId="07AB78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Roche/Hitachi Modular P analyzer</w:t>
            </w:r>
          </w:p>
        </w:tc>
      </w:tr>
      <w:tr w14:paraId="62497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pct"/>
            <w:vAlign w:val="top"/>
          </w:tcPr>
          <w:p w14:paraId="58A5AA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High-Density Lipoprotein Cholesterol (HDL-C)</w:t>
            </w:r>
          </w:p>
        </w:tc>
        <w:tc>
          <w:tcPr>
            <w:tcW w:w="2031" w:type="pct"/>
            <w:vAlign w:val="top"/>
          </w:tcPr>
          <w:p w14:paraId="601381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Direct enzymatic colorimetric method</w:t>
            </w:r>
          </w:p>
        </w:tc>
        <w:tc>
          <w:tcPr>
            <w:tcW w:w="1834" w:type="pct"/>
            <w:vAlign w:val="top"/>
          </w:tcPr>
          <w:p w14:paraId="1E7F6E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Roche/Hitachi Modular P analyzer</w:t>
            </w:r>
          </w:p>
        </w:tc>
      </w:tr>
      <w:tr w14:paraId="5A98E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pct"/>
            <w:vAlign w:val="top"/>
          </w:tcPr>
          <w:p w14:paraId="428477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Total Cholesterol</w:t>
            </w:r>
          </w:p>
        </w:tc>
        <w:tc>
          <w:tcPr>
            <w:tcW w:w="2031" w:type="pct"/>
            <w:vAlign w:val="top"/>
          </w:tcPr>
          <w:p w14:paraId="4A3100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Enzymatic method</w:t>
            </w:r>
          </w:p>
        </w:tc>
        <w:tc>
          <w:tcPr>
            <w:tcW w:w="1834" w:type="pct"/>
            <w:vAlign w:val="top"/>
          </w:tcPr>
          <w:p w14:paraId="68A4B3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Roche/Hitachi Modular P analyzer</w:t>
            </w:r>
          </w:p>
        </w:tc>
      </w:tr>
      <w:tr w14:paraId="398A7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pct"/>
            <w:vAlign w:val="top"/>
          </w:tcPr>
          <w:p w14:paraId="56988B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Glycohemoglobin</w:t>
            </w:r>
          </w:p>
        </w:tc>
        <w:tc>
          <w:tcPr>
            <w:tcW w:w="2031" w:type="pct"/>
            <w:vAlign w:val="top"/>
          </w:tcPr>
          <w:p w14:paraId="72148F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High-Performance Liquid Chromatography (HPLC)</w:t>
            </w:r>
          </w:p>
        </w:tc>
        <w:tc>
          <w:tcPr>
            <w:tcW w:w="1834" w:type="pct"/>
            <w:vAlign w:val="top"/>
          </w:tcPr>
          <w:p w14:paraId="655171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Tosoh Automated Glycohemoglobin Analyzer</w:t>
            </w:r>
          </w:p>
        </w:tc>
      </w:tr>
      <w:tr w14:paraId="48AC8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pct"/>
            <w:vAlign w:val="top"/>
          </w:tcPr>
          <w:p w14:paraId="45C15D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Albumin-Creatinine Ratio (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URCA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031" w:type="pct"/>
            <w:vAlign w:val="top"/>
          </w:tcPr>
          <w:p w14:paraId="3DC336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Urine assay</w:t>
            </w:r>
          </w:p>
        </w:tc>
        <w:tc>
          <w:tcPr>
            <w:tcW w:w="1834" w:type="pct"/>
            <w:vAlign w:val="top"/>
          </w:tcPr>
          <w:p w14:paraId="140E47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Immunoassay for albumin, enzymatic assay for creatinine</w:t>
            </w:r>
          </w:p>
        </w:tc>
      </w:tr>
      <w:tr w14:paraId="6C52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pct"/>
            <w:vAlign w:val="top"/>
          </w:tcPr>
          <w:p w14:paraId="0A780C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omplete blood count </w:t>
            </w:r>
          </w:p>
        </w:tc>
        <w:tc>
          <w:tcPr>
            <w:tcW w:w="2031" w:type="pct"/>
            <w:vAlign w:val="top"/>
          </w:tcPr>
          <w:p w14:paraId="577D06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 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single beam photometer for hemoglobinometry. The WBC differential uses VCS (volume, conductivity and scatter) technology</w:t>
            </w:r>
          </w:p>
        </w:tc>
        <w:tc>
          <w:tcPr>
            <w:tcW w:w="1834" w:type="pct"/>
            <w:vAlign w:val="top"/>
          </w:tcPr>
          <w:p w14:paraId="7CEFA7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The Beckman Coulter DxH 800 instrument</w:t>
            </w:r>
          </w:p>
        </w:tc>
      </w:tr>
    </w:tbl>
    <w:p w14:paraId="358DCE5B">
      <w:pPr>
        <w:widowControl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07CEC084">
      <w:pPr>
        <w:widowControl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32AA4FF0">
      <w:pPr>
        <w:widowControl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1927A6C7">
      <w:pPr>
        <w:widowControl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328070FE">
      <w:pPr>
        <w:widowControl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7F8C448A">
      <w:pPr>
        <w:widowControl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1EB09178">
      <w:pPr>
        <w:keepNext w:val="0"/>
        <w:keepLines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  <w14:ligatures w14:val="standardContextual"/>
        </w:rPr>
      </w:pPr>
    </w:p>
    <w:p w14:paraId="6918C0E3">
      <w:pPr>
        <w:keepNext w:val="0"/>
        <w:keepLines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  <w14:ligatures w14:val="standardContextual"/>
        </w:rPr>
      </w:pPr>
    </w:p>
    <w:p w14:paraId="3D226DFC">
      <w:pPr>
        <w:keepNext w:val="0"/>
        <w:keepLines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  <w14:ligatures w14:val="standardContextual"/>
        </w:rPr>
      </w:pPr>
    </w:p>
    <w:p w14:paraId="04A1E4D9">
      <w:pPr>
        <w:keepNext w:val="0"/>
        <w:keepLines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  <w14:ligatures w14:val="standardContextual"/>
        </w:rPr>
      </w:pPr>
    </w:p>
    <w:p w14:paraId="1481335F">
      <w:pPr>
        <w:keepNext w:val="0"/>
        <w:keepLines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  <w14:ligatures w14:val="standardContextual"/>
        </w:rPr>
        <w:t>T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able 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4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 The Definitions of Systemic Inflammatory Markers.</w:t>
      </w:r>
    </w:p>
    <w:tbl>
      <w:tblPr>
        <w:tblStyle w:val="16"/>
        <w:tblW w:w="499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2"/>
        <w:gridCol w:w="8619"/>
      </w:tblGrid>
      <w:tr w14:paraId="0132C1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6" w:type="pct"/>
            <w:tcBorders>
              <w:bottom w:val="single" w:color="auto" w:sz="4" w:space="0"/>
            </w:tcBorders>
          </w:tcPr>
          <w:p w14:paraId="437DB0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Variables</w:t>
            </w:r>
          </w:p>
        </w:tc>
        <w:tc>
          <w:tcPr>
            <w:tcW w:w="3203" w:type="pct"/>
            <w:tcBorders>
              <w:bottom w:val="single" w:color="auto" w:sz="4" w:space="0"/>
            </w:tcBorders>
          </w:tcPr>
          <w:p w14:paraId="1D383D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Definitions</w:t>
            </w:r>
          </w:p>
        </w:tc>
      </w:tr>
      <w:tr w14:paraId="072E75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6" w:type="pct"/>
            <w:tcBorders>
              <w:top w:val="single" w:color="auto" w:sz="4" w:space="0"/>
            </w:tcBorders>
          </w:tcPr>
          <w:p w14:paraId="51EC04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SIRI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ab/>
            </w:r>
          </w:p>
        </w:tc>
        <w:tc>
          <w:tcPr>
            <w:tcW w:w="3203" w:type="pct"/>
            <w:tcBorders>
              <w:top w:val="single" w:color="auto" w:sz="4" w:space="0"/>
            </w:tcBorders>
          </w:tcPr>
          <w:p w14:paraId="3FB291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(Neutrophil*monocyte)/lymphocyte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ratio</w:t>
            </w:r>
          </w:p>
        </w:tc>
      </w:tr>
      <w:tr w14:paraId="2F6CEB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6" w:type="pct"/>
          </w:tcPr>
          <w:p w14:paraId="2B5B14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MLR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ab/>
            </w:r>
          </w:p>
        </w:tc>
        <w:tc>
          <w:tcPr>
            <w:tcW w:w="3203" w:type="pct"/>
          </w:tcPr>
          <w:p w14:paraId="646B63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Monocyte/lymphocyte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ratio</w:t>
            </w:r>
          </w:p>
        </w:tc>
      </w:tr>
      <w:tr w14:paraId="555105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6" w:type="pct"/>
          </w:tcPr>
          <w:p w14:paraId="13AB16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NLR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ab/>
            </w:r>
          </w:p>
        </w:tc>
        <w:tc>
          <w:tcPr>
            <w:tcW w:w="3203" w:type="pct"/>
          </w:tcPr>
          <w:p w14:paraId="06D73A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Neutrophil/lymphocyte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ratio</w:t>
            </w:r>
          </w:p>
        </w:tc>
      </w:tr>
      <w:tr w14:paraId="0B59D0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6" w:type="pct"/>
          </w:tcPr>
          <w:p w14:paraId="29FA0C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SII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ab/>
            </w:r>
          </w:p>
        </w:tc>
        <w:tc>
          <w:tcPr>
            <w:tcW w:w="3203" w:type="pct"/>
          </w:tcPr>
          <w:p w14:paraId="6BE861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(Neutrophil*platelet)/lymphocyte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ratio</w:t>
            </w:r>
          </w:p>
        </w:tc>
      </w:tr>
      <w:tr w14:paraId="5C874B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6" w:type="pct"/>
          </w:tcPr>
          <w:p w14:paraId="15EF78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PLR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ab/>
            </w:r>
          </w:p>
        </w:tc>
        <w:tc>
          <w:tcPr>
            <w:tcW w:w="3203" w:type="pct"/>
          </w:tcPr>
          <w:p w14:paraId="420D98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Platelet/lymphocyte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ratio</w:t>
            </w:r>
          </w:p>
        </w:tc>
      </w:tr>
      <w:tr w14:paraId="185B72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6" w:type="pct"/>
          </w:tcPr>
          <w:p w14:paraId="6B7D06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AISI</w:t>
            </w:r>
          </w:p>
        </w:tc>
        <w:tc>
          <w:tcPr>
            <w:tcW w:w="3203" w:type="pct"/>
          </w:tcPr>
          <w:p w14:paraId="191DF3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(Neutrophil*platelet*monocyte)/lymphocyte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ratio</w:t>
            </w:r>
          </w:p>
        </w:tc>
      </w:tr>
      <w:tr w14:paraId="20595A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6" w:type="pct"/>
          </w:tcPr>
          <w:p w14:paraId="614018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NAR</w:t>
            </w:r>
          </w:p>
        </w:tc>
        <w:tc>
          <w:tcPr>
            <w:tcW w:w="3203" w:type="pct"/>
          </w:tcPr>
          <w:p w14:paraId="0E0E83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Neutrophil/albumin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ratio</w:t>
            </w:r>
          </w:p>
        </w:tc>
      </w:tr>
    </w:tbl>
    <w:p w14:paraId="3CA57DDB">
      <w:pPr>
        <w:keepNext w:val="0"/>
        <w:keepLines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38DB9D7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 xml:space="preserve">Table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S5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 xml:space="preserve">. Baseline Characteristics of Participants with </w:t>
      </w:r>
      <w:r>
        <w:rPr>
          <w:rFonts w:hint="default" w:ascii="Times New Roman" w:hAnsi="Times New Roman" w:eastAsia="Segoe UI" w:cs="Times New Roman"/>
          <w:kern w:val="2"/>
          <w:sz w:val="20"/>
          <w:szCs w:val="20"/>
          <w:lang w:val="en-US" w:eastAsia="zh-CN" w:bidi="ar"/>
        </w:rPr>
        <w:t>CKM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 xml:space="preserve"> Syndrome by Mortality Status: NHANES 2007–2016</w:t>
      </w:r>
    </w:p>
    <w:p w14:paraId="2C19FD7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404040"/>
          <w:sz w:val="20"/>
          <w:szCs w:val="20"/>
          <w:shd w:val="clear" w:fill="FFFFFF"/>
          <w:lang w:val="en-US"/>
        </w:rPr>
      </w:pPr>
    </w:p>
    <w:tbl>
      <w:tblPr>
        <w:tblStyle w:val="15"/>
        <w:tblW w:w="0" w:type="auto"/>
        <w:tblInd w:w="91" w:type="dxa"/>
        <w:tblBorders>
          <w:top w:val="single" w:color="auto" w:sz="4" w:space="0"/>
          <w:left w:val="none" w:color="auto" w:sz="6" w:space="0"/>
          <w:bottom w:val="single" w:color="auto" w:sz="4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2076"/>
        <w:gridCol w:w="1057"/>
        <w:gridCol w:w="1044"/>
        <w:gridCol w:w="1134"/>
        <w:gridCol w:w="634"/>
        <w:gridCol w:w="522"/>
        <w:gridCol w:w="522"/>
        <w:gridCol w:w="1291"/>
        <w:gridCol w:w="737"/>
      </w:tblGrid>
      <w:tr w14:paraId="06EC24BD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2C2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20C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FF0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All-cause mortality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C36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Cardiovascular mortality</w:t>
            </w:r>
          </w:p>
        </w:tc>
      </w:tr>
      <w:tr w14:paraId="110EC678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C0A7E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A4659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AEF3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Survivor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C3163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Non-survivor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2059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08F7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Survivor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E7C7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Non-survivor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7E88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p-value</w:t>
            </w:r>
          </w:p>
        </w:tc>
      </w:tr>
      <w:tr w14:paraId="640CA8FE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7EF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583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Mean+SD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FCE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23973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FA2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2292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393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6CD5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25564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4F0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701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5BA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</w:p>
        </w:tc>
      </w:tr>
      <w:tr w14:paraId="0EF9BEAE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C9B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Standing height,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65A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167.1 ± 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8AD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167.1 ± 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C37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166.0 ± 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695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C3B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167.1 ± 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18E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165.3 ± 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005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</w:tr>
      <w:tr w14:paraId="15283EFB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784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TC,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C73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192.6 ± 41.5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F01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193.1 ± 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734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187.6 ± 44.5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789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0B4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192.8 ± 41.4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049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186.6 ± 45.3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60E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</w:tr>
      <w:tr w14:paraId="6CB13F2D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D3D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HDL-C,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1BD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52.6 ± 16.0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FD5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52.6 ± 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89F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52.6 ± 17.6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655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0.991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3BA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52.6 ± 16.0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3D0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51.9 ± 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F97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0.258</w:t>
            </w:r>
          </w:p>
        </w:tc>
      </w:tr>
      <w:tr w14:paraId="4AAC4223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4CA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BMI, kg/m²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BBF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29.2 ± 6.8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8B1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29.2 ± 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891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29.1 ± 6.8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DD3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0.270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A059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29.2 ± 6.8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11A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29.5 ± 6.9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C68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0.396</w:t>
            </w:r>
          </w:p>
        </w:tc>
      </w:tr>
      <w:tr w14:paraId="1AD66605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B9A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Standing height, cm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392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167.1 ± 10.2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816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167.1 ± 10.2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14C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166.0 ± 10.4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534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937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167.1 ± 10.2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D7D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165.3 ± 10.3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62B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</w:tr>
      <w:tr w14:paraId="1C942E03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757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Waist circumference, cm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66C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99.3 ± 16.2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A7A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98.9 ± 16.1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BCB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103.1 ± 15.9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F3F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BE7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99.2 ± 16.2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F786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104.0 ± 15.8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325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</w:tr>
      <w:tr w14:paraId="35D4B36D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52D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Leukocyte, 109/L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E26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7.2 ± 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33B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7.2 ± 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34A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7.4 ± 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FE6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820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7.2 ± 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467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7.4 ± 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E5B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0.114</w:t>
            </w:r>
          </w:p>
        </w:tc>
      </w:tr>
      <w:tr w14:paraId="0D2CDF2A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302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Lymphocyte, 109/L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076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2.2 ± 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9D9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2.2 ± 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9C0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2.0 ± 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448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7EC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2.2 ± 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5CD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1.9 ± 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01F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</w:tr>
      <w:tr w14:paraId="13ACA5D5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958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Neutrophil, 109/L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8F5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4.3 ± 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177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4.2 ± 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5FE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4.5 ± 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03A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FED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4.2 ± 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1D5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4.6 ± 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B3A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</w:tr>
      <w:tr w14:paraId="6F03D443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846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Monocyte number, 109/L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718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0.6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EA3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0.5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7F2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0.6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225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728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0.6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52F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0.6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03A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</w:tr>
      <w:tr w14:paraId="68CD12E5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31F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Mean cell volume, fL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C9B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89.0 ± 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FD5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88.8 ± 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CC3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91.0 ± 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869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F1C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89.0 ± 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20B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90.7 ± 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AB3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</w:tr>
      <w:tr w14:paraId="73E41280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E07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Platelet count, 109/L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616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243.7 ± 63.7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98D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245.0 ± 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D0E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230.1 ± 74.6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1C8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DE6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244.1 ± 63.4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B63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229.6 ± 73.3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9F7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</w:tr>
      <w:tr w14:paraId="06804EB2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59D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Gout,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1AB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1122 (4.3%)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B41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852 (3.6%)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6A7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270 (11.8%)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025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887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1028 (4.0%)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ECB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94 (13.4%)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6D2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</w:tr>
      <w:tr w14:paraId="6912D881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0E6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Liver,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8B4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976 (3.7%)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C4A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838 (3.5%)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05F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138 (6.0%)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8F3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8BA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944 (3.7%)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461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32 (4.6%)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695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404040"/>
                <w:sz w:val="20"/>
                <w:szCs w:val="20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0.228</w:t>
            </w:r>
          </w:p>
        </w:tc>
      </w:tr>
    </w:tbl>
    <w:p w14:paraId="29161BC8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Abbreviations: HR, hazard ratio; CI, confidence interval; BMI, body mass index; SBP, systolic blood pressure; DBP, diastolic blood pressure; DM, diabetes mellitus; eGFR, estimated glomerular filtration rate; FBG, fasting blood glucose; HbA1c, hemoglobin A1c; HDL-C, high-density lipoprotein cholesterol; LDL-C, low-density lipoprotein cholesterol; TC, total cholesterol; TG, triglyceride; UACR, urinary  albumin creatinine ratio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；</w:t>
      </w:r>
      <w:r>
        <w:rPr>
          <w:rFonts w:hint="default" w:ascii="Times New Roman" w:hAnsi="Times New Roman" w:eastAsia="Noto Sans SC" w:cs="Times New Roman"/>
          <w:kern w:val="2"/>
          <w:sz w:val="20"/>
          <w:szCs w:val="20"/>
          <w:lang w:val="en-US" w:eastAsia="zh-CN" w:bidi="ar"/>
        </w:rPr>
        <w:t>HB, hemoglobin; RDW, red cell distribution width</w:t>
      </w:r>
      <w:r>
        <w:rPr>
          <w:rFonts w:hint="default" w:ascii="Times New Roman" w:hAnsi="Times New Roman" w:eastAsia="Noto Sans SC" w:cs="Times New Roman"/>
          <w:kern w:val="2"/>
          <w:sz w:val="20"/>
          <w:szCs w:val="20"/>
          <w:lang w:val="en-US" w:eastAsia="zh-CN" w:bidi="ar"/>
        </w:rPr>
        <w:t>；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CKD , Chronic kidney disease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；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MeTS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 xml:space="preserve">, metabolic syndrome; CKM, Cardiovascular-Kidney-Metabolic Syndrome. Frequencies are expressed as absolute numbers and percentages (%); values are means (standard deviation). In the dataset of </w:t>
      </w:r>
      <w:r>
        <w:rPr>
          <w:rFonts w:hint="default" w:ascii="Times New Roman" w:hAnsi="Times New Roman" w:eastAsia="Segoe UI" w:cs="Times New Roman"/>
          <w:color w:val="auto"/>
          <w:kern w:val="2"/>
          <w:sz w:val="20"/>
          <w:szCs w:val="20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FFFFF"/>
          <w:lang w:val="en-US" w:eastAsia="zh-CN" w:bidi="ar"/>
        </w:rPr>
        <w:t>6,26</w:t>
      </w:r>
      <w:r>
        <w:rPr>
          <w:rFonts w:hint="default" w:ascii="Times New Roman" w:hAnsi="Times New Roman" w:eastAsia="Segoe UI" w:cs="Times New Roman"/>
          <w:color w:val="auto"/>
          <w:kern w:val="2"/>
          <w:sz w:val="20"/>
          <w:szCs w:val="20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 xml:space="preserve"> samples, LDLC (53.69%) and FBG (51.87%) exceeded the 5% missing threshold and were treated with dummy variables. Other variables with missing values included: waist circumference (4.16%), poverty income ratio (4.06%), SBP/DBP (3.44% each), TG (1.6%), creatinine (1.54%), eGFR (1.54%), albumin (1.53%), smoker status (1.54%), URCA (1.18%), BMI (0.6%), standing height (0.46%), and HBA1C (0.26%).</w:t>
      </w:r>
      <w:bookmarkStart w:id="2" w:name="_GoBack"/>
      <w:bookmarkEnd w:id="2"/>
    </w:p>
    <w:p w14:paraId="53818CD1">
      <w:pPr>
        <w:keepNext w:val="0"/>
        <w:keepLines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707F637F">
      <w:pPr>
        <w:keepNext w:val="0"/>
        <w:keepLines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Table 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6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 The baseline characteristics stratified by MLR tertile.</w:t>
      </w:r>
    </w:p>
    <w:tbl>
      <w:tblPr>
        <w:tblStyle w:val="15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75"/>
        <w:gridCol w:w="2476"/>
        <w:gridCol w:w="2554"/>
        <w:gridCol w:w="2554"/>
        <w:gridCol w:w="1194"/>
      </w:tblGrid>
      <w:tr w14:paraId="2E8F15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19CA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286" w:type="pct"/>
            <w:gridSpan w:val="4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EB2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MLR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tertile</w:t>
            </w:r>
          </w:p>
        </w:tc>
      </w:tr>
      <w:tr w14:paraId="29DD3F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FF5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536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Low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E6F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Middle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83C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High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C71E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P-value</w:t>
            </w:r>
          </w:p>
        </w:tc>
      </w:tr>
      <w:tr w14:paraId="337BCE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D2C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N</w:t>
            </w:r>
          </w:p>
        </w:tc>
        <w:tc>
          <w:tcPr>
            <w:tcW w:w="927" w:type="pct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7CA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8650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0.17 ± 0.03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956" w:type="pct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6E4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8822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0.25 ± 0.02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956" w:type="pct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28A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8793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0.40 ± 0.12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446" w:type="pct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ACB7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</w:p>
        </w:tc>
      </w:tr>
      <w:tr w14:paraId="17FC2E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34A4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Age, years</w:t>
            </w:r>
          </w:p>
        </w:tc>
        <w:tc>
          <w:tcPr>
            <w:tcW w:w="927" w:type="pct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9FE9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45.1 ± 16.2</w:t>
            </w:r>
          </w:p>
        </w:tc>
        <w:tc>
          <w:tcPr>
            <w:tcW w:w="956" w:type="pct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775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47.2 ± 17.3</w:t>
            </w:r>
          </w:p>
        </w:tc>
        <w:tc>
          <w:tcPr>
            <w:tcW w:w="956" w:type="pct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199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53.3 ± 18.9</w:t>
            </w:r>
          </w:p>
        </w:tc>
        <w:tc>
          <w:tcPr>
            <w:tcW w:w="446" w:type="pct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1FC0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306329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BC4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Gender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2C82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12AF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55E6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D90C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311428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CBB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Male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AB1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3223 (37.3%)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5B2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4241 (48.1%)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D25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5275 (60.0%)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D831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7432C8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2EF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Female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2FC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5427 (62.7%)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6A0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4581 (51.9%)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2C6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3518 (40.0%)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2ACD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0CAD9E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ACB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Race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F6B5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E447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5BA4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2C7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4CEBB6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DA53F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Mexican American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BBC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1570 (18.2%)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65E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1507 (17.1%)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7A57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1110 (12.6%)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1411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30EDE8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23235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Other Hispanic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AB2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1029 (11.9%)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A9F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1005 (11.4%)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A09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850 (9.7%)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77B3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028C65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A139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Non-Hispanic White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4912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2606 (30.1%)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4CE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3651 (41.4%)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0295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4681 (53.2%)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DA62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0F02F7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48A371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Non-Hispanic Black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126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2310 (26.7%)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3CE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1667 (18.9%)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99C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1405 (16.0%)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EBD4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0343AF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381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Other Race - Including Multi-Racial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A9C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375 (4.3%)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95EA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341 (3.9%)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52C9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302 (3.4%)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1D0C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2E5C1E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E57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  <w:t>Non-Hispanic Asian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0E2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760 (8.8%)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7E8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651 (7.4%)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00A7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445 (5.1%)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D792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5B1C6D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08A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Noto Sans SC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Education Level,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AB0E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C147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154D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E38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321D87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3F5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Less Than High School Grad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2CC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2288 (26.5%)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732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2151 (24.4%)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88E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2077 (23.6%)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B9BA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28ADDE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E25A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High School Grad/GED or Equivalent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741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1873 (21.7%)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AE6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1940 (22.0%)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16A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1974 (22.4%)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7636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7C2E40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39BB1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Some College  or above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576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4273 (49.4%)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531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4502 (51.0%)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A7B0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4561 (51.9%)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82B1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4A3B61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7871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Noto Sans SC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Marital Status,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3212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27F1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155A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AF75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0.012</w:t>
            </w:r>
          </w:p>
        </w:tc>
      </w:tr>
      <w:tr w14:paraId="29DA3A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1D80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Married or Living with partner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6E8E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5076 (58.7%)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366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5213 (59.1%)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F1B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5103 (58.0%)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7897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3E3AB9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3CD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Separated or Never married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EAD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3357 (38.8%)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A25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3384 (38.4%)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D7A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3519 (40.0%)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427F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038A50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E41D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Noto Sans SC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Smoking</w:t>
            </w:r>
            <w:r>
              <w:rPr>
                <w:rFonts w:hint="default" w:ascii="Times New Roman" w:hAnsi="Times New Roman" w:eastAsia="Noto Sans SC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 xml:space="preserve"> status</w:t>
            </w:r>
            <w:r>
              <w:rPr>
                <w:rFonts w:hint="default" w:ascii="Times New Roman" w:hAnsi="Times New Roman" w:eastAsia="Noto Sans SC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E008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4EC3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1C76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AB3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5D4419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092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Never 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250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5029 (58.1%)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995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4968 (56.3%)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B26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4494 (51.1%)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C865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736320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DBF5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Current smoker 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904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1890 (21.8%)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475E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1766 (20.0%)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41F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1625 (18.5%)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7281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3D32CE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AD5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left"/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Ever smoker 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34B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1587 (18.3%)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3AB8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1947 (22.1%)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BA7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2554 (29.0%)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831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6AFC88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9348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18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  <w:lang w:val="en-US" w:eastAsia="zh-CN"/>
              </w:rPr>
              <w:t>A</w:t>
            </w:r>
            <w:r>
              <w:rPr>
                <w:rStyle w:val="18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lcohol consumption</w:t>
            </w: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, drinks/year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352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31.40 ± 224.54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91D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35.53 ± 238.69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4CE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54.00 ± 602.90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4C7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0.008</w:t>
            </w:r>
          </w:p>
        </w:tc>
      </w:tr>
      <w:tr w14:paraId="4C26C6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D6C0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SBP, mmHg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CAB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122.1 ± 17.6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6581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122.8 ± 17.9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654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125.8 ± 18.7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CFC1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713846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D5EC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DBP, mmHg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228A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70.3 ± 12.2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F21F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70.0 ± 12.6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1E8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69.0 ± 13.5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E4E8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742F4C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D665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BMI, kg/m²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CBC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29.7 ± 7.2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1D9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29.2 ± 6.7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7A0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28.9 ± 6.6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AE2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577535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46D4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Standing height, cm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544E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165.4 ± 9.9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7C6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167.1 ± 10.2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4ED2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168.6 ± 10.2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C47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552C39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F863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Waist circumference, cm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698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98.9 ± 16.4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C9AD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98.8 ± 16.0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7B0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100.1 ± 16.0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1EEA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0AE806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E03D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TG, mg/dL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860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160.7 ± 133.2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2ED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155.7 ± 127.5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6310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148.1 ± 114.6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C3E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7FBD05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D560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TC, mg/dL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C7E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196.5 ± 42.2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E345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193.2 ± 40.1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72B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188.3 ± 41.7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1A3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2FD8E7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3DDD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HDL-C, mg/dL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63FC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52.1 ± 15.5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2E3A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52.4 ± 15.7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E05D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53.3 ± 16.8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9B0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37AE7A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287C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LDL-C, mg/dL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9C7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117.0 ± 36.0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D56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113.7 ± 34.4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32F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110.3 ± 35.5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5E9D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154A13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0D39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FBS, mg/dL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B46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109.6 ± 39.6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F70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108.7 ± 37.1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51D8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109.5 ± 33.2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71C2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0.482</w:t>
            </w:r>
          </w:p>
        </w:tc>
      </w:tr>
      <w:tr w14:paraId="0DD644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E1BD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Albumin, g/L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AC2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42.6 ± 3.3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46D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42.8 ± 3.2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FD97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42.4 ± 3.5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0DE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64CC45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B380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, mg/dL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DCD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0.8 ± 0.3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045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0.9 ± 0.3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7A45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1.0 ± 0.6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211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1FEF94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850A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UACR, mg/g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E902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26.1 ± 248.9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91C0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27.2 ± 208.3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7AC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46.6 ± 403.2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262A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5035FD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DD10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HBA1C, %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4F0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5.8 ± 1.2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C93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5.7 ± 1.0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C6B5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5.7 ± 1.0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8ED2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228256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9C97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eGFR, ml/min/1.73m</w:t>
            </w: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BA6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99.2 ± 20.9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45C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97.2 ± 21.7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E5C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90.6 ± 24.4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190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770FC2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9BB0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HB, g/L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047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13.9 ± 1.4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C21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14.1 ± 1.5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DEC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14.2 ± 1.6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4DC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21A4D2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A405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"/>
              </w:rPr>
              <w:t>RDW, %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453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13.2 ± 1.3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3E64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13.2 ± 1.3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CAA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13.4 ± 1.4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F060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7409F7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6453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"/>
              </w:rPr>
              <w:t>Leukocyte, 109/L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F11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7.2 ± 2.7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15F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7.2 ± 2.1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6EA5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7.3 ± 2.2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4B9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0.005</w:t>
            </w:r>
          </w:p>
        </w:tc>
      </w:tr>
      <w:tr w14:paraId="1429D3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60D3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"/>
              </w:rPr>
              <w:t>Lymphocyte, 109/L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5C9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2.6 ± 1.8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A27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2.2 ± 0.7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CFE9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1.7 ± 0.5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E5B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1B164E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BA7C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"/>
              </w:rPr>
              <w:t>Neutrophil, 109/L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FB4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4.0 ± 1.6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3B6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4.2 ± 1.6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31D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4.6 ± 1.8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38E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37324B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A353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"/>
              </w:rPr>
              <w:t>Monocyte number, 109/L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B58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0.4 ± 0.2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9A8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0.5 ± 0.2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C317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0.7 ± 0.2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DEF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46698B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AD9D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Mean cell volume, fL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94F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88.4 ± 5.8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92C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88.8 ± 5.8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0D0E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89.8 ± 5.9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D0B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2B0D97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2CE1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Platelet count, 10</w:t>
            </w: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vertAlign w:val="superscript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/L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FB6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250.7 ± 63.2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E335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245.5 ± 63.1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4C0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235.1 ± 63.9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178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53E3B5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21AE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Anemia,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59C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330 (3.8%)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5115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337 (3.8%)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FEE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431 (4.9%)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574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252DE2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CD86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Stroke,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033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238 (2.8%)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AD9E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239 (2.7%)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4A5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427 (4.9%)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D743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58E0E0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383F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Cancer,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44BE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523 (6.0%)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1A8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659 (7.5%)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3C18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1135 (12.9%)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402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5D0A77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2E14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Hyperlipidemia,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5D33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2611 (30.2%)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6755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2768 (31.4%)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6A3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3168 (36.0%)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41C0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7D7838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B515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Cardiovascular disease,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1A7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422 (4.9%)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E33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544 (6.2%)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883C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1104 (12.6%)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9A4D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5C6380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3AB8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Hypertension,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D27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2698 (31.2%)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FFB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2838 (32.2%)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A8FD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3678 (41.8%)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2AF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177A8F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4783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Diabetes,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735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1043 (12.1%)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819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1013 (11.5%)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E16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1230 (14.0%)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474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6BBAD3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49E0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B0F1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3410 (39.4%)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CBE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3309 (37.5%)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1C1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3388 (38.5%)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EDF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0.034</w:t>
            </w:r>
          </w:p>
        </w:tc>
      </w:tr>
      <w:tr w14:paraId="50F4DE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59A9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CKD Risk,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B3FA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942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1D17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247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0A2781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327E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Low-risk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1B5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7735 (89.4%)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E6B5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7793 (88.3%)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BA4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7246 (82.4%)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BCD6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6178B7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DA64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Moderate to high-risk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24E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847 (9.8%)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04A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943 (10.7%)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0A6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1311 (14.9%)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5508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1B8A70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986D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Very high-risk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EE5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68 (0.8%)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9E2C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86 (1.0%)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454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236 (2.7%)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75A7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4DECE4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4A7B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Gout,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8E3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246 (2.8%)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8D9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328 (3.7%)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982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548 (6.2%)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627C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34C519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3097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Liver,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E91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287 (3.3%)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2699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323 (3.7%)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743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366 (4.2%)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812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73FA29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7A3E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Antihypertensive agents,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D735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2266 (26.2%)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9F3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2415 (27.4%)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187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3307 (37.6%)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C53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78E4D4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3DDC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Antihyperlipidemic agents,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C61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1763 (20.4%)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94B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1919 (21.8%)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D0D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2496 (28.4%)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426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4DCCC7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754A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Antihyperglycemic agents,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46FC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726 (8.4%)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194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733 (8.3%)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B32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932 (10.6%)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858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1C8A10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4110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CKM Stage, n (%)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2C65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1CC5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C785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FE9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 w14:paraId="2E2D43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06ED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Stage 0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67E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1752 (20.3%)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69C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1785 (20.2%)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E063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1644 (18.7%)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6107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5E21D4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D96D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Stage 1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7C7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2929 (33.9%)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98A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3046 (34.5%)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E00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2539 (28.9%)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42F4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7CA347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F610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Stage 2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00B2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3291 (38.0%)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79A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3116 (35.3%)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447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2816 (32.0%)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781A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1D2815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67C0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Stage 3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B3B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158 (1.8%)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1248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252 (2.9%)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202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749 (8.5%)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7DB8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686B24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1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E217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200" w:firstLineChars="10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kern w:val="2"/>
                <w:sz w:val="20"/>
                <w:szCs w:val="20"/>
                <w:shd w:val="clear" w:fill="FFFFFF"/>
                <w:lang w:val="en-US" w:eastAsia="zh-CN" w:bidi="ar"/>
              </w:rPr>
              <w:t>Stage 4</w:t>
            </w:r>
          </w:p>
        </w:tc>
        <w:tc>
          <w:tcPr>
            <w:tcW w:w="927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36A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520 (6.0%)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59F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623 (7.1%)</w:t>
            </w:r>
          </w:p>
        </w:tc>
        <w:tc>
          <w:tcPr>
            <w:tcW w:w="95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398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1045 (11.9%)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9832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</w:tbl>
    <w:p w14:paraId="19A36D1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  <w14:ligatures w14:val="standardContextual"/>
        </w:rPr>
      </w:pPr>
    </w:p>
    <w:p w14:paraId="27B8079D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drawing>
          <wp:inline distT="0" distB="0" distL="114300" distR="114300">
            <wp:extent cx="4208780" cy="12626975"/>
            <wp:effectExtent l="0" t="0" r="12700" b="6985"/>
            <wp:docPr id="1" name="图片 1" descr="FIG S 1KM合并_CV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 1KM合并_CV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08780" cy="1262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D711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  <w14:ligatures w14:val="standardContextual"/>
        </w:rPr>
        <w:t>Fig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  <w14:ligatures w14:val="standardContextual"/>
        </w:rPr>
        <w:t>.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  <w14:ligatures w14:val="standardContextual"/>
        </w:rPr>
        <w:t xml:space="preserve"> S1.  Kaplan-Meier survival curves for participants with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  <w14:ligatures w14:val="standardContextual"/>
        </w:rPr>
        <w:t>inflammatory indices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  <w14:ligatures w14:val="standardContextual"/>
        </w:rPr>
        <w:t xml:space="preserve"> and </w:t>
      </w:r>
      <w:r>
        <w:rPr>
          <w:rFonts w:hint="default" w:ascii="Times New Roman" w:hAnsi="Times New Roman" w:eastAsia="Segoe UI" w:cs="Times New Roman"/>
          <w:color w:val="auto"/>
          <w:kern w:val="2"/>
          <w:sz w:val="20"/>
          <w:szCs w:val="20"/>
          <w:shd w:val="clear" w:fill="FFFFFF"/>
          <w:lang w:val="en-US" w:eastAsia="zh-CN" w:bidi="ar"/>
          <w14:ligatures w14:val="standardContextual"/>
        </w:rPr>
        <w:t>cardiovascular mortality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FFFFF"/>
          <w:lang w:val="en-US" w:eastAsia="zh-CN" w:bidi="ar"/>
        </w:rPr>
        <w:t xml:space="preserve">(A, </w:t>
      </w:r>
      <w:r>
        <w:rPr>
          <w:rFonts w:hint="default" w:ascii="Times New Roman" w:hAnsi="Times New Roman" w:eastAsia="Segoe UI" w:cs="Times New Roman"/>
          <w:color w:val="auto"/>
          <w:kern w:val="2"/>
          <w:sz w:val="20"/>
          <w:szCs w:val="20"/>
          <w:shd w:val="clear" w:fill="FCFCFC"/>
          <w:lang w:val="en-US" w:eastAsia="zh-CN" w:bidi="ar"/>
        </w:rPr>
        <w:t>MLR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</w:rPr>
        <w:t xml:space="preserve">; B, </w:t>
      </w:r>
      <w:r>
        <w:rPr>
          <w:rFonts w:hint="default" w:ascii="Times New Roman" w:hAnsi="Times New Roman" w:eastAsia="Segoe UI" w:cs="Times New Roman"/>
          <w:color w:val="auto"/>
          <w:kern w:val="2"/>
          <w:sz w:val="20"/>
          <w:szCs w:val="20"/>
          <w:shd w:val="clear" w:fill="FCFCFC"/>
          <w:lang w:val="en-US" w:eastAsia="zh-CN" w:bidi="ar"/>
        </w:rPr>
        <w:t>NLR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</w:rPr>
        <w:t xml:space="preserve">; C, </w:t>
      </w:r>
      <w:r>
        <w:rPr>
          <w:rFonts w:hint="default" w:ascii="Times New Roman" w:hAnsi="Times New Roman" w:eastAsia="Segoe UI" w:cs="Times New Roman"/>
          <w:color w:val="auto"/>
          <w:kern w:val="2"/>
          <w:sz w:val="20"/>
          <w:szCs w:val="20"/>
          <w:shd w:val="clear" w:fill="FCFCFC"/>
          <w:lang w:val="en-US" w:eastAsia="zh-CN" w:bidi="ar"/>
        </w:rPr>
        <w:t>SIRI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>.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>Abbreviations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 xml:space="preserve">: 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>MLR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>Monocyte-to-lymphocyte ratio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 xml:space="preserve">; 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>NLR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>Neutrophil-to-lymphocyte Ratio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 xml:space="preserve">; 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>SIRI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>Systemic Inflammation Response Index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>.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 xml:space="preserve"> </w:t>
      </w:r>
    </w:p>
    <w:p w14:paraId="4D5FC9B6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</w:pPr>
    </w:p>
    <w:p w14:paraId="3F53517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</w:pPr>
    </w:p>
    <w:p w14:paraId="5082769C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drawing>
          <wp:inline distT="0" distB="0" distL="114300" distR="114300">
            <wp:extent cx="4265930" cy="12798425"/>
            <wp:effectExtent l="0" t="0" r="1270" b="3175"/>
            <wp:docPr id="2" name="图片 2" descr="FIG S 2KM合并_ALL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 2KM合并_ALL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5930" cy="1279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38570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  <w14:ligatures w14:val="standardContextual"/>
        </w:rPr>
        <w:t>Fig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  <w14:ligatures w14:val="standardContextual"/>
        </w:rPr>
        <w:t>.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  <w14:ligatures w14:val="standardContextual"/>
        </w:rPr>
        <w:t xml:space="preserve"> S2.  Kaplan-Meier survival curves for participants with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  <w14:ligatures w14:val="standardContextual"/>
        </w:rPr>
        <w:t>inflammatory indices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  <w14:ligatures w14:val="standardContextual"/>
        </w:rPr>
        <w:t xml:space="preserve"> and All-cause mortality </w:t>
      </w:r>
      <w:r>
        <w:rPr>
          <w:rFonts w:hint="default" w:ascii="Times New Roman" w:hAnsi="Times New Roman" w:eastAsia="Segoe UI" w:cs="Times New Roman"/>
          <w:color w:val="auto"/>
          <w:kern w:val="2"/>
          <w:sz w:val="20"/>
          <w:szCs w:val="20"/>
          <w:shd w:val="clear" w:fill="FFFFFF"/>
          <w:lang w:val="en-US" w:eastAsia="zh-CN" w:bidi="ar"/>
          <w14:ligatures w14:val="standardContextual"/>
        </w:rPr>
        <w:t>with threshold points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FFFFF"/>
          <w:lang w:val="en-US" w:eastAsia="zh-CN" w:bidi="ar"/>
          <w14:ligatures w14:val="standardContextual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FFFFF"/>
          <w:lang w:val="en-US" w:eastAsia="zh-CN" w:bidi="ar"/>
        </w:rPr>
        <w:t xml:space="preserve">(A, </w:t>
      </w:r>
      <w:r>
        <w:rPr>
          <w:rFonts w:hint="default" w:ascii="Times New Roman" w:hAnsi="Times New Roman" w:eastAsia="Segoe UI" w:cs="Times New Roman"/>
          <w:color w:val="auto"/>
          <w:kern w:val="2"/>
          <w:sz w:val="20"/>
          <w:szCs w:val="20"/>
          <w:shd w:val="clear" w:fill="FCFCFC"/>
          <w:lang w:val="en-US" w:eastAsia="zh-CN" w:bidi="ar"/>
        </w:rPr>
        <w:t>MLR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</w:rPr>
        <w:t xml:space="preserve">; B, </w:t>
      </w:r>
      <w:r>
        <w:rPr>
          <w:rFonts w:hint="default" w:ascii="Times New Roman" w:hAnsi="Times New Roman" w:eastAsia="Segoe UI" w:cs="Times New Roman"/>
          <w:color w:val="auto"/>
          <w:kern w:val="2"/>
          <w:sz w:val="20"/>
          <w:szCs w:val="20"/>
          <w:shd w:val="clear" w:fill="FCFCFC"/>
          <w:lang w:val="en-US" w:eastAsia="zh-CN" w:bidi="ar"/>
        </w:rPr>
        <w:t>NLR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</w:rPr>
        <w:t xml:space="preserve">; C, </w:t>
      </w:r>
      <w:r>
        <w:rPr>
          <w:rFonts w:hint="default" w:ascii="Times New Roman" w:hAnsi="Times New Roman" w:eastAsia="Segoe UI" w:cs="Times New Roman"/>
          <w:color w:val="auto"/>
          <w:kern w:val="2"/>
          <w:sz w:val="20"/>
          <w:szCs w:val="20"/>
          <w:shd w:val="clear" w:fill="FCFCFC"/>
          <w:lang w:val="en-US" w:eastAsia="zh-CN" w:bidi="ar"/>
        </w:rPr>
        <w:t>SIRI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>Abbreviations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 xml:space="preserve">: 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>MLR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>Monocyte-to-lymphocyte ratio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 xml:space="preserve">; 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>NLR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>Neutrophil-to-lymphocyte Ratio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 xml:space="preserve">; 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>SIRI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>Systemic Inflammation Response Index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>.</w:t>
      </w:r>
      <w:r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  <w:t xml:space="preserve"> </w:t>
      </w:r>
    </w:p>
    <w:p w14:paraId="01772E90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color w:val="auto"/>
          <w:kern w:val="2"/>
          <w:sz w:val="20"/>
          <w:szCs w:val="20"/>
          <w:shd w:val="clear" w:fill="FCFCFC"/>
          <w:lang w:val="en-US" w:eastAsia="zh-CN" w:bidi="ar"/>
          <w14:ligatures w14:val="standardContextual"/>
        </w:rPr>
      </w:pPr>
    </w:p>
    <w:p w14:paraId="36B5F9DD">
      <w:pPr>
        <w:widowControl/>
        <w:jc w:val="left"/>
        <w:rPr>
          <w:rFonts w:hint="default" w:ascii="Times New Roman" w:hAnsi="Times New Roman" w:cs="Times New Roman"/>
          <w:sz w:val="20"/>
          <w:szCs w:val="20"/>
        </w:rPr>
      </w:pPr>
    </w:p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Bold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Q3NbQwNjWxMDA3NzRS0lEKTi0uzszPAymwrAUAjSaF5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dd5zwrvk009s9edwtpvrdp65astr2s5559f&quot;&gt;我的EndNote库&lt;record-ids&gt;&lt;item&gt;217&lt;/item&gt;&lt;item&gt;218&lt;/item&gt;&lt;item&gt;219&lt;/item&gt;&lt;item&gt;221&lt;/item&gt;&lt;item&gt;222&lt;/item&gt;&lt;/record-ids&gt;&lt;/item&gt;&lt;/Libraries&gt;"/>
    <w:docVar w:name="ne_stylename" w:val="Numbered(multilingual)"/>
  </w:docVars>
  <w:rsids>
    <w:rsidRoot w:val="004C2D46"/>
    <w:rsid w:val="00000270"/>
    <w:rsid w:val="00001375"/>
    <w:rsid w:val="0002723B"/>
    <w:rsid w:val="00027427"/>
    <w:rsid w:val="00095F39"/>
    <w:rsid w:val="000B1675"/>
    <w:rsid w:val="000E2200"/>
    <w:rsid w:val="00102D1E"/>
    <w:rsid w:val="0010750A"/>
    <w:rsid w:val="00122BD1"/>
    <w:rsid w:val="0015254B"/>
    <w:rsid w:val="001549A5"/>
    <w:rsid w:val="00177997"/>
    <w:rsid w:val="001C3790"/>
    <w:rsid w:val="001C6EE0"/>
    <w:rsid w:val="001C7BBB"/>
    <w:rsid w:val="001C7E6B"/>
    <w:rsid w:val="001D38BD"/>
    <w:rsid w:val="001D6CC9"/>
    <w:rsid w:val="001D6E6B"/>
    <w:rsid w:val="001F7C8E"/>
    <w:rsid w:val="002171DB"/>
    <w:rsid w:val="002451AE"/>
    <w:rsid w:val="00267CF9"/>
    <w:rsid w:val="00274859"/>
    <w:rsid w:val="002919A0"/>
    <w:rsid w:val="002D19B8"/>
    <w:rsid w:val="002E646F"/>
    <w:rsid w:val="003035A5"/>
    <w:rsid w:val="00303A9A"/>
    <w:rsid w:val="003066B8"/>
    <w:rsid w:val="0036418C"/>
    <w:rsid w:val="003A7E4B"/>
    <w:rsid w:val="003C3012"/>
    <w:rsid w:val="003C4AC4"/>
    <w:rsid w:val="00444BED"/>
    <w:rsid w:val="0045734E"/>
    <w:rsid w:val="0046047E"/>
    <w:rsid w:val="00481C32"/>
    <w:rsid w:val="004C19E5"/>
    <w:rsid w:val="004C2D46"/>
    <w:rsid w:val="004C7A25"/>
    <w:rsid w:val="0050787E"/>
    <w:rsid w:val="00535B2F"/>
    <w:rsid w:val="00575BB9"/>
    <w:rsid w:val="00582295"/>
    <w:rsid w:val="0058491C"/>
    <w:rsid w:val="00594A54"/>
    <w:rsid w:val="005A3970"/>
    <w:rsid w:val="005C30B9"/>
    <w:rsid w:val="005D0AAA"/>
    <w:rsid w:val="005D45EA"/>
    <w:rsid w:val="005E4AC4"/>
    <w:rsid w:val="005F15F5"/>
    <w:rsid w:val="005F455A"/>
    <w:rsid w:val="00612D33"/>
    <w:rsid w:val="0066377F"/>
    <w:rsid w:val="0068591D"/>
    <w:rsid w:val="00696A67"/>
    <w:rsid w:val="006A6F58"/>
    <w:rsid w:val="006C673F"/>
    <w:rsid w:val="006D5073"/>
    <w:rsid w:val="006E011E"/>
    <w:rsid w:val="006E10E8"/>
    <w:rsid w:val="00734391"/>
    <w:rsid w:val="00756269"/>
    <w:rsid w:val="00781D2F"/>
    <w:rsid w:val="007B5D74"/>
    <w:rsid w:val="007E3146"/>
    <w:rsid w:val="008051B1"/>
    <w:rsid w:val="008113C3"/>
    <w:rsid w:val="00820F32"/>
    <w:rsid w:val="00823973"/>
    <w:rsid w:val="00844345"/>
    <w:rsid w:val="008A5E72"/>
    <w:rsid w:val="008C6665"/>
    <w:rsid w:val="008D5266"/>
    <w:rsid w:val="008E3B2D"/>
    <w:rsid w:val="00905237"/>
    <w:rsid w:val="00947D6A"/>
    <w:rsid w:val="009C2FCC"/>
    <w:rsid w:val="00A21C0C"/>
    <w:rsid w:val="00A31823"/>
    <w:rsid w:val="00A40CCD"/>
    <w:rsid w:val="00A864B6"/>
    <w:rsid w:val="00A97D17"/>
    <w:rsid w:val="00AA52ED"/>
    <w:rsid w:val="00AA578D"/>
    <w:rsid w:val="00AE4516"/>
    <w:rsid w:val="00B151BA"/>
    <w:rsid w:val="00B169B1"/>
    <w:rsid w:val="00B22510"/>
    <w:rsid w:val="00B35024"/>
    <w:rsid w:val="00B42445"/>
    <w:rsid w:val="00B84A45"/>
    <w:rsid w:val="00B90F2C"/>
    <w:rsid w:val="00BC6DA1"/>
    <w:rsid w:val="00C04C7C"/>
    <w:rsid w:val="00C05D57"/>
    <w:rsid w:val="00C45D29"/>
    <w:rsid w:val="00C556EC"/>
    <w:rsid w:val="00C726BB"/>
    <w:rsid w:val="00CA356F"/>
    <w:rsid w:val="00CF5C6C"/>
    <w:rsid w:val="00CF6F02"/>
    <w:rsid w:val="00D0168D"/>
    <w:rsid w:val="00D20D29"/>
    <w:rsid w:val="00D51D1F"/>
    <w:rsid w:val="00D53D6F"/>
    <w:rsid w:val="00D70D04"/>
    <w:rsid w:val="00D73B03"/>
    <w:rsid w:val="00D817F9"/>
    <w:rsid w:val="00DA60E8"/>
    <w:rsid w:val="00DC572D"/>
    <w:rsid w:val="00DE7811"/>
    <w:rsid w:val="00DF58EB"/>
    <w:rsid w:val="00E35372"/>
    <w:rsid w:val="00E507C5"/>
    <w:rsid w:val="00EA63C9"/>
    <w:rsid w:val="00F31D74"/>
    <w:rsid w:val="00F62C51"/>
    <w:rsid w:val="00FC5CDA"/>
    <w:rsid w:val="03127264"/>
    <w:rsid w:val="05ED13C7"/>
    <w:rsid w:val="094F6556"/>
    <w:rsid w:val="1EA34795"/>
    <w:rsid w:val="21E30931"/>
    <w:rsid w:val="2CA17921"/>
    <w:rsid w:val="2DD017EA"/>
    <w:rsid w:val="2DE46B27"/>
    <w:rsid w:val="2F827AAC"/>
    <w:rsid w:val="358C7DC3"/>
    <w:rsid w:val="3DC35864"/>
    <w:rsid w:val="453578FC"/>
    <w:rsid w:val="491968D9"/>
    <w:rsid w:val="4DD95BC5"/>
    <w:rsid w:val="51983416"/>
    <w:rsid w:val="52211C19"/>
    <w:rsid w:val="53AE38C5"/>
    <w:rsid w:val="55F6277C"/>
    <w:rsid w:val="5715145B"/>
    <w:rsid w:val="5A2F4762"/>
    <w:rsid w:val="5ED13367"/>
    <w:rsid w:val="5FBD24BD"/>
    <w:rsid w:val="65DE01E4"/>
    <w:rsid w:val="719F7978"/>
    <w:rsid w:val="7976529F"/>
    <w:rsid w:val="799B0F59"/>
    <w:rsid w:val="7F2D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table" w:customStyle="1" w:styleId="20">
    <w:name w:val="三线表"/>
    <w:basedOn w:val="15"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bottom w:val="single" w:color="auto" w:sz="4" w:space="0"/>
        </w:tcBorders>
      </w:tcPr>
    </w:tblStylePr>
  </w:style>
  <w:style w:type="table" w:customStyle="1" w:styleId="21">
    <w:name w:val="四线表"/>
    <w:basedOn w:val="15"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bottom w:val="single" w:color="auto" w:sz="4" w:space="0"/>
        </w:tcBorders>
      </w:tcPr>
    </w:tblStylePr>
    <w:tblStylePr w:type="lastRow">
      <w:tcPr>
        <w:tcBorders>
          <w:top w:val="single" w:color="auto" w:sz="4" w:space="0"/>
        </w:tcBorders>
      </w:tcPr>
    </w:tblStylePr>
  </w:style>
  <w:style w:type="character" w:customStyle="1" w:styleId="22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7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7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17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41">
    <w:name w:val="页脚 字符"/>
    <w:basedOn w:val="17"/>
    <w:link w:val="11"/>
    <w:qFormat/>
    <w:uiPriority w:val="99"/>
    <w:rPr>
      <w:sz w:val="18"/>
      <w:szCs w:val="18"/>
    </w:rPr>
  </w:style>
  <w:style w:type="paragraph" w:customStyle="1" w:styleId="42">
    <w:name w:val="EndNote Bibliography Title"/>
    <w:basedOn w:val="1"/>
    <w:link w:val="43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43">
    <w:name w:val="EndNote Bibliography Title 字符"/>
    <w:basedOn w:val="17"/>
    <w:link w:val="42"/>
    <w:qFormat/>
    <w:uiPriority w:val="0"/>
    <w:rPr>
      <w:rFonts w:ascii="等线" w:hAnsi="等线" w:eastAsia="等线"/>
      <w:sz w:val="20"/>
    </w:rPr>
  </w:style>
  <w:style w:type="paragraph" w:customStyle="1" w:styleId="44">
    <w:name w:val="EndNote Bibliography"/>
    <w:basedOn w:val="1"/>
    <w:link w:val="45"/>
    <w:qFormat/>
    <w:uiPriority w:val="0"/>
    <w:rPr>
      <w:rFonts w:ascii="等线" w:hAnsi="等线" w:eastAsia="等线"/>
      <w:sz w:val="20"/>
    </w:rPr>
  </w:style>
  <w:style w:type="character" w:customStyle="1" w:styleId="45">
    <w:name w:val="EndNote Bibliography 字符"/>
    <w:basedOn w:val="17"/>
    <w:link w:val="44"/>
    <w:qFormat/>
    <w:uiPriority w:val="0"/>
    <w:rPr>
      <w:rFonts w:ascii="等线" w:hAnsi="等线" w:eastAsia="等线"/>
      <w:sz w:val="20"/>
    </w:rPr>
  </w:style>
  <w:style w:type="character" w:customStyle="1" w:styleId="46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1100</Words>
  <Characters>5872</Characters>
  <Lines>77</Lines>
  <Paragraphs>21</Paragraphs>
  <TotalTime>4</TotalTime>
  <ScaleCrop>false</ScaleCrop>
  <LinksUpToDate>false</LinksUpToDate>
  <CharactersWithSpaces>6888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2024-12-25T04:39:00Z</dcterms:created>
  <dc:creator>office</dc:creator>
  <cp:lastModifiedBy>飘oоО</cp:lastModifiedBy>
  <dcterms:modified xsi:type="dcterms:W3CDTF">2025-10-10T08:48:30Z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1b835a4a71fd85583ea6b751922f007f25fc6cc8ea58a200e508f9ed19c73afd</vt:lpwstr>
  </property>
  <property fmtid="{D5CDD505-2E9C-101B-9397-08002B2CF9AE}" pid="3" name="KSOTemplateDocerSaveRecord">
    <vt:lpwstr>eyJoZGlkIjoiMzEwNTM5NzYwMDRjMzkwZTVkZjY2ODkwMGIxNGU0OTUiLCJ1c2VySWQiOiIzODA5NjAwOTkifQ==</vt:lpwstr>
  </property>
  <property fmtid="{D5CDD505-2E9C-101B-9397-08002B2CF9AE}" pid="4" name="KSOProductBuildVer">
    <vt:lpwstr>2052-12.1.0.22529</vt:lpwstr>
  </property>
  <property fmtid="{D5CDD505-2E9C-101B-9397-08002B2CF9AE}" pid="5" name="ICV">
    <vt:lpwstr>F6241658C568477B880B83BE205DAB85_13</vt:lpwstr>
  </property>
</Properties>
</file>