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16664" w14:textId="440A8861" w:rsidR="005011EC" w:rsidRPr="005011EC" w:rsidRDefault="005011EC" w:rsidP="005011EC">
      <w:pPr>
        <w:spacing w:after="0" w:line="360" w:lineRule="auto"/>
        <w:ind w:firstLine="851"/>
        <w:jc w:val="center"/>
        <w:rPr>
          <w:rFonts w:ascii="Times New Roman" w:hAnsi="Times New Roman" w:cs="Times New Roman"/>
        </w:rPr>
      </w:pPr>
      <w:r w:rsidRPr="005011EC">
        <w:rPr>
          <w:rFonts w:ascii="Times New Roman" w:hAnsi="Times New Roman" w:cs="Times New Roman"/>
          <w:b/>
          <w:bCs/>
        </w:rPr>
        <w:t>Supplementary Appendix</w:t>
      </w:r>
    </w:p>
    <w:p w14:paraId="484E15F7" w14:textId="77777777" w:rsidR="00D44DBD" w:rsidRDefault="00D44DBD" w:rsidP="00D44DBD">
      <w:pPr>
        <w:pStyle w:val="NormalWeb"/>
        <w:spacing w:before="0" w:beforeAutospacing="0" w:after="0" w:afterAutospacing="0" w:line="360" w:lineRule="auto"/>
        <w:ind w:firstLine="851"/>
        <w:jc w:val="both"/>
      </w:pPr>
      <w:r>
        <w:t>Table S1 presents the distribution of Influenza A subtypes and Influenza B lineages among hospitalized patients with RT-PCR-confirmed influenza in Brazil in 2024, stratified by clinical outcome. Among Influenza A cases, “not subtyped” represented the largest group, accounting for 33.46% of cases, followed by A(H1N</w:t>
      </w:r>
      <w:proofErr w:type="gramStart"/>
      <w:r>
        <w:t>1)pdm</w:t>
      </w:r>
      <w:proofErr w:type="gramEnd"/>
      <w:r>
        <w:t>09 and A(H3N2), which accounted for 29.67% and 29.03%, respectively. Together, A(H1N</w:t>
      </w:r>
      <w:proofErr w:type="gramStart"/>
      <w:r>
        <w:t>1)pdm</w:t>
      </w:r>
      <w:proofErr w:type="gramEnd"/>
      <w:r>
        <w:t>09 and A(H3N2) represented nearly 60% of Influenza A cases with specific subtype classification.</w:t>
      </w:r>
    </w:p>
    <w:p w14:paraId="76AD932C" w14:textId="2813A172" w:rsidR="00D44DBD" w:rsidRDefault="00D44DBD" w:rsidP="00D44DBD">
      <w:pPr>
        <w:pStyle w:val="NormalWeb"/>
        <w:spacing w:before="0" w:beforeAutospacing="0" w:after="0" w:afterAutospacing="0" w:line="360" w:lineRule="auto"/>
        <w:ind w:firstLine="851"/>
        <w:jc w:val="both"/>
      </w:pPr>
      <w:r>
        <w:t>A(H1N</w:t>
      </w:r>
      <w:proofErr w:type="gramStart"/>
      <w:r>
        <w:t>1)pdm</w:t>
      </w:r>
      <w:proofErr w:type="gramEnd"/>
      <w:r>
        <w:t xml:space="preserve">09 showed the highest mortality proportion among Influenza A subtypes, with 702 deaths among 4,177 cases, corresponding to a mortality rate of 16.81% (95% CI: 15.70–17.97). The mortality proportion for A(H3N2) was 12.14% (95% CI: 11.17–13.18), whereas Influenza A “not subtyped” and “not </w:t>
      </w:r>
      <w:proofErr w:type="spellStart"/>
      <w:r>
        <w:t>subtypable</w:t>
      </w:r>
      <w:proofErr w:type="spellEnd"/>
      <w:r>
        <w:t>” presented lower mortality estimates of 10.17% (95% CI: 9.34–11.07) and 8.90% (95% CI: 6.68–11.78), respectively. Inconclusive Influenza A cases had a mortality proportion of 8.82% (95% CI: 6.00–12.79), while the “other” category showed a mortality proportion of 14.04% (95% CI: 10.79–18.08)</w:t>
      </w:r>
      <w:r w:rsidR="00A54E0D">
        <w:t xml:space="preserve"> (table S1).</w:t>
      </w:r>
    </w:p>
    <w:p w14:paraId="7BF3F525" w14:textId="46A94AF9" w:rsidR="00D44DBD" w:rsidRDefault="00D44DBD" w:rsidP="00D44DBD">
      <w:pPr>
        <w:pStyle w:val="NormalWeb"/>
        <w:spacing w:before="0" w:beforeAutospacing="0" w:after="0" w:afterAutospacing="0" w:line="360" w:lineRule="auto"/>
        <w:ind w:firstLine="851"/>
        <w:jc w:val="both"/>
      </w:pPr>
      <w:r>
        <w:t>Among Influenza B cases, lineage testing was most frequently classified as “not performed”, representing 56.05% of cases, followed by missing lineage data, which accounted for 32.69%. The Victoria lineage was the most frequently identified specific Influenza B lineage, representing 7.40% of cases. Mortality estimates among Influenza B categories were generally lower than those observed for Influenza A subtypes. The Victoria lineage had a mortality proportion of 7.75% (95% CI: 4.38–13.34), and the “not performed” category had a similar mortality proportion of 7.53% (95% CI: 6.10–9.27). Cases with missing lineage data presented a mortality proportion of 7.34% (95% CI: 5.55–9.65)</w:t>
      </w:r>
      <w:r w:rsidR="00A54E0D">
        <w:t xml:space="preserve"> (table S1).</w:t>
      </w:r>
    </w:p>
    <w:p w14:paraId="40480C0B" w14:textId="3E22794E" w:rsidR="00D44DBD" w:rsidRPr="00D44DBD" w:rsidRDefault="00D44DBD" w:rsidP="00D44DBD">
      <w:pPr>
        <w:pStyle w:val="NormalWeb"/>
        <w:spacing w:before="0" w:beforeAutospacing="0" w:after="0" w:afterAutospacing="0" w:line="360" w:lineRule="auto"/>
        <w:ind w:firstLine="851"/>
        <w:jc w:val="both"/>
      </w:pPr>
      <w:r>
        <w:t>The Yamagata lineage was identified in only one case and had no deaths, resulting in a mortality estimate of 0.00% with a wide 95% confidence interval (0.00–79.35), reflecting the extreme imprecision associated with the very small sample size. Similarly, the “other” Influenza B category showed a mortality proportion of 10.00% (95% CI: 2.79–30.10), but this estimate should be interpreted cautiously due to the limited number of cases. Overall, the confidence intervals reinforce that mortality estimates were more precise in larger subtype or lineage groups and substantially less precise in categories with small denominators</w:t>
      </w:r>
      <w:r w:rsidR="00A54E0D">
        <w:t xml:space="preserve"> (table S1).</w:t>
      </w:r>
    </w:p>
    <w:p w14:paraId="34A707AE" w14:textId="77777777" w:rsidR="00D44DBD" w:rsidRDefault="00D44DBD" w:rsidP="005273F1">
      <w:pPr>
        <w:spacing w:after="0" w:line="240" w:lineRule="auto"/>
        <w:jc w:val="both"/>
        <w:rPr>
          <w:rFonts w:ascii="Times New Roman" w:eastAsia="Times New Roman" w:hAnsi="Times New Roman" w:cs="Times New Roman"/>
          <w:b/>
          <w:bCs/>
          <w:kern w:val="0"/>
          <w14:ligatures w14:val="none"/>
        </w:rPr>
      </w:pPr>
    </w:p>
    <w:p w14:paraId="11620F73" w14:textId="2702E20E" w:rsidR="00B01D8E" w:rsidRPr="005273F1" w:rsidRDefault="00B01D8E" w:rsidP="005273F1">
      <w:pPr>
        <w:spacing w:after="0" w:line="240" w:lineRule="auto"/>
        <w:jc w:val="both"/>
        <w:rPr>
          <w:rFonts w:ascii="Times New Roman" w:eastAsia="Times New Roman" w:hAnsi="Times New Roman" w:cs="Times New Roman"/>
          <w:kern w:val="0"/>
          <w14:ligatures w14:val="none"/>
        </w:rPr>
      </w:pPr>
      <w:r w:rsidRPr="00B01D8E">
        <w:rPr>
          <w:rFonts w:ascii="Times New Roman" w:eastAsia="Times New Roman" w:hAnsi="Times New Roman" w:cs="Times New Roman"/>
          <w:b/>
          <w:bCs/>
          <w:kern w:val="0"/>
          <w14:ligatures w14:val="none"/>
        </w:rPr>
        <w:lastRenderedPageBreak/>
        <w:t xml:space="preserve">Table S1 </w:t>
      </w:r>
      <w:r w:rsidRPr="005273F1">
        <w:rPr>
          <w:rFonts w:ascii="Times New Roman" w:eastAsia="Times New Roman" w:hAnsi="Times New Roman" w:cs="Times New Roman"/>
          <w:kern w:val="0"/>
          <w14:ligatures w14:val="none"/>
        </w:rPr>
        <w:t>– Distribution of Influenza A subtypes and Influenza B lineages among hospitalized patients with RT-PCR-confirmed influenza in Brazil, 2024, according to clinical outcome.</w:t>
      </w:r>
    </w:p>
    <w:tbl>
      <w:tblPr>
        <w:tblStyle w:val="SimplesTabela2"/>
        <w:tblW w:w="0" w:type="auto"/>
        <w:tblLook w:val="06A0" w:firstRow="1" w:lastRow="0" w:firstColumn="1" w:lastColumn="0" w:noHBand="1" w:noVBand="1"/>
      </w:tblPr>
      <w:tblGrid>
        <w:gridCol w:w="2400"/>
        <w:gridCol w:w="1594"/>
        <w:gridCol w:w="1350"/>
        <w:gridCol w:w="1300"/>
        <w:gridCol w:w="1761"/>
      </w:tblGrid>
      <w:tr w:rsidR="00B01D8E" w:rsidRPr="005273F1" w14:paraId="06825ED7" w14:textId="77777777" w:rsidTr="005273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F762D9" w14:textId="77777777" w:rsidR="00B01D8E" w:rsidRPr="005273F1" w:rsidRDefault="00B01D8E" w:rsidP="00B01D8E">
            <w:pPr>
              <w:jc w:val="center"/>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Influenza subtype/lineage</w:t>
            </w:r>
          </w:p>
        </w:tc>
        <w:tc>
          <w:tcPr>
            <w:tcW w:w="0" w:type="auto"/>
            <w:hideMark/>
          </w:tcPr>
          <w:p w14:paraId="22982841" w14:textId="77777777" w:rsidR="00B01D8E" w:rsidRPr="005273F1" w:rsidRDefault="00B01D8E" w:rsidP="00B01D8E">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Survivors n (%)</w:t>
            </w:r>
          </w:p>
        </w:tc>
        <w:tc>
          <w:tcPr>
            <w:tcW w:w="0" w:type="auto"/>
            <w:hideMark/>
          </w:tcPr>
          <w:p w14:paraId="424CFE2F" w14:textId="77777777" w:rsidR="00B01D8E" w:rsidRPr="005273F1" w:rsidRDefault="00B01D8E" w:rsidP="00B01D8E">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Deaths n (%)</w:t>
            </w:r>
          </w:p>
        </w:tc>
        <w:tc>
          <w:tcPr>
            <w:tcW w:w="0" w:type="auto"/>
            <w:hideMark/>
          </w:tcPr>
          <w:p w14:paraId="1EC0303C" w14:textId="77777777" w:rsidR="00B01D8E" w:rsidRPr="005273F1" w:rsidRDefault="00B01D8E" w:rsidP="00B01D8E">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Total n (%)</w:t>
            </w:r>
          </w:p>
        </w:tc>
        <w:tc>
          <w:tcPr>
            <w:tcW w:w="0" w:type="auto"/>
            <w:hideMark/>
          </w:tcPr>
          <w:p w14:paraId="4E073B7F" w14:textId="77777777" w:rsidR="00B01D8E" w:rsidRPr="005273F1" w:rsidRDefault="00B01D8E" w:rsidP="00B01D8E">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Mortality 95% CI</w:t>
            </w:r>
          </w:p>
        </w:tc>
      </w:tr>
      <w:tr w:rsidR="00B01D8E" w:rsidRPr="005273F1" w14:paraId="6C38ED3B"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527D2091" w14:textId="77777777" w:rsidR="00B01D8E" w:rsidRPr="005273F1" w:rsidRDefault="00B01D8E" w:rsidP="00B01D8E">
            <w:pPr>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Influenza A subtype</w:t>
            </w:r>
          </w:p>
        </w:tc>
        <w:tc>
          <w:tcPr>
            <w:tcW w:w="0" w:type="auto"/>
            <w:hideMark/>
          </w:tcPr>
          <w:p w14:paraId="255738F0" w14:textId="77777777" w:rsidR="00B01D8E" w:rsidRPr="005273F1" w:rsidRDefault="00B01D8E" w:rsidP="00B01D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0" w:type="auto"/>
            <w:hideMark/>
          </w:tcPr>
          <w:p w14:paraId="1E3015FF"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0" w:type="auto"/>
            <w:hideMark/>
          </w:tcPr>
          <w:p w14:paraId="35C8A411"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0" w:type="auto"/>
            <w:hideMark/>
          </w:tcPr>
          <w:p w14:paraId="6D4ADE24"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
        </w:tc>
      </w:tr>
      <w:tr w:rsidR="00B01D8E" w:rsidRPr="005273F1" w14:paraId="225679D2"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5EF1EED6"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Influenza A(H1N</w:t>
            </w:r>
            <w:proofErr w:type="gramStart"/>
            <w:r w:rsidRPr="000430F2">
              <w:rPr>
                <w:rFonts w:ascii="Times New Roman" w:eastAsia="Times New Roman" w:hAnsi="Times New Roman" w:cs="Times New Roman"/>
                <w:b w:val="0"/>
                <w:bCs w:val="0"/>
                <w:kern w:val="0"/>
                <w:sz w:val="20"/>
                <w:szCs w:val="20"/>
                <w14:ligatures w14:val="none"/>
              </w:rPr>
              <w:t>1)pdm</w:t>
            </w:r>
            <w:proofErr w:type="gramEnd"/>
            <w:r w:rsidRPr="000430F2">
              <w:rPr>
                <w:rFonts w:ascii="Times New Roman" w:eastAsia="Times New Roman" w:hAnsi="Times New Roman" w:cs="Times New Roman"/>
                <w:b w:val="0"/>
                <w:bCs w:val="0"/>
                <w:kern w:val="0"/>
                <w:sz w:val="20"/>
                <w:szCs w:val="20"/>
                <w14:ligatures w14:val="none"/>
              </w:rPr>
              <w:t>09</w:t>
            </w:r>
          </w:p>
        </w:tc>
        <w:tc>
          <w:tcPr>
            <w:tcW w:w="0" w:type="auto"/>
            <w:hideMark/>
          </w:tcPr>
          <w:p w14:paraId="02647212"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3,475 (83.19)</w:t>
            </w:r>
          </w:p>
        </w:tc>
        <w:tc>
          <w:tcPr>
            <w:tcW w:w="0" w:type="auto"/>
            <w:hideMark/>
          </w:tcPr>
          <w:p w14:paraId="6278C659"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702 (16.81)</w:t>
            </w:r>
          </w:p>
        </w:tc>
        <w:tc>
          <w:tcPr>
            <w:tcW w:w="0" w:type="auto"/>
            <w:hideMark/>
          </w:tcPr>
          <w:p w14:paraId="4E5E2BCF"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4,177 (29.67)</w:t>
            </w:r>
          </w:p>
        </w:tc>
        <w:tc>
          <w:tcPr>
            <w:tcW w:w="0" w:type="auto"/>
            <w:hideMark/>
          </w:tcPr>
          <w:p w14:paraId="0DC38F20"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15.70–17.97</w:t>
            </w:r>
          </w:p>
        </w:tc>
      </w:tr>
      <w:tr w:rsidR="00B01D8E" w:rsidRPr="005273F1" w14:paraId="47D49CB2"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6A8C33CB"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Influenza A(H3N2)</w:t>
            </w:r>
          </w:p>
        </w:tc>
        <w:tc>
          <w:tcPr>
            <w:tcW w:w="0" w:type="auto"/>
            <w:hideMark/>
          </w:tcPr>
          <w:p w14:paraId="1FABF007"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3,590 (87.86)</w:t>
            </w:r>
          </w:p>
        </w:tc>
        <w:tc>
          <w:tcPr>
            <w:tcW w:w="0" w:type="auto"/>
            <w:hideMark/>
          </w:tcPr>
          <w:p w14:paraId="22240AFF"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496 (12.14)</w:t>
            </w:r>
          </w:p>
        </w:tc>
        <w:tc>
          <w:tcPr>
            <w:tcW w:w="0" w:type="auto"/>
            <w:hideMark/>
          </w:tcPr>
          <w:p w14:paraId="5BC692EE"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4,086 (29.03)</w:t>
            </w:r>
          </w:p>
        </w:tc>
        <w:tc>
          <w:tcPr>
            <w:tcW w:w="0" w:type="auto"/>
            <w:hideMark/>
          </w:tcPr>
          <w:p w14:paraId="6BFF9A70"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11.17–13.18</w:t>
            </w:r>
          </w:p>
        </w:tc>
      </w:tr>
      <w:tr w:rsidR="00B01D8E" w:rsidRPr="005273F1" w14:paraId="0E3C0A45"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428C229E"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Influenza A not subtyped</w:t>
            </w:r>
          </w:p>
        </w:tc>
        <w:tc>
          <w:tcPr>
            <w:tcW w:w="0" w:type="auto"/>
            <w:hideMark/>
          </w:tcPr>
          <w:p w14:paraId="1518EBF5"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4,231 (89.83)</w:t>
            </w:r>
          </w:p>
        </w:tc>
        <w:tc>
          <w:tcPr>
            <w:tcW w:w="0" w:type="auto"/>
            <w:hideMark/>
          </w:tcPr>
          <w:p w14:paraId="7820C056"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479 (10.17)</w:t>
            </w:r>
          </w:p>
        </w:tc>
        <w:tc>
          <w:tcPr>
            <w:tcW w:w="0" w:type="auto"/>
            <w:hideMark/>
          </w:tcPr>
          <w:p w14:paraId="1B7F9523"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4,710 (33.46)</w:t>
            </w:r>
          </w:p>
        </w:tc>
        <w:tc>
          <w:tcPr>
            <w:tcW w:w="0" w:type="auto"/>
            <w:hideMark/>
          </w:tcPr>
          <w:p w14:paraId="088916CA"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9.34–11.07</w:t>
            </w:r>
          </w:p>
        </w:tc>
      </w:tr>
      <w:tr w:rsidR="00B01D8E" w:rsidRPr="005273F1" w14:paraId="5E8B4BCF"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3062A619"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 xml:space="preserve">Influenza A not </w:t>
            </w:r>
            <w:proofErr w:type="spellStart"/>
            <w:r w:rsidRPr="000430F2">
              <w:rPr>
                <w:rFonts w:ascii="Times New Roman" w:eastAsia="Times New Roman" w:hAnsi="Times New Roman" w:cs="Times New Roman"/>
                <w:b w:val="0"/>
                <w:bCs w:val="0"/>
                <w:kern w:val="0"/>
                <w:sz w:val="20"/>
                <w:szCs w:val="20"/>
                <w14:ligatures w14:val="none"/>
              </w:rPr>
              <w:t>subtypable</w:t>
            </w:r>
            <w:proofErr w:type="spellEnd"/>
          </w:p>
        </w:tc>
        <w:tc>
          <w:tcPr>
            <w:tcW w:w="0" w:type="auto"/>
            <w:hideMark/>
          </w:tcPr>
          <w:p w14:paraId="538AED4A"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440 (91.10)</w:t>
            </w:r>
          </w:p>
        </w:tc>
        <w:tc>
          <w:tcPr>
            <w:tcW w:w="0" w:type="auto"/>
            <w:hideMark/>
          </w:tcPr>
          <w:p w14:paraId="13BE126B"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43 (8.90)</w:t>
            </w:r>
          </w:p>
        </w:tc>
        <w:tc>
          <w:tcPr>
            <w:tcW w:w="0" w:type="auto"/>
            <w:hideMark/>
          </w:tcPr>
          <w:p w14:paraId="7DD540E0"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483 (3.43)</w:t>
            </w:r>
          </w:p>
        </w:tc>
        <w:tc>
          <w:tcPr>
            <w:tcW w:w="0" w:type="auto"/>
            <w:hideMark/>
          </w:tcPr>
          <w:p w14:paraId="7926BF71"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6.68–11.78</w:t>
            </w:r>
          </w:p>
        </w:tc>
      </w:tr>
      <w:tr w:rsidR="00B01D8E" w:rsidRPr="005273F1" w14:paraId="11759638"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20E8247C"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Inconclusive</w:t>
            </w:r>
          </w:p>
        </w:tc>
        <w:tc>
          <w:tcPr>
            <w:tcW w:w="0" w:type="auto"/>
            <w:hideMark/>
          </w:tcPr>
          <w:p w14:paraId="04CC6C30"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248 (91.18)</w:t>
            </w:r>
          </w:p>
        </w:tc>
        <w:tc>
          <w:tcPr>
            <w:tcW w:w="0" w:type="auto"/>
            <w:hideMark/>
          </w:tcPr>
          <w:p w14:paraId="315F1753"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24 (8.82)</w:t>
            </w:r>
          </w:p>
        </w:tc>
        <w:tc>
          <w:tcPr>
            <w:tcW w:w="0" w:type="auto"/>
            <w:hideMark/>
          </w:tcPr>
          <w:p w14:paraId="280E933C"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272 (1.93)</w:t>
            </w:r>
          </w:p>
        </w:tc>
        <w:tc>
          <w:tcPr>
            <w:tcW w:w="0" w:type="auto"/>
            <w:hideMark/>
          </w:tcPr>
          <w:p w14:paraId="52333498"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6.00–12.79</w:t>
            </w:r>
          </w:p>
        </w:tc>
      </w:tr>
      <w:tr w:rsidR="00B01D8E" w:rsidRPr="005273F1" w14:paraId="0AC41A16"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6710A481"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Other</w:t>
            </w:r>
          </w:p>
        </w:tc>
        <w:tc>
          <w:tcPr>
            <w:tcW w:w="0" w:type="auto"/>
            <w:hideMark/>
          </w:tcPr>
          <w:p w14:paraId="0483D19E"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300 (85.96)</w:t>
            </w:r>
          </w:p>
        </w:tc>
        <w:tc>
          <w:tcPr>
            <w:tcW w:w="0" w:type="auto"/>
            <w:hideMark/>
          </w:tcPr>
          <w:p w14:paraId="500D4B53"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49 (14.04)</w:t>
            </w:r>
          </w:p>
        </w:tc>
        <w:tc>
          <w:tcPr>
            <w:tcW w:w="0" w:type="auto"/>
            <w:hideMark/>
          </w:tcPr>
          <w:p w14:paraId="290FA072"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349 (2.48)</w:t>
            </w:r>
          </w:p>
        </w:tc>
        <w:tc>
          <w:tcPr>
            <w:tcW w:w="0" w:type="auto"/>
            <w:hideMark/>
          </w:tcPr>
          <w:p w14:paraId="578B0177"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10.79–18.08</w:t>
            </w:r>
          </w:p>
        </w:tc>
      </w:tr>
      <w:tr w:rsidR="00B01D8E" w:rsidRPr="005273F1" w14:paraId="768F9CC6"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20296807" w14:textId="77777777" w:rsidR="00B01D8E" w:rsidRPr="005273F1" w:rsidRDefault="00B01D8E" w:rsidP="00B01D8E">
            <w:pPr>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Influenza B lineage</w:t>
            </w:r>
          </w:p>
        </w:tc>
        <w:tc>
          <w:tcPr>
            <w:tcW w:w="0" w:type="auto"/>
            <w:hideMark/>
          </w:tcPr>
          <w:p w14:paraId="6F88AA8F" w14:textId="77777777" w:rsidR="00B01D8E" w:rsidRPr="005273F1" w:rsidRDefault="00B01D8E" w:rsidP="00B01D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0" w:type="auto"/>
            <w:hideMark/>
          </w:tcPr>
          <w:p w14:paraId="69041DDE"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0" w:type="auto"/>
            <w:hideMark/>
          </w:tcPr>
          <w:p w14:paraId="5DFAB978"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0" w:type="auto"/>
            <w:hideMark/>
          </w:tcPr>
          <w:p w14:paraId="76AA190A"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
        </w:tc>
      </w:tr>
      <w:tr w:rsidR="00B01D8E" w:rsidRPr="005273F1" w14:paraId="0CDF6C13"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7E7E59C7"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Victoria</w:t>
            </w:r>
          </w:p>
        </w:tc>
        <w:tc>
          <w:tcPr>
            <w:tcW w:w="0" w:type="auto"/>
            <w:hideMark/>
          </w:tcPr>
          <w:p w14:paraId="50471F41"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131 (92.25)</w:t>
            </w:r>
          </w:p>
        </w:tc>
        <w:tc>
          <w:tcPr>
            <w:tcW w:w="0" w:type="auto"/>
            <w:hideMark/>
          </w:tcPr>
          <w:p w14:paraId="5386D31C"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11 (7.75)</w:t>
            </w:r>
          </w:p>
        </w:tc>
        <w:tc>
          <w:tcPr>
            <w:tcW w:w="0" w:type="auto"/>
            <w:hideMark/>
          </w:tcPr>
          <w:p w14:paraId="765DB27C"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142 (7.40)</w:t>
            </w:r>
          </w:p>
        </w:tc>
        <w:tc>
          <w:tcPr>
            <w:tcW w:w="0" w:type="auto"/>
            <w:hideMark/>
          </w:tcPr>
          <w:p w14:paraId="03952CAC"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4.38–13.34</w:t>
            </w:r>
          </w:p>
        </w:tc>
      </w:tr>
      <w:tr w:rsidR="00B01D8E" w:rsidRPr="005273F1" w14:paraId="5AE4A915"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7241C11B"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Yamagata</w:t>
            </w:r>
          </w:p>
        </w:tc>
        <w:tc>
          <w:tcPr>
            <w:tcW w:w="0" w:type="auto"/>
            <w:hideMark/>
          </w:tcPr>
          <w:p w14:paraId="5F9A2F74"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 (100.00)</w:t>
            </w:r>
          </w:p>
        </w:tc>
        <w:tc>
          <w:tcPr>
            <w:tcW w:w="0" w:type="auto"/>
            <w:hideMark/>
          </w:tcPr>
          <w:p w14:paraId="391B5EB7"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0 (0.00)</w:t>
            </w:r>
          </w:p>
        </w:tc>
        <w:tc>
          <w:tcPr>
            <w:tcW w:w="0" w:type="auto"/>
            <w:hideMark/>
          </w:tcPr>
          <w:p w14:paraId="6A0D69B2"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 (0.05)</w:t>
            </w:r>
          </w:p>
        </w:tc>
        <w:tc>
          <w:tcPr>
            <w:tcW w:w="0" w:type="auto"/>
            <w:hideMark/>
          </w:tcPr>
          <w:p w14:paraId="1F9CBBFD"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0.00–79.35</w:t>
            </w:r>
          </w:p>
        </w:tc>
      </w:tr>
      <w:tr w:rsidR="00B01D8E" w:rsidRPr="005273F1" w14:paraId="35B568D0"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1137721C"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Not performed</w:t>
            </w:r>
          </w:p>
        </w:tc>
        <w:tc>
          <w:tcPr>
            <w:tcW w:w="0" w:type="auto"/>
            <w:hideMark/>
          </w:tcPr>
          <w:p w14:paraId="172149BB"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994 (92.47)</w:t>
            </w:r>
          </w:p>
        </w:tc>
        <w:tc>
          <w:tcPr>
            <w:tcW w:w="0" w:type="auto"/>
            <w:hideMark/>
          </w:tcPr>
          <w:p w14:paraId="73164F31"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81 (7.53)</w:t>
            </w:r>
          </w:p>
        </w:tc>
        <w:tc>
          <w:tcPr>
            <w:tcW w:w="0" w:type="auto"/>
            <w:hideMark/>
          </w:tcPr>
          <w:p w14:paraId="39E8F6D9"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1,075 (56.05)</w:t>
            </w:r>
          </w:p>
        </w:tc>
        <w:tc>
          <w:tcPr>
            <w:tcW w:w="0" w:type="auto"/>
            <w:hideMark/>
          </w:tcPr>
          <w:p w14:paraId="3952B9F9"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6.10–9.27</w:t>
            </w:r>
          </w:p>
        </w:tc>
      </w:tr>
      <w:tr w:rsidR="00B01D8E" w:rsidRPr="005273F1" w14:paraId="69BE6A5B"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0B82C7DC"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Inconclusive</w:t>
            </w:r>
          </w:p>
        </w:tc>
        <w:tc>
          <w:tcPr>
            <w:tcW w:w="0" w:type="auto"/>
            <w:hideMark/>
          </w:tcPr>
          <w:p w14:paraId="333A03A9"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52 (98.11)</w:t>
            </w:r>
          </w:p>
        </w:tc>
        <w:tc>
          <w:tcPr>
            <w:tcW w:w="0" w:type="auto"/>
            <w:hideMark/>
          </w:tcPr>
          <w:p w14:paraId="53AB41D6"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 (1.89)</w:t>
            </w:r>
          </w:p>
        </w:tc>
        <w:tc>
          <w:tcPr>
            <w:tcW w:w="0" w:type="auto"/>
            <w:hideMark/>
          </w:tcPr>
          <w:p w14:paraId="6C09879B"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53 (2.76)</w:t>
            </w:r>
          </w:p>
        </w:tc>
        <w:tc>
          <w:tcPr>
            <w:tcW w:w="0" w:type="auto"/>
            <w:hideMark/>
          </w:tcPr>
          <w:p w14:paraId="44A42F7B"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0.33–9.94</w:t>
            </w:r>
          </w:p>
        </w:tc>
      </w:tr>
      <w:tr w:rsidR="00B01D8E" w:rsidRPr="005273F1" w14:paraId="307176EA"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49031BBF"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Other</w:t>
            </w:r>
          </w:p>
        </w:tc>
        <w:tc>
          <w:tcPr>
            <w:tcW w:w="0" w:type="auto"/>
            <w:hideMark/>
          </w:tcPr>
          <w:p w14:paraId="174C3D70"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18 (90.00)</w:t>
            </w:r>
          </w:p>
        </w:tc>
        <w:tc>
          <w:tcPr>
            <w:tcW w:w="0" w:type="auto"/>
            <w:hideMark/>
          </w:tcPr>
          <w:p w14:paraId="62DDBD5D"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2 (10.00)</w:t>
            </w:r>
          </w:p>
        </w:tc>
        <w:tc>
          <w:tcPr>
            <w:tcW w:w="0" w:type="auto"/>
            <w:hideMark/>
          </w:tcPr>
          <w:p w14:paraId="6FB68428"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20 (1.04)</w:t>
            </w:r>
          </w:p>
        </w:tc>
        <w:tc>
          <w:tcPr>
            <w:tcW w:w="0" w:type="auto"/>
            <w:hideMark/>
          </w:tcPr>
          <w:p w14:paraId="47F8D789"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2.79–30.10</w:t>
            </w:r>
          </w:p>
        </w:tc>
      </w:tr>
      <w:tr w:rsidR="00B01D8E" w:rsidRPr="005273F1" w14:paraId="1F0CC79D" w14:textId="77777777" w:rsidTr="005273F1">
        <w:tc>
          <w:tcPr>
            <w:cnfStyle w:val="001000000000" w:firstRow="0" w:lastRow="0" w:firstColumn="1" w:lastColumn="0" w:oddVBand="0" w:evenVBand="0" w:oddHBand="0" w:evenHBand="0" w:firstRowFirstColumn="0" w:firstRowLastColumn="0" w:lastRowFirstColumn="0" w:lastRowLastColumn="0"/>
            <w:tcW w:w="0" w:type="auto"/>
            <w:hideMark/>
          </w:tcPr>
          <w:p w14:paraId="0BEBC82D" w14:textId="77777777" w:rsidR="00B01D8E" w:rsidRPr="000430F2" w:rsidRDefault="00B01D8E" w:rsidP="00B01D8E">
            <w:pPr>
              <w:rPr>
                <w:rFonts w:ascii="Times New Roman" w:eastAsia="Times New Roman" w:hAnsi="Times New Roman" w:cs="Times New Roman"/>
                <w:b w:val="0"/>
                <w:bCs w:val="0"/>
                <w:kern w:val="0"/>
                <w:sz w:val="20"/>
                <w:szCs w:val="20"/>
                <w14:ligatures w14:val="none"/>
              </w:rPr>
            </w:pPr>
            <w:r w:rsidRPr="000430F2">
              <w:rPr>
                <w:rFonts w:ascii="Times New Roman" w:eastAsia="Times New Roman" w:hAnsi="Times New Roman" w:cs="Times New Roman"/>
                <w:b w:val="0"/>
                <w:bCs w:val="0"/>
                <w:kern w:val="0"/>
                <w:sz w:val="20"/>
                <w:szCs w:val="20"/>
                <w14:ligatures w14:val="none"/>
              </w:rPr>
              <w:t>Missing data</w:t>
            </w:r>
          </w:p>
        </w:tc>
        <w:tc>
          <w:tcPr>
            <w:tcW w:w="0" w:type="auto"/>
            <w:hideMark/>
          </w:tcPr>
          <w:p w14:paraId="6F6B1FAA"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581 (92.66)</w:t>
            </w:r>
          </w:p>
        </w:tc>
        <w:tc>
          <w:tcPr>
            <w:tcW w:w="0" w:type="auto"/>
            <w:hideMark/>
          </w:tcPr>
          <w:p w14:paraId="7BAABB3C"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46 (7.34)</w:t>
            </w:r>
          </w:p>
        </w:tc>
        <w:tc>
          <w:tcPr>
            <w:tcW w:w="0" w:type="auto"/>
            <w:hideMark/>
          </w:tcPr>
          <w:p w14:paraId="5FDDDE03"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627 (32.69)</w:t>
            </w:r>
          </w:p>
        </w:tc>
        <w:tc>
          <w:tcPr>
            <w:tcW w:w="0" w:type="auto"/>
            <w:hideMark/>
          </w:tcPr>
          <w:p w14:paraId="5D9B049C" w14:textId="77777777" w:rsidR="00B01D8E" w:rsidRPr="005273F1" w:rsidRDefault="00B01D8E" w:rsidP="00B01D8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273F1">
              <w:rPr>
                <w:rFonts w:ascii="Times New Roman" w:eastAsia="Times New Roman" w:hAnsi="Times New Roman" w:cs="Times New Roman"/>
                <w:kern w:val="0"/>
                <w:sz w:val="20"/>
                <w:szCs w:val="20"/>
                <w14:ligatures w14:val="none"/>
              </w:rPr>
              <w:t>5.55–9.65</w:t>
            </w:r>
          </w:p>
        </w:tc>
      </w:tr>
    </w:tbl>
    <w:p w14:paraId="48529DF0" w14:textId="7F71073A" w:rsidR="00B01D8E" w:rsidRPr="00C84F54" w:rsidRDefault="00C84F54" w:rsidP="000430F2">
      <w:pPr>
        <w:spacing w:after="0" w:line="240" w:lineRule="auto"/>
        <w:jc w:val="both"/>
        <w:rPr>
          <w:rFonts w:ascii="Times New Roman" w:eastAsia="Times New Roman" w:hAnsi="Times New Roman" w:cs="Times New Roman"/>
          <w:kern w:val="0"/>
          <w14:ligatures w14:val="none"/>
        </w:rPr>
      </w:pPr>
      <w:r w:rsidRPr="00C84F54">
        <w:rPr>
          <w:rFonts w:ascii="Times New Roman" w:eastAsia="Times New Roman" w:hAnsi="Times New Roman" w:cs="Times New Roman"/>
          <w:b/>
          <w:bCs/>
          <w:kern w:val="0"/>
          <w14:ligatures w14:val="none"/>
        </w:rPr>
        <w:t xml:space="preserve">Legend: </w:t>
      </w:r>
      <w:r w:rsidRPr="00C84F54">
        <w:rPr>
          <w:rFonts w:ascii="Times New Roman" w:eastAsia="Times New Roman" w:hAnsi="Times New Roman" w:cs="Times New Roman"/>
          <w:kern w:val="0"/>
          <w14:ligatures w14:val="none"/>
        </w:rPr>
        <w:t>Percentages for survivors and deaths were calculated within each subtype or lineage category. Total percentages were calculated within Influenza A or Influenza B groups, respectively. Mortality 95% confidence intervals were calculated using the Wilson binomial method. Influenza A “not subtyped” refers to RT-PCR-confirmed Influenza A cases for which subtype classification, such as A(H1N</w:t>
      </w:r>
      <w:proofErr w:type="gramStart"/>
      <w:r w:rsidRPr="00C84F54">
        <w:rPr>
          <w:rFonts w:ascii="Times New Roman" w:eastAsia="Times New Roman" w:hAnsi="Times New Roman" w:cs="Times New Roman"/>
          <w:kern w:val="0"/>
          <w14:ligatures w14:val="none"/>
        </w:rPr>
        <w:t>1)pdm</w:t>
      </w:r>
      <w:proofErr w:type="gramEnd"/>
      <w:r w:rsidRPr="00C84F54">
        <w:rPr>
          <w:rFonts w:ascii="Times New Roman" w:eastAsia="Times New Roman" w:hAnsi="Times New Roman" w:cs="Times New Roman"/>
          <w:kern w:val="0"/>
          <w14:ligatures w14:val="none"/>
        </w:rPr>
        <w:t xml:space="preserve">09 or A(H3N2), was not reported. “Not </w:t>
      </w:r>
      <w:proofErr w:type="spellStart"/>
      <w:r w:rsidRPr="00C84F54">
        <w:rPr>
          <w:rFonts w:ascii="Times New Roman" w:eastAsia="Times New Roman" w:hAnsi="Times New Roman" w:cs="Times New Roman"/>
          <w:kern w:val="0"/>
          <w14:ligatures w14:val="none"/>
        </w:rPr>
        <w:t>subtypable</w:t>
      </w:r>
      <w:proofErr w:type="spellEnd"/>
      <w:r w:rsidRPr="00C84F54">
        <w:rPr>
          <w:rFonts w:ascii="Times New Roman" w:eastAsia="Times New Roman" w:hAnsi="Times New Roman" w:cs="Times New Roman"/>
          <w:kern w:val="0"/>
          <w14:ligatures w14:val="none"/>
        </w:rPr>
        <w:t>” refers to cases in which subtyping was attempted but could not be technically assigned. For Influenza B, “not performed” indicates that lineage testing was not conducted, whereas “missing data” indicates absence of recorded lineage information in the database. Source: SIVEP-Gripe</w:t>
      </w:r>
      <w:r w:rsidRPr="00C84F54">
        <w:rPr>
          <w:rFonts w:ascii="Times New Roman" w:eastAsia="Times New Roman" w:hAnsi="Times New Roman" w:cs="Times New Roman"/>
          <w:kern w:val="0"/>
          <w14:ligatures w14:val="none"/>
        </w:rPr>
        <w:t>.</w:t>
      </w:r>
    </w:p>
    <w:p w14:paraId="39FE54F0" w14:textId="77777777" w:rsidR="00B01D8E" w:rsidRDefault="00B01D8E" w:rsidP="00A54E0D">
      <w:pPr>
        <w:spacing w:after="0" w:line="360" w:lineRule="auto"/>
        <w:jc w:val="both"/>
        <w:rPr>
          <w:rFonts w:ascii="Times New Roman" w:hAnsi="Times New Roman" w:cs="Times New Roman"/>
        </w:rPr>
      </w:pPr>
    </w:p>
    <w:p w14:paraId="7840108A" w14:textId="7729EC21" w:rsidR="00AF2C79" w:rsidRPr="00AF2C79" w:rsidRDefault="00AF2C79" w:rsidP="00AF2C79">
      <w:pPr>
        <w:spacing w:after="0" w:line="360" w:lineRule="auto"/>
        <w:ind w:firstLine="851"/>
        <w:jc w:val="both"/>
        <w:rPr>
          <w:rFonts w:ascii="Times New Roman" w:hAnsi="Times New Roman" w:cs="Times New Roman"/>
        </w:rPr>
      </w:pPr>
      <w:r w:rsidRPr="00AF2C79">
        <w:rPr>
          <w:rFonts w:ascii="Times New Roman" w:hAnsi="Times New Roman" w:cs="Times New Roman"/>
        </w:rPr>
        <w:t>Table S2</w:t>
      </w:r>
      <w:r w:rsidR="00245984">
        <w:rPr>
          <w:rFonts w:ascii="Times New Roman" w:hAnsi="Times New Roman" w:cs="Times New Roman"/>
        </w:rPr>
        <w:t xml:space="preserve"> an</w:t>
      </w:r>
      <w:r w:rsidR="00B10A28">
        <w:rPr>
          <w:rFonts w:ascii="Times New Roman" w:hAnsi="Times New Roman" w:cs="Times New Roman"/>
        </w:rPr>
        <w:t>d</w:t>
      </w:r>
      <w:r w:rsidR="00245984">
        <w:rPr>
          <w:rFonts w:ascii="Times New Roman" w:hAnsi="Times New Roman" w:cs="Times New Roman"/>
        </w:rPr>
        <w:t xml:space="preserve"> Figure S1</w:t>
      </w:r>
      <w:r w:rsidRPr="00AF2C79">
        <w:rPr>
          <w:rFonts w:ascii="Times New Roman" w:hAnsi="Times New Roman" w:cs="Times New Roman"/>
        </w:rPr>
        <w:t xml:space="preserve"> presents the prevalence of demographic characteristics, symptoms, respiratory severity markers, comorbidities, preventive and therapeutic interventions, and clinical outcomes among hospitalized patients with Influenza A and Influenza B in Brazil in 2024. The table was organized into thematic blocks to improve readability and facilitate interpretation of differences between influenza types.</w:t>
      </w:r>
    </w:p>
    <w:p w14:paraId="4CC763E3" w14:textId="77A6F3F6" w:rsidR="00AF2C79" w:rsidRPr="00A54E0D" w:rsidRDefault="00AF2C79" w:rsidP="00AF2C79">
      <w:pPr>
        <w:spacing w:after="0" w:line="360" w:lineRule="auto"/>
        <w:ind w:firstLine="851"/>
        <w:jc w:val="both"/>
        <w:rPr>
          <w:rFonts w:ascii="Times New Roman" w:hAnsi="Times New Roman" w:cs="Times New Roman"/>
        </w:rPr>
      </w:pPr>
      <w:r w:rsidRPr="00AF2C79">
        <w:rPr>
          <w:rFonts w:ascii="Times New Roman" w:hAnsi="Times New Roman" w:cs="Times New Roman"/>
        </w:rPr>
        <w:t xml:space="preserve">In the demographic block, the proportion of male patients was similar between Influenza A and Influenza B cases, with prevalences of 48.48% (95% CI: 47.66–49.31) and 48.70% (95% CI: 46.46–50.93), respectively. This small difference suggests that sex distribution was comparable between both influenza </w:t>
      </w:r>
      <w:r w:rsidRPr="00A54E0D">
        <w:rPr>
          <w:rFonts w:ascii="Times New Roman" w:hAnsi="Times New Roman" w:cs="Times New Roman"/>
        </w:rPr>
        <w:t>types</w:t>
      </w:r>
      <w:r w:rsidR="00A54E0D" w:rsidRPr="00A54E0D">
        <w:rPr>
          <w:rFonts w:ascii="Times New Roman" w:hAnsi="Times New Roman" w:cs="Times New Roman"/>
        </w:rPr>
        <w:t xml:space="preserve"> (table S</w:t>
      </w:r>
      <w:r w:rsidR="00A54E0D">
        <w:rPr>
          <w:rFonts w:ascii="Times New Roman" w:hAnsi="Times New Roman" w:cs="Times New Roman"/>
        </w:rPr>
        <w:t>2</w:t>
      </w:r>
      <w:r w:rsidR="00A54E0D" w:rsidRPr="00A54E0D">
        <w:rPr>
          <w:rFonts w:ascii="Times New Roman" w:hAnsi="Times New Roman" w:cs="Times New Roman"/>
        </w:rPr>
        <w:t>).</w:t>
      </w:r>
    </w:p>
    <w:p w14:paraId="184FC8B8" w14:textId="0F0CBDF6" w:rsidR="00AF2C79" w:rsidRPr="00AF2C79" w:rsidRDefault="00AF2C79" w:rsidP="00AF2C79">
      <w:pPr>
        <w:spacing w:after="0" w:line="360" w:lineRule="auto"/>
        <w:ind w:firstLine="851"/>
        <w:jc w:val="both"/>
        <w:rPr>
          <w:rFonts w:ascii="Times New Roman" w:hAnsi="Times New Roman" w:cs="Times New Roman"/>
        </w:rPr>
      </w:pPr>
      <w:r w:rsidRPr="00AF2C79">
        <w:rPr>
          <w:rFonts w:ascii="Times New Roman" w:hAnsi="Times New Roman" w:cs="Times New Roman"/>
        </w:rPr>
        <w:t xml:space="preserve">In the symptoms and respiratory severity block, Influenza A cases showed higher prevalence of markers associated with respiratory compromise. Dyspnea was reported in 62.68% of Influenza A cases (95% CI: 61.88–63.48), compared with 49.37% of Influenza B cases (95% CI: 47.14–51.61), corresponding to a difference of 13.31 percentage points. Low oxygen saturation was also more frequent among Influenza A cases, with a prevalence of 52.55% (95% CI: 51.73–53.38), compared with 42.18% (95% CI: 39.99–44.40) among Influenza B cases. Respiratory distress followed the same pattern, </w:t>
      </w:r>
      <w:r w:rsidRPr="00AF2C79">
        <w:rPr>
          <w:rFonts w:ascii="Times New Roman" w:hAnsi="Times New Roman" w:cs="Times New Roman"/>
        </w:rPr>
        <w:lastRenderedPageBreak/>
        <w:t>occurring in 59.96% of Influenza A cases (95% CI: 59.15–60.77) and 53.13% of Influenza B cases (95% CI: 50.89–55.35)</w:t>
      </w:r>
      <w:r w:rsidR="00A54E0D">
        <w:rPr>
          <w:rFonts w:ascii="Times New Roman" w:hAnsi="Times New Roman" w:cs="Times New Roman"/>
        </w:rPr>
        <w:t xml:space="preserve"> </w:t>
      </w:r>
      <w:r w:rsidR="00A54E0D" w:rsidRPr="00A54E0D">
        <w:rPr>
          <w:rFonts w:ascii="Times New Roman" w:hAnsi="Times New Roman" w:cs="Times New Roman"/>
        </w:rPr>
        <w:t>(table S</w:t>
      </w:r>
      <w:r w:rsidR="00A54E0D">
        <w:rPr>
          <w:rFonts w:ascii="Times New Roman" w:hAnsi="Times New Roman" w:cs="Times New Roman"/>
        </w:rPr>
        <w:t>2</w:t>
      </w:r>
      <w:r w:rsidR="00A54E0D" w:rsidRPr="00A54E0D">
        <w:rPr>
          <w:rFonts w:ascii="Times New Roman" w:hAnsi="Times New Roman" w:cs="Times New Roman"/>
        </w:rPr>
        <w:t>).</w:t>
      </w:r>
    </w:p>
    <w:p w14:paraId="47D3F8BC" w14:textId="1ED6744E" w:rsidR="00AF2C79" w:rsidRPr="00AF2C79" w:rsidRDefault="00AF2C79" w:rsidP="00AF2C79">
      <w:pPr>
        <w:spacing w:after="0" w:line="360" w:lineRule="auto"/>
        <w:ind w:firstLine="851"/>
        <w:jc w:val="both"/>
        <w:rPr>
          <w:rFonts w:ascii="Times New Roman" w:hAnsi="Times New Roman" w:cs="Times New Roman"/>
        </w:rPr>
      </w:pPr>
      <w:r w:rsidRPr="00AF2C79">
        <w:rPr>
          <w:rFonts w:ascii="Times New Roman" w:hAnsi="Times New Roman" w:cs="Times New Roman"/>
        </w:rPr>
        <w:t>Conversely, some symptoms were more frequent among Influenza B cases. Fever was observed in 76.90% of Influenza B cases (95% CI: 74.96–78.73), compared with 71.66% of Influenza A cases (95% CI: 70.91–72.39). Vomiting and sore throat were also more prevalent in Influenza B, with differences of -3.86 and -2.57 percentage points, respectively. These findings suggest that Influenza B cases presented proportionally more constitutional or upper respiratory/gastrointestinal symptoms, whereas Influenza A cases showed a greater burden of respiratory severity markers</w:t>
      </w:r>
      <w:r w:rsidR="00A54E0D">
        <w:rPr>
          <w:rFonts w:ascii="Times New Roman" w:hAnsi="Times New Roman" w:cs="Times New Roman"/>
        </w:rPr>
        <w:t xml:space="preserve"> </w:t>
      </w:r>
      <w:r w:rsidR="00A54E0D" w:rsidRPr="00A54E0D">
        <w:rPr>
          <w:rFonts w:ascii="Times New Roman" w:hAnsi="Times New Roman" w:cs="Times New Roman"/>
        </w:rPr>
        <w:t>(table S</w:t>
      </w:r>
      <w:r w:rsidR="00A54E0D">
        <w:rPr>
          <w:rFonts w:ascii="Times New Roman" w:hAnsi="Times New Roman" w:cs="Times New Roman"/>
        </w:rPr>
        <w:t>2</w:t>
      </w:r>
      <w:r w:rsidR="00A54E0D" w:rsidRPr="00A54E0D">
        <w:rPr>
          <w:rFonts w:ascii="Times New Roman" w:hAnsi="Times New Roman" w:cs="Times New Roman"/>
        </w:rPr>
        <w:t>).</w:t>
      </w:r>
    </w:p>
    <w:p w14:paraId="29FA1F7C" w14:textId="767E713B" w:rsidR="00AF2C79" w:rsidRPr="00AF2C79" w:rsidRDefault="00AF2C79" w:rsidP="00AF2C79">
      <w:pPr>
        <w:spacing w:after="0" w:line="360" w:lineRule="auto"/>
        <w:ind w:firstLine="851"/>
        <w:jc w:val="both"/>
        <w:rPr>
          <w:rFonts w:ascii="Times New Roman" w:hAnsi="Times New Roman" w:cs="Times New Roman"/>
        </w:rPr>
      </w:pPr>
      <w:r w:rsidRPr="00AF2C79">
        <w:rPr>
          <w:rFonts w:ascii="Times New Roman" w:hAnsi="Times New Roman" w:cs="Times New Roman"/>
        </w:rPr>
        <w:t>In the comorbidity block, chronic cardiovascular disease and diabetes mellitus were substantially more frequent among Influenza A cases. Chronic cardiovascular disease was present in 23.23% of Influenza A cases (95% CI: 22.54–23.93), compared with 9.33% of Influenza B cases (95% CI: 8.11–10.72), yielding the largest difference among comorbidities. Diabetes mellitus was also more prevalent among Influenza A cases, affecting 13.97% (95% CI: 13.40–14.55), compared with 5.74% (95% CI: 4.78–6.87) among Influenza B cases. Other chronic pneumopathy, chronic neurological disease, chronic kidney disease, obesity, immunodeficiency/immunosuppression, and chronic liver disease also showed slightly higher prevalence among Influenza A cases</w:t>
      </w:r>
      <w:r w:rsidR="00A54E0D">
        <w:rPr>
          <w:rFonts w:ascii="Times New Roman" w:hAnsi="Times New Roman" w:cs="Times New Roman"/>
        </w:rPr>
        <w:t xml:space="preserve"> </w:t>
      </w:r>
      <w:r w:rsidR="00A54E0D" w:rsidRPr="00A54E0D">
        <w:rPr>
          <w:rFonts w:ascii="Times New Roman" w:hAnsi="Times New Roman" w:cs="Times New Roman"/>
        </w:rPr>
        <w:t>(table S</w:t>
      </w:r>
      <w:r w:rsidR="00A54E0D">
        <w:rPr>
          <w:rFonts w:ascii="Times New Roman" w:hAnsi="Times New Roman" w:cs="Times New Roman"/>
        </w:rPr>
        <w:t>2</w:t>
      </w:r>
      <w:r w:rsidR="00A54E0D" w:rsidRPr="00A54E0D">
        <w:rPr>
          <w:rFonts w:ascii="Times New Roman" w:hAnsi="Times New Roman" w:cs="Times New Roman"/>
        </w:rPr>
        <w:t>).</w:t>
      </w:r>
    </w:p>
    <w:p w14:paraId="7B96B40E" w14:textId="1209A4FA" w:rsidR="00AF2C79" w:rsidRPr="00AF2C79" w:rsidRDefault="00AF2C79" w:rsidP="00AF2C79">
      <w:pPr>
        <w:spacing w:after="0" w:line="360" w:lineRule="auto"/>
        <w:ind w:firstLine="851"/>
        <w:jc w:val="both"/>
        <w:rPr>
          <w:rFonts w:ascii="Times New Roman" w:hAnsi="Times New Roman" w:cs="Times New Roman"/>
        </w:rPr>
      </w:pPr>
      <w:r w:rsidRPr="00AF2C79">
        <w:rPr>
          <w:rFonts w:ascii="Times New Roman" w:hAnsi="Times New Roman" w:cs="Times New Roman"/>
        </w:rPr>
        <w:t>In the preventive and therapeutic intervention block, COVID-19 booster vaccination was more frequent among Influenza A cases, with a prevalence of 24.30% (95% CI: 23.60–25.02), compared with 16.11% (95% CI: 14.53–17.82) among Influenza B cases. Influenza vaccination in the last campaign was also more frequent among Influenza A cases, whereas oseltamivir use was similar between groups, with prevalences of 21.61% (95% CI: 20.94–22.30) for Influenza A and 21.90% (95% CI: 20.10–23.80) for Influenza B</w:t>
      </w:r>
      <w:r w:rsidR="00A54E0D">
        <w:rPr>
          <w:rFonts w:ascii="Times New Roman" w:hAnsi="Times New Roman" w:cs="Times New Roman"/>
        </w:rPr>
        <w:t xml:space="preserve"> </w:t>
      </w:r>
      <w:r w:rsidR="00A54E0D" w:rsidRPr="00A54E0D">
        <w:rPr>
          <w:rFonts w:ascii="Times New Roman" w:hAnsi="Times New Roman" w:cs="Times New Roman"/>
        </w:rPr>
        <w:t>(table S</w:t>
      </w:r>
      <w:r w:rsidR="00A54E0D">
        <w:rPr>
          <w:rFonts w:ascii="Times New Roman" w:hAnsi="Times New Roman" w:cs="Times New Roman"/>
        </w:rPr>
        <w:t>2</w:t>
      </w:r>
      <w:r w:rsidR="00A54E0D" w:rsidRPr="00A54E0D">
        <w:rPr>
          <w:rFonts w:ascii="Times New Roman" w:hAnsi="Times New Roman" w:cs="Times New Roman"/>
        </w:rPr>
        <w:t>).</w:t>
      </w:r>
    </w:p>
    <w:p w14:paraId="7033F3B4" w14:textId="49A00EA9" w:rsidR="005011EC" w:rsidRPr="003C79F0" w:rsidRDefault="00AF2C79" w:rsidP="00AF2C79">
      <w:pPr>
        <w:spacing w:after="0" w:line="360" w:lineRule="auto"/>
        <w:ind w:firstLine="851"/>
        <w:jc w:val="both"/>
        <w:rPr>
          <w:rFonts w:ascii="Times New Roman" w:hAnsi="Times New Roman" w:cs="Times New Roman"/>
        </w:rPr>
      </w:pPr>
      <w:r w:rsidRPr="00AF2C79">
        <w:rPr>
          <w:rFonts w:ascii="Times New Roman" w:hAnsi="Times New Roman" w:cs="Times New Roman"/>
        </w:rPr>
        <w:t xml:space="preserve">In the clinical outcomes block, ICU admission was nearly identical between Influenza A and Influenza B cases, with prevalences of 28.03% (95% CI: 27.30–28.78) and 28.00% (95% CI: 26.03–30.05), respectively. However, mortality was higher among Influenza A cases. Death occurred in 12.74% of Influenza A cases (95% CI: 12.20–13.30), compared with 7.35% of Influenza B cases (95% CI: 6.27–8.61), corresponding to an absolute difference of 5.39 percentage points. This finding supports the interpretation that Influenza A was associated with a more severe hospitalized profile in 2024, </w:t>
      </w:r>
      <w:r w:rsidR="00456128" w:rsidRPr="00456128">
        <w:rPr>
          <w:rFonts w:ascii="Times New Roman" w:hAnsi="Times New Roman" w:cs="Times New Roman"/>
        </w:rPr>
        <w:t xml:space="preserve">characterized </w:t>
      </w:r>
      <w:r w:rsidR="00456128" w:rsidRPr="00456128">
        <w:rPr>
          <w:rFonts w:ascii="Times New Roman" w:hAnsi="Times New Roman" w:cs="Times New Roman"/>
        </w:rPr>
        <w:lastRenderedPageBreak/>
        <w:t>by a higher burden of chronic comorbidities, greater respiratory severity, and higher mortality</w:t>
      </w:r>
      <w:r w:rsidR="00456128">
        <w:rPr>
          <w:rFonts w:ascii="Times New Roman" w:hAnsi="Times New Roman" w:cs="Times New Roman"/>
        </w:rPr>
        <w:t xml:space="preserve"> </w:t>
      </w:r>
      <w:r w:rsidR="00A54E0D" w:rsidRPr="00A54E0D">
        <w:rPr>
          <w:rFonts w:ascii="Times New Roman" w:hAnsi="Times New Roman" w:cs="Times New Roman"/>
        </w:rPr>
        <w:t>(table S</w:t>
      </w:r>
      <w:r w:rsidR="00A54E0D">
        <w:rPr>
          <w:rFonts w:ascii="Times New Roman" w:hAnsi="Times New Roman" w:cs="Times New Roman"/>
        </w:rPr>
        <w:t>2</w:t>
      </w:r>
      <w:r w:rsidR="00A54E0D" w:rsidRPr="00A54E0D">
        <w:rPr>
          <w:rFonts w:ascii="Times New Roman" w:hAnsi="Times New Roman" w:cs="Times New Roman"/>
        </w:rPr>
        <w:t>).</w:t>
      </w:r>
    </w:p>
    <w:p w14:paraId="141930DC" w14:textId="77777777" w:rsidR="005011EC" w:rsidRPr="003C79F0" w:rsidRDefault="005011EC" w:rsidP="005011EC">
      <w:pPr>
        <w:spacing w:after="0" w:line="360" w:lineRule="auto"/>
        <w:ind w:firstLine="851"/>
        <w:jc w:val="both"/>
        <w:rPr>
          <w:rFonts w:ascii="Times New Roman" w:hAnsi="Times New Roman" w:cs="Times New Roman"/>
        </w:rPr>
      </w:pPr>
    </w:p>
    <w:p w14:paraId="360226B2" w14:textId="77777777" w:rsidR="00AD6955" w:rsidRDefault="00AD6955" w:rsidP="007D4795">
      <w:pPr>
        <w:spacing w:after="0" w:line="240" w:lineRule="auto"/>
        <w:jc w:val="both"/>
        <w:rPr>
          <w:rFonts w:ascii="Times New Roman" w:hAnsi="Times New Roman" w:cs="Times New Roman"/>
          <w:b/>
          <w:bCs/>
        </w:rPr>
        <w:sectPr w:rsidR="00AD6955" w:rsidSect="003F1BAE">
          <w:pgSz w:w="11906" w:h="16838"/>
          <w:pgMar w:top="1417" w:right="1701" w:bottom="1417" w:left="1701" w:header="708" w:footer="708" w:gutter="0"/>
          <w:cols w:space="708"/>
          <w:docGrid w:linePitch="360"/>
        </w:sectPr>
      </w:pPr>
    </w:p>
    <w:p w14:paraId="1F772931" w14:textId="77777777" w:rsidR="007D4795" w:rsidRPr="007D4795" w:rsidRDefault="007D4795" w:rsidP="007D4795">
      <w:pPr>
        <w:spacing w:after="0" w:line="240" w:lineRule="auto"/>
        <w:jc w:val="both"/>
        <w:rPr>
          <w:rFonts w:ascii="Times New Roman" w:hAnsi="Times New Roman" w:cs="Times New Roman"/>
        </w:rPr>
      </w:pPr>
      <w:r w:rsidRPr="007D4795">
        <w:rPr>
          <w:rFonts w:ascii="Times New Roman" w:hAnsi="Times New Roman" w:cs="Times New Roman"/>
          <w:b/>
          <w:bCs/>
        </w:rPr>
        <w:lastRenderedPageBreak/>
        <w:t xml:space="preserve">Table S2 – </w:t>
      </w:r>
      <w:r w:rsidRPr="007D4795">
        <w:rPr>
          <w:rFonts w:ascii="Times New Roman" w:hAnsi="Times New Roman" w:cs="Times New Roman"/>
        </w:rPr>
        <w:t>Prevalence of demographic characteristics, symptoms, comorbidities, preventive and therapeutic interventions, and outcomes among hospitalized patients with Influenza A and Influenza B in Brazil, 2024.</w:t>
      </w:r>
    </w:p>
    <w:tbl>
      <w:tblPr>
        <w:tblStyle w:val="SimplesTabela2"/>
        <w:tblW w:w="14558" w:type="dxa"/>
        <w:tblLook w:val="06A0" w:firstRow="1" w:lastRow="0" w:firstColumn="1" w:lastColumn="0" w:noHBand="1" w:noVBand="1"/>
      </w:tblPr>
      <w:tblGrid>
        <w:gridCol w:w="4909"/>
        <w:gridCol w:w="2008"/>
        <w:gridCol w:w="1989"/>
        <w:gridCol w:w="1694"/>
        <w:gridCol w:w="1694"/>
        <w:gridCol w:w="2264"/>
      </w:tblGrid>
      <w:tr w:rsidR="007D4795" w:rsidRPr="007D4795" w14:paraId="5F727359" w14:textId="77777777" w:rsidTr="00EC183B">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3973F24D" w14:textId="77777777" w:rsidR="007D4795" w:rsidRPr="007D4795" w:rsidRDefault="007D4795" w:rsidP="007D4795">
            <w:pPr>
              <w:spacing w:line="360" w:lineRule="auto"/>
              <w:jc w:val="both"/>
              <w:rPr>
                <w:rFonts w:ascii="Times New Roman" w:hAnsi="Times New Roman" w:cs="Times New Roman"/>
                <w:sz w:val="20"/>
                <w:szCs w:val="20"/>
              </w:rPr>
            </w:pPr>
            <w:r w:rsidRPr="007D4795">
              <w:rPr>
                <w:rFonts w:ascii="Times New Roman" w:hAnsi="Times New Roman" w:cs="Times New Roman"/>
                <w:sz w:val="20"/>
                <w:szCs w:val="20"/>
              </w:rPr>
              <w:t>Variable</w:t>
            </w:r>
          </w:p>
        </w:tc>
        <w:tc>
          <w:tcPr>
            <w:tcW w:w="2008" w:type="dxa"/>
            <w:hideMark/>
          </w:tcPr>
          <w:p w14:paraId="2D8F36DE" w14:textId="4CC9402E" w:rsidR="005C3045" w:rsidRDefault="007D4795" w:rsidP="006027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D4795">
              <w:rPr>
                <w:rFonts w:ascii="Times New Roman" w:hAnsi="Times New Roman" w:cs="Times New Roman"/>
                <w:sz w:val="20"/>
                <w:szCs w:val="20"/>
              </w:rPr>
              <w:t>Influenza A</w:t>
            </w:r>
          </w:p>
          <w:p w14:paraId="302341F9" w14:textId="51B87C8E" w:rsidR="007D4795" w:rsidRPr="007D4795" w:rsidRDefault="007D4795" w:rsidP="006027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n</w:t>
            </w:r>
            <w:r w:rsidR="005C3045">
              <w:rPr>
                <w:rFonts w:ascii="Times New Roman" w:hAnsi="Times New Roman" w:cs="Times New Roman"/>
                <w:sz w:val="20"/>
                <w:szCs w:val="20"/>
              </w:rPr>
              <w:t xml:space="preserve"> </w:t>
            </w:r>
            <w:r w:rsidRPr="007D4795">
              <w:rPr>
                <w:rFonts w:ascii="Times New Roman" w:hAnsi="Times New Roman" w:cs="Times New Roman"/>
                <w:sz w:val="20"/>
                <w:szCs w:val="20"/>
              </w:rPr>
              <w:t>(%)</w:t>
            </w:r>
          </w:p>
        </w:tc>
        <w:tc>
          <w:tcPr>
            <w:tcW w:w="1989" w:type="dxa"/>
            <w:hideMark/>
          </w:tcPr>
          <w:p w14:paraId="53A6CAAB" w14:textId="77777777" w:rsidR="007D4795" w:rsidRPr="007D4795" w:rsidRDefault="007D4795" w:rsidP="006027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95% CI</w:t>
            </w:r>
          </w:p>
        </w:tc>
        <w:tc>
          <w:tcPr>
            <w:tcW w:w="1694" w:type="dxa"/>
            <w:hideMark/>
          </w:tcPr>
          <w:p w14:paraId="41DCC047" w14:textId="77777777" w:rsidR="005C3045" w:rsidRDefault="007D4795" w:rsidP="006027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D4795">
              <w:rPr>
                <w:rFonts w:ascii="Times New Roman" w:hAnsi="Times New Roman" w:cs="Times New Roman"/>
                <w:sz w:val="20"/>
                <w:szCs w:val="20"/>
              </w:rPr>
              <w:t>Influenza B</w:t>
            </w:r>
          </w:p>
          <w:p w14:paraId="40B9DA76" w14:textId="1BC3CEAF" w:rsidR="007D4795" w:rsidRPr="007D4795" w:rsidRDefault="007D4795" w:rsidP="006027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n (%)</w:t>
            </w:r>
          </w:p>
        </w:tc>
        <w:tc>
          <w:tcPr>
            <w:tcW w:w="1694" w:type="dxa"/>
            <w:hideMark/>
          </w:tcPr>
          <w:p w14:paraId="34FEC0A0" w14:textId="77777777" w:rsidR="007D4795" w:rsidRPr="007D4795" w:rsidRDefault="007D4795" w:rsidP="006027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95% CI</w:t>
            </w:r>
          </w:p>
        </w:tc>
        <w:tc>
          <w:tcPr>
            <w:tcW w:w="0" w:type="auto"/>
            <w:hideMark/>
          </w:tcPr>
          <w:p w14:paraId="2C309936" w14:textId="77777777" w:rsidR="007D4795" w:rsidRPr="007D4795" w:rsidRDefault="007D4795" w:rsidP="006027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Difference A–B, pp</w:t>
            </w:r>
          </w:p>
        </w:tc>
      </w:tr>
      <w:tr w:rsidR="007D4795" w:rsidRPr="007D4795" w14:paraId="38B6109D" w14:textId="77777777" w:rsidTr="00EC183B">
        <w:trPr>
          <w:trHeight w:val="119"/>
        </w:trPr>
        <w:tc>
          <w:tcPr>
            <w:cnfStyle w:val="001000000000" w:firstRow="0" w:lastRow="0" w:firstColumn="1" w:lastColumn="0" w:oddVBand="0" w:evenVBand="0" w:oddHBand="0" w:evenHBand="0" w:firstRowFirstColumn="0" w:firstRowLastColumn="0" w:lastRowFirstColumn="0" w:lastRowLastColumn="0"/>
            <w:tcW w:w="0" w:type="auto"/>
            <w:hideMark/>
          </w:tcPr>
          <w:p w14:paraId="44C00927" w14:textId="77777777" w:rsidR="007D4795" w:rsidRPr="007D4795" w:rsidRDefault="007D4795" w:rsidP="007D4795">
            <w:pPr>
              <w:spacing w:line="360" w:lineRule="auto"/>
              <w:jc w:val="both"/>
              <w:rPr>
                <w:rFonts w:ascii="Times New Roman" w:hAnsi="Times New Roman" w:cs="Times New Roman"/>
                <w:sz w:val="20"/>
                <w:szCs w:val="20"/>
              </w:rPr>
            </w:pPr>
            <w:r w:rsidRPr="007D4795">
              <w:rPr>
                <w:rFonts w:ascii="Times New Roman" w:hAnsi="Times New Roman" w:cs="Times New Roman"/>
                <w:sz w:val="20"/>
                <w:szCs w:val="20"/>
              </w:rPr>
              <w:t>Demographic characteristic</w:t>
            </w:r>
          </w:p>
        </w:tc>
        <w:tc>
          <w:tcPr>
            <w:tcW w:w="2008" w:type="dxa"/>
            <w:hideMark/>
          </w:tcPr>
          <w:p w14:paraId="162C059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9" w:type="dxa"/>
            <w:hideMark/>
          </w:tcPr>
          <w:p w14:paraId="31E0602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07D6A02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4FC9B62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hideMark/>
          </w:tcPr>
          <w:p w14:paraId="085ED24A"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D4795" w:rsidRPr="007D4795" w14:paraId="721876CB"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3BA82590"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Male sex</w:t>
            </w:r>
          </w:p>
        </w:tc>
        <w:tc>
          <w:tcPr>
            <w:tcW w:w="2008" w:type="dxa"/>
            <w:hideMark/>
          </w:tcPr>
          <w:p w14:paraId="3CB5C69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6,825 (48.48)</w:t>
            </w:r>
          </w:p>
        </w:tc>
        <w:tc>
          <w:tcPr>
            <w:tcW w:w="1989" w:type="dxa"/>
            <w:hideMark/>
          </w:tcPr>
          <w:p w14:paraId="248FD74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47.66–49.31</w:t>
            </w:r>
          </w:p>
        </w:tc>
        <w:tc>
          <w:tcPr>
            <w:tcW w:w="1694" w:type="dxa"/>
            <w:hideMark/>
          </w:tcPr>
          <w:p w14:paraId="3D41E15C"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934 (48.70)</w:t>
            </w:r>
          </w:p>
        </w:tc>
        <w:tc>
          <w:tcPr>
            <w:tcW w:w="1694" w:type="dxa"/>
            <w:hideMark/>
          </w:tcPr>
          <w:p w14:paraId="236F4CD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46.46–50.93</w:t>
            </w:r>
          </w:p>
        </w:tc>
        <w:tc>
          <w:tcPr>
            <w:tcW w:w="0" w:type="auto"/>
            <w:hideMark/>
          </w:tcPr>
          <w:p w14:paraId="7FE43D8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-0.21</w:t>
            </w:r>
          </w:p>
        </w:tc>
      </w:tr>
      <w:tr w:rsidR="007D4795" w:rsidRPr="007D4795" w14:paraId="53F90179"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2F92508B" w14:textId="77777777" w:rsidR="007D4795" w:rsidRPr="007D4795" w:rsidRDefault="007D4795" w:rsidP="007D4795">
            <w:pPr>
              <w:spacing w:line="360" w:lineRule="auto"/>
              <w:jc w:val="both"/>
              <w:rPr>
                <w:rFonts w:ascii="Times New Roman" w:hAnsi="Times New Roman" w:cs="Times New Roman"/>
                <w:sz w:val="20"/>
                <w:szCs w:val="20"/>
              </w:rPr>
            </w:pPr>
            <w:r w:rsidRPr="007D4795">
              <w:rPr>
                <w:rFonts w:ascii="Times New Roman" w:hAnsi="Times New Roman" w:cs="Times New Roman"/>
                <w:sz w:val="20"/>
                <w:szCs w:val="20"/>
              </w:rPr>
              <w:t>Symptoms and respiratory severity markers</w:t>
            </w:r>
          </w:p>
        </w:tc>
        <w:tc>
          <w:tcPr>
            <w:tcW w:w="2008" w:type="dxa"/>
            <w:hideMark/>
          </w:tcPr>
          <w:p w14:paraId="1B28B5A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9" w:type="dxa"/>
            <w:hideMark/>
          </w:tcPr>
          <w:p w14:paraId="03CD49E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7599811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1CF9CBC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hideMark/>
          </w:tcPr>
          <w:p w14:paraId="360AB61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D4795" w:rsidRPr="007D4795" w14:paraId="5A46D0E7"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12BA6CBB"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Cough</w:t>
            </w:r>
          </w:p>
        </w:tc>
        <w:tc>
          <w:tcPr>
            <w:tcW w:w="2008" w:type="dxa"/>
            <w:hideMark/>
          </w:tcPr>
          <w:p w14:paraId="14E9F96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11,399 (80.98)</w:t>
            </w:r>
          </w:p>
        </w:tc>
        <w:tc>
          <w:tcPr>
            <w:tcW w:w="1989" w:type="dxa"/>
            <w:hideMark/>
          </w:tcPr>
          <w:p w14:paraId="6F10E7F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80.32–81.62</w:t>
            </w:r>
          </w:p>
        </w:tc>
        <w:tc>
          <w:tcPr>
            <w:tcW w:w="1694" w:type="dxa"/>
            <w:hideMark/>
          </w:tcPr>
          <w:p w14:paraId="769FAD8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1,530 (79.77)</w:t>
            </w:r>
          </w:p>
        </w:tc>
        <w:tc>
          <w:tcPr>
            <w:tcW w:w="1694" w:type="dxa"/>
            <w:hideMark/>
          </w:tcPr>
          <w:p w14:paraId="66D0A98C"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77.91–81.51</w:t>
            </w:r>
          </w:p>
        </w:tc>
        <w:tc>
          <w:tcPr>
            <w:tcW w:w="0" w:type="auto"/>
            <w:hideMark/>
          </w:tcPr>
          <w:p w14:paraId="6E053EC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1.21</w:t>
            </w:r>
          </w:p>
        </w:tc>
      </w:tr>
      <w:tr w:rsidR="007D4795" w:rsidRPr="007D4795" w14:paraId="3317806E"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69C92221"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Fever</w:t>
            </w:r>
          </w:p>
        </w:tc>
        <w:tc>
          <w:tcPr>
            <w:tcW w:w="2008" w:type="dxa"/>
            <w:hideMark/>
          </w:tcPr>
          <w:p w14:paraId="642F41A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10,087 (71.66)</w:t>
            </w:r>
          </w:p>
        </w:tc>
        <w:tc>
          <w:tcPr>
            <w:tcW w:w="1989" w:type="dxa"/>
            <w:hideMark/>
          </w:tcPr>
          <w:p w14:paraId="03F577B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70.91–72.39</w:t>
            </w:r>
          </w:p>
        </w:tc>
        <w:tc>
          <w:tcPr>
            <w:tcW w:w="1694" w:type="dxa"/>
            <w:hideMark/>
          </w:tcPr>
          <w:p w14:paraId="7AFE39C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1,475 (76.90)</w:t>
            </w:r>
          </w:p>
        </w:tc>
        <w:tc>
          <w:tcPr>
            <w:tcW w:w="1694" w:type="dxa"/>
            <w:hideMark/>
          </w:tcPr>
          <w:p w14:paraId="05FAD3F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74.96–78.73</w:t>
            </w:r>
          </w:p>
        </w:tc>
        <w:tc>
          <w:tcPr>
            <w:tcW w:w="0" w:type="auto"/>
            <w:hideMark/>
          </w:tcPr>
          <w:p w14:paraId="02A29AC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-5.25</w:t>
            </w:r>
          </w:p>
        </w:tc>
      </w:tr>
      <w:tr w:rsidR="007D4795" w:rsidRPr="007D4795" w14:paraId="78E944C0"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27A6DD26"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Dyspnea</w:t>
            </w:r>
          </w:p>
        </w:tc>
        <w:tc>
          <w:tcPr>
            <w:tcW w:w="2008" w:type="dxa"/>
            <w:hideMark/>
          </w:tcPr>
          <w:p w14:paraId="477EB57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8,824 (62.68)</w:t>
            </w:r>
          </w:p>
        </w:tc>
        <w:tc>
          <w:tcPr>
            <w:tcW w:w="1989" w:type="dxa"/>
            <w:hideMark/>
          </w:tcPr>
          <w:p w14:paraId="6304C56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61.88–63.48</w:t>
            </w:r>
          </w:p>
        </w:tc>
        <w:tc>
          <w:tcPr>
            <w:tcW w:w="1694" w:type="dxa"/>
            <w:hideMark/>
          </w:tcPr>
          <w:p w14:paraId="491640E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947 (49.37)</w:t>
            </w:r>
          </w:p>
        </w:tc>
        <w:tc>
          <w:tcPr>
            <w:tcW w:w="1694" w:type="dxa"/>
            <w:hideMark/>
          </w:tcPr>
          <w:p w14:paraId="75C4F67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47.14–51.61</w:t>
            </w:r>
          </w:p>
        </w:tc>
        <w:tc>
          <w:tcPr>
            <w:tcW w:w="0" w:type="auto"/>
            <w:hideMark/>
          </w:tcPr>
          <w:p w14:paraId="203052E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13.31</w:t>
            </w:r>
          </w:p>
        </w:tc>
      </w:tr>
      <w:tr w:rsidR="007D4795" w:rsidRPr="007D4795" w14:paraId="7E9CFB0E"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27FF7BFA"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Respiratory distress</w:t>
            </w:r>
          </w:p>
        </w:tc>
        <w:tc>
          <w:tcPr>
            <w:tcW w:w="2008" w:type="dxa"/>
            <w:hideMark/>
          </w:tcPr>
          <w:p w14:paraId="0F43F3F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8,441 (59.96)</w:t>
            </w:r>
          </w:p>
        </w:tc>
        <w:tc>
          <w:tcPr>
            <w:tcW w:w="1989" w:type="dxa"/>
            <w:hideMark/>
          </w:tcPr>
          <w:p w14:paraId="3CF35C3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59.15–60.77</w:t>
            </w:r>
          </w:p>
        </w:tc>
        <w:tc>
          <w:tcPr>
            <w:tcW w:w="1694" w:type="dxa"/>
            <w:hideMark/>
          </w:tcPr>
          <w:p w14:paraId="5F26869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1,019 (53.13)</w:t>
            </w:r>
          </w:p>
        </w:tc>
        <w:tc>
          <w:tcPr>
            <w:tcW w:w="1694" w:type="dxa"/>
            <w:hideMark/>
          </w:tcPr>
          <w:p w14:paraId="6407624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50.89–55.35</w:t>
            </w:r>
          </w:p>
        </w:tc>
        <w:tc>
          <w:tcPr>
            <w:tcW w:w="0" w:type="auto"/>
            <w:hideMark/>
          </w:tcPr>
          <w:p w14:paraId="0A51C91C"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6.83</w:t>
            </w:r>
          </w:p>
        </w:tc>
      </w:tr>
      <w:tr w:rsidR="007D4795" w:rsidRPr="007D4795" w14:paraId="110D97D5"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675837A7"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O2 saturation &lt;95%</w:t>
            </w:r>
          </w:p>
        </w:tc>
        <w:tc>
          <w:tcPr>
            <w:tcW w:w="2008" w:type="dxa"/>
            <w:hideMark/>
          </w:tcPr>
          <w:p w14:paraId="3E5BED5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7,398 (52.55)</w:t>
            </w:r>
          </w:p>
        </w:tc>
        <w:tc>
          <w:tcPr>
            <w:tcW w:w="1989" w:type="dxa"/>
            <w:hideMark/>
          </w:tcPr>
          <w:p w14:paraId="67ACFD1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51.73–53.38</w:t>
            </w:r>
          </w:p>
        </w:tc>
        <w:tc>
          <w:tcPr>
            <w:tcW w:w="1694" w:type="dxa"/>
            <w:hideMark/>
          </w:tcPr>
          <w:p w14:paraId="727751E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809 (42.18)</w:t>
            </w:r>
          </w:p>
        </w:tc>
        <w:tc>
          <w:tcPr>
            <w:tcW w:w="1694" w:type="dxa"/>
            <w:hideMark/>
          </w:tcPr>
          <w:p w14:paraId="668EA56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39.99–44.40</w:t>
            </w:r>
          </w:p>
        </w:tc>
        <w:tc>
          <w:tcPr>
            <w:tcW w:w="0" w:type="auto"/>
            <w:hideMark/>
          </w:tcPr>
          <w:p w14:paraId="096C0BC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10.37</w:t>
            </w:r>
          </w:p>
        </w:tc>
      </w:tr>
      <w:tr w:rsidR="007D4795" w:rsidRPr="007D4795" w14:paraId="6A388D47"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5186907B"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Fatigue</w:t>
            </w:r>
          </w:p>
        </w:tc>
        <w:tc>
          <w:tcPr>
            <w:tcW w:w="2008" w:type="dxa"/>
            <w:hideMark/>
          </w:tcPr>
          <w:p w14:paraId="3261B12D"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2,731 (19.40)</w:t>
            </w:r>
          </w:p>
        </w:tc>
        <w:tc>
          <w:tcPr>
            <w:tcW w:w="1989" w:type="dxa"/>
            <w:hideMark/>
          </w:tcPr>
          <w:p w14:paraId="68D6D3CD"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18.76–20.06</w:t>
            </w:r>
          </w:p>
        </w:tc>
        <w:tc>
          <w:tcPr>
            <w:tcW w:w="1694" w:type="dxa"/>
            <w:hideMark/>
          </w:tcPr>
          <w:p w14:paraId="1488521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354 (18.46)</w:t>
            </w:r>
          </w:p>
        </w:tc>
        <w:tc>
          <w:tcPr>
            <w:tcW w:w="1694" w:type="dxa"/>
            <w:hideMark/>
          </w:tcPr>
          <w:p w14:paraId="4CC2F8ED"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16.78–20.26</w:t>
            </w:r>
          </w:p>
        </w:tc>
        <w:tc>
          <w:tcPr>
            <w:tcW w:w="0" w:type="auto"/>
            <w:hideMark/>
          </w:tcPr>
          <w:p w14:paraId="6ED4867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0.94</w:t>
            </w:r>
          </w:p>
        </w:tc>
      </w:tr>
      <w:tr w:rsidR="007D4795" w:rsidRPr="007D4795" w14:paraId="78E291FC"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1690C03A"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Sore throat</w:t>
            </w:r>
          </w:p>
        </w:tc>
        <w:tc>
          <w:tcPr>
            <w:tcW w:w="2008" w:type="dxa"/>
            <w:hideMark/>
          </w:tcPr>
          <w:p w14:paraId="4A2B25F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2,045 (14.53)</w:t>
            </w:r>
          </w:p>
        </w:tc>
        <w:tc>
          <w:tcPr>
            <w:tcW w:w="1989" w:type="dxa"/>
            <w:hideMark/>
          </w:tcPr>
          <w:p w14:paraId="745C7E1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13.95–15.12</w:t>
            </w:r>
          </w:p>
        </w:tc>
        <w:tc>
          <w:tcPr>
            <w:tcW w:w="1694" w:type="dxa"/>
            <w:hideMark/>
          </w:tcPr>
          <w:p w14:paraId="1B5D76B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328 (17.10)</w:t>
            </w:r>
          </w:p>
        </w:tc>
        <w:tc>
          <w:tcPr>
            <w:tcW w:w="1694" w:type="dxa"/>
            <w:hideMark/>
          </w:tcPr>
          <w:p w14:paraId="6BA0462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15.48–18.85</w:t>
            </w:r>
          </w:p>
        </w:tc>
        <w:tc>
          <w:tcPr>
            <w:tcW w:w="0" w:type="auto"/>
            <w:hideMark/>
          </w:tcPr>
          <w:p w14:paraId="7EB1750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-2.57</w:t>
            </w:r>
          </w:p>
        </w:tc>
      </w:tr>
      <w:tr w:rsidR="007D4795" w:rsidRPr="007D4795" w14:paraId="09962483"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27075CAC"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Vomiting</w:t>
            </w:r>
          </w:p>
        </w:tc>
        <w:tc>
          <w:tcPr>
            <w:tcW w:w="2008" w:type="dxa"/>
            <w:hideMark/>
          </w:tcPr>
          <w:p w14:paraId="607AEA2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1,835 (13.04)</w:t>
            </w:r>
          </w:p>
        </w:tc>
        <w:tc>
          <w:tcPr>
            <w:tcW w:w="1989" w:type="dxa"/>
            <w:hideMark/>
          </w:tcPr>
          <w:p w14:paraId="6675D8C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12.49–13.60</w:t>
            </w:r>
          </w:p>
        </w:tc>
        <w:tc>
          <w:tcPr>
            <w:tcW w:w="1694" w:type="dxa"/>
            <w:hideMark/>
          </w:tcPr>
          <w:p w14:paraId="520AE2E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324 (16.89)</w:t>
            </w:r>
          </w:p>
        </w:tc>
        <w:tc>
          <w:tcPr>
            <w:tcW w:w="1694" w:type="dxa"/>
            <w:hideMark/>
          </w:tcPr>
          <w:p w14:paraId="06AF74C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15.28–18.64</w:t>
            </w:r>
          </w:p>
        </w:tc>
        <w:tc>
          <w:tcPr>
            <w:tcW w:w="0" w:type="auto"/>
            <w:hideMark/>
          </w:tcPr>
          <w:p w14:paraId="141F233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-3.86</w:t>
            </w:r>
          </w:p>
        </w:tc>
      </w:tr>
      <w:tr w:rsidR="007D4795" w:rsidRPr="007D4795" w14:paraId="453FE49F"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600365EB"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Diarrhea</w:t>
            </w:r>
          </w:p>
        </w:tc>
        <w:tc>
          <w:tcPr>
            <w:tcW w:w="2008" w:type="dxa"/>
            <w:hideMark/>
          </w:tcPr>
          <w:p w14:paraId="7D69C84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1,332 (9.46)</w:t>
            </w:r>
          </w:p>
        </w:tc>
        <w:tc>
          <w:tcPr>
            <w:tcW w:w="1989" w:type="dxa"/>
            <w:hideMark/>
          </w:tcPr>
          <w:p w14:paraId="5E3538D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8.99–9.96</w:t>
            </w:r>
          </w:p>
        </w:tc>
        <w:tc>
          <w:tcPr>
            <w:tcW w:w="1694" w:type="dxa"/>
            <w:hideMark/>
          </w:tcPr>
          <w:p w14:paraId="3AD1687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194 (10.11)</w:t>
            </w:r>
          </w:p>
        </w:tc>
        <w:tc>
          <w:tcPr>
            <w:tcW w:w="1694" w:type="dxa"/>
            <w:hideMark/>
          </w:tcPr>
          <w:p w14:paraId="0EA276F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8.84–11.54</w:t>
            </w:r>
          </w:p>
        </w:tc>
        <w:tc>
          <w:tcPr>
            <w:tcW w:w="0" w:type="auto"/>
            <w:hideMark/>
          </w:tcPr>
          <w:p w14:paraId="09BA259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-0.65</w:t>
            </w:r>
          </w:p>
        </w:tc>
      </w:tr>
      <w:tr w:rsidR="007D4795" w:rsidRPr="007D4795" w14:paraId="7802D3FD"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3F328366"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Abdominal pain</w:t>
            </w:r>
          </w:p>
        </w:tc>
        <w:tc>
          <w:tcPr>
            <w:tcW w:w="2008" w:type="dxa"/>
            <w:hideMark/>
          </w:tcPr>
          <w:p w14:paraId="0FE7BF8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1,013 (7.20)</w:t>
            </w:r>
          </w:p>
        </w:tc>
        <w:tc>
          <w:tcPr>
            <w:tcW w:w="1989" w:type="dxa"/>
            <w:hideMark/>
          </w:tcPr>
          <w:p w14:paraId="48AAEE2A"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6.78–7.63</w:t>
            </w:r>
          </w:p>
        </w:tc>
        <w:tc>
          <w:tcPr>
            <w:tcW w:w="1694" w:type="dxa"/>
            <w:hideMark/>
          </w:tcPr>
          <w:p w14:paraId="607F987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184 (9.59)</w:t>
            </w:r>
          </w:p>
        </w:tc>
        <w:tc>
          <w:tcPr>
            <w:tcW w:w="1694" w:type="dxa"/>
            <w:hideMark/>
          </w:tcPr>
          <w:p w14:paraId="1A09444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8.35–10.99</w:t>
            </w:r>
          </w:p>
        </w:tc>
        <w:tc>
          <w:tcPr>
            <w:tcW w:w="0" w:type="auto"/>
            <w:hideMark/>
          </w:tcPr>
          <w:p w14:paraId="708D4E5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-2.40</w:t>
            </w:r>
          </w:p>
        </w:tc>
      </w:tr>
      <w:tr w:rsidR="007D4795" w:rsidRPr="007D4795" w14:paraId="6E807B02"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1F8B8B45"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Loss of smell</w:t>
            </w:r>
          </w:p>
        </w:tc>
        <w:tc>
          <w:tcPr>
            <w:tcW w:w="2008" w:type="dxa"/>
            <w:hideMark/>
          </w:tcPr>
          <w:p w14:paraId="476AA15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236 (1.68)</w:t>
            </w:r>
          </w:p>
        </w:tc>
        <w:tc>
          <w:tcPr>
            <w:tcW w:w="1989" w:type="dxa"/>
            <w:hideMark/>
          </w:tcPr>
          <w:p w14:paraId="60BD820A"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1.48–1.90</w:t>
            </w:r>
          </w:p>
        </w:tc>
        <w:tc>
          <w:tcPr>
            <w:tcW w:w="1694" w:type="dxa"/>
            <w:hideMark/>
          </w:tcPr>
          <w:p w14:paraId="6132B33D"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24 (1.25)</w:t>
            </w:r>
          </w:p>
        </w:tc>
        <w:tc>
          <w:tcPr>
            <w:tcW w:w="1694" w:type="dxa"/>
            <w:hideMark/>
          </w:tcPr>
          <w:p w14:paraId="711323C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0.84–1.86</w:t>
            </w:r>
          </w:p>
        </w:tc>
        <w:tc>
          <w:tcPr>
            <w:tcW w:w="0" w:type="auto"/>
            <w:hideMark/>
          </w:tcPr>
          <w:p w14:paraId="06510D8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0.43</w:t>
            </w:r>
          </w:p>
        </w:tc>
      </w:tr>
      <w:tr w:rsidR="007D4795" w:rsidRPr="007D4795" w14:paraId="0350B9FF"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51FBF7CF"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Loss of taste</w:t>
            </w:r>
          </w:p>
        </w:tc>
        <w:tc>
          <w:tcPr>
            <w:tcW w:w="2008" w:type="dxa"/>
            <w:hideMark/>
          </w:tcPr>
          <w:p w14:paraId="4A5E923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223 (1.58)</w:t>
            </w:r>
          </w:p>
        </w:tc>
        <w:tc>
          <w:tcPr>
            <w:tcW w:w="1989" w:type="dxa"/>
            <w:hideMark/>
          </w:tcPr>
          <w:p w14:paraId="291D50C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1.39–1.80</w:t>
            </w:r>
          </w:p>
        </w:tc>
        <w:tc>
          <w:tcPr>
            <w:tcW w:w="1694" w:type="dxa"/>
            <w:hideMark/>
          </w:tcPr>
          <w:p w14:paraId="64AFDC1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28 (1.46)</w:t>
            </w:r>
          </w:p>
        </w:tc>
        <w:tc>
          <w:tcPr>
            <w:tcW w:w="1694" w:type="dxa"/>
            <w:hideMark/>
          </w:tcPr>
          <w:p w14:paraId="499B78B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1.01–2.10</w:t>
            </w:r>
          </w:p>
        </w:tc>
        <w:tc>
          <w:tcPr>
            <w:tcW w:w="0" w:type="auto"/>
            <w:hideMark/>
          </w:tcPr>
          <w:p w14:paraId="6C72987C"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0.12</w:t>
            </w:r>
          </w:p>
        </w:tc>
      </w:tr>
      <w:tr w:rsidR="007D4795" w:rsidRPr="007D4795" w14:paraId="7D370802" w14:textId="77777777" w:rsidTr="00EC183B">
        <w:trPr>
          <w:trHeight w:val="119"/>
        </w:trPr>
        <w:tc>
          <w:tcPr>
            <w:cnfStyle w:val="001000000000" w:firstRow="0" w:lastRow="0" w:firstColumn="1" w:lastColumn="0" w:oddVBand="0" w:evenVBand="0" w:oddHBand="0" w:evenHBand="0" w:firstRowFirstColumn="0" w:firstRowLastColumn="0" w:lastRowFirstColumn="0" w:lastRowLastColumn="0"/>
            <w:tcW w:w="0" w:type="auto"/>
            <w:hideMark/>
          </w:tcPr>
          <w:p w14:paraId="4AFC234F" w14:textId="77777777" w:rsidR="007D4795" w:rsidRPr="007D4795" w:rsidRDefault="007D4795" w:rsidP="007D4795">
            <w:pPr>
              <w:spacing w:line="360" w:lineRule="auto"/>
              <w:jc w:val="both"/>
              <w:rPr>
                <w:rFonts w:ascii="Times New Roman" w:hAnsi="Times New Roman" w:cs="Times New Roman"/>
                <w:sz w:val="20"/>
                <w:szCs w:val="20"/>
              </w:rPr>
            </w:pPr>
            <w:r w:rsidRPr="007D4795">
              <w:rPr>
                <w:rFonts w:ascii="Times New Roman" w:hAnsi="Times New Roman" w:cs="Times New Roman"/>
                <w:sz w:val="20"/>
                <w:szCs w:val="20"/>
              </w:rPr>
              <w:t>Comorbidities</w:t>
            </w:r>
          </w:p>
        </w:tc>
        <w:tc>
          <w:tcPr>
            <w:tcW w:w="2008" w:type="dxa"/>
            <w:hideMark/>
          </w:tcPr>
          <w:p w14:paraId="45E365F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9" w:type="dxa"/>
            <w:hideMark/>
          </w:tcPr>
          <w:p w14:paraId="3FCBA48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027382D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246E797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hideMark/>
          </w:tcPr>
          <w:p w14:paraId="3D36DFDD"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D4795" w:rsidRPr="007D4795" w14:paraId="348CC582"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433B360E"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Chronic cardiovascular disease</w:t>
            </w:r>
          </w:p>
        </w:tc>
        <w:tc>
          <w:tcPr>
            <w:tcW w:w="2008" w:type="dxa"/>
            <w:hideMark/>
          </w:tcPr>
          <w:p w14:paraId="51957E5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3,270 (23.23)</w:t>
            </w:r>
          </w:p>
        </w:tc>
        <w:tc>
          <w:tcPr>
            <w:tcW w:w="1989" w:type="dxa"/>
            <w:hideMark/>
          </w:tcPr>
          <w:p w14:paraId="6F1CC5D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22.54–23.93</w:t>
            </w:r>
          </w:p>
        </w:tc>
        <w:tc>
          <w:tcPr>
            <w:tcW w:w="1694" w:type="dxa"/>
            <w:hideMark/>
          </w:tcPr>
          <w:p w14:paraId="3DDEBB1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179 (9.33)</w:t>
            </w:r>
          </w:p>
        </w:tc>
        <w:tc>
          <w:tcPr>
            <w:tcW w:w="1694" w:type="dxa"/>
            <w:hideMark/>
          </w:tcPr>
          <w:p w14:paraId="24BB860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8.11–10.72</w:t>
            </w:r>
          </w:p>
        </w:tc>
        <w:tc>
          <w:tcPr>
            <w:tcW w:w="0" w:type="auto"/>
            <w:hideMark/>
          </w:tcPr>
          <w:p w14:paraId="4911378C"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13.90</w:t>
            </w:r>
          </w:p>
        </w:tc>
      </w:tr>
      <w:tr w:rsidR="007D4795" w:rsidRPr="007D4795" w14:paraId="41C1968C"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1781E94A"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Diabetes mellitus</w:t>
            </w:r>
          </w:p>
        </w:tc>
        <w:tc>
          <w:tcPr>
            <w:tcW w:w="2008" w:type="dxa"/>
            <w:hideMark/>
          </w:tcPr>
          <w:p w14:paraId="6DDF864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1,966 (13.97)</w:t>
            </w:r>
          </w:p>
        </w:tc>
        <w:tc>
          <w:tcPr>
            <w:tcW w:w="1989" w:type="dxa"/>
            <w:hideMark/>
          </w:tcPr>
          <w:p w14:paraId="332F868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13.40–14.55</w:t>
            </w:r>
          </w:p>
        </w:tc>
        <w:tc>
          <w:tcPr>
            <w:tcW w:w="1694" w:type="dxa"/>
            <w:hideMark/>
          </w:tcPr>
          <w:p w14:paraId="41487AA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110 (5.74)</w:t>
            </w:r>
          </w:p>
        </w:tc>
        <w:tc>
          <w:tcPr>
            <w:tcW w:w="1694" w:type="dxa"/>
            <w:hideMark/>
          </w:tcPr>
          <w:p w14:paraId="1496267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4.78–6.87</w:t>
            </w:r>
          </w:p>
        </w:tc>
        <w:tc>
          <w:tcPr>
            <w:tcW w:w="0" w:type="auto"/>
            <w:hideMark/>
          </w:tcPr>
          <w:p w14:paraId="5F4DABB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8.23</w:t>
            </w:r>
          </w:p>
        </w:tc>
      </w:tr>
      <w:tr w:rsidR="007D4795" w:rsidRPr="007D4795" w14:paraId="5E98E5D0"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3AB9577F"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Other chronic pneumopathy</w:t>
            </w:r>
          </w:p>
        </w:tc>
        <w:tc>
          <w:tcPr>
            <w:tcW w:w="2008" w:type="dxa"/>
            <w:hideMark/>
          </w:tcPr>
          <w:p w14:paraId="735E666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1,126 (8.00)</w:t>
            </w:r>
          </w:p>
        </w:tc>
        <w:tc>
          <w:tcPr>
            <w:tcW w:w="1989" w:type="dxa"/>
            <w:hideMark/>
          </w:tcPr>
          <w:p w14:paraId="078C1B6C"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7.56–8.46</w:t>
            </w:r>
          </w:p>
        </w:tc>
        <w:tc>
          <w:tcPr>
            <w:tcW w:w="1694" w:type="dxa"/>
            <w:hideMark/>
          </w:tcPr>
          <w:p w14:paraId="2504BE2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65 (3.39)</w:t>
            </w:r>
          </w:p>
        </w:tc>
        <w:tc>
          <w:tcPr>
            <w:tcW w:w="1694" w:type="dxa"/>
            <w:hideMark/>
          </w:tcPr>
          <w:p w14:paraId="41FF8F5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2.67–4.30</w:t>
            </w:r>
          </w:p>
        </w:tc>
        <w:tc>
          <w:tcPr>
            <w:tcW w:w="0" w:type="auto"/>
            <w:hideMark/>
          </w:tcPr>
          <w:p w14:paraId="042A1CA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4.61</w:t>
            </w:r>
          </w:p>
        </w:tc>
      </w:tr>
      <w:tr w:rsidR="007D4795" w:rsidRPr="007D4795" w14:paraId="099BBE83"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2AB5458A"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Asthma</w:t>
            </w:r>
          </w:p>
        </w:tc>
        <w:tc>
          <w:tcPr>
            <w:tcW w:w="2008" w:type="dxa"/>
            <w:hideMark/>
          </w:tcPr>
          <w:p w14:paraId="073984F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1,059 (7.52)</w:t>
            </w:r>
          </w:p>
        </w:tc>
        <w:tc>
          <w:tcPr>
            <w:tcW w:w="1989" w:type="dxa"/>
            <w:hideMark/>
          </w:tcPr>
          <w:p w14:paraId="44AEDCA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7.10–7.97</w:t>
            </w:r>
          </w:p>
        </w:tc>
        <w:tc>
          <w:tcPr>
            <w:tcW w:w="1694" w:type="dxa"/>
            <w:hideMark/>
          </w:tcPr>
          <w:p w14:paraId="03540C9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129 (6.73)</w:t>
            </w:r>
          </w:p>
        </w:tc>
        <w:tc>
          <w:tcPr>
            <w:tcW w:w="1694" w:type="dxa"/>
            <w:hideMark/>
          </w:tcPr>
          <w:p w14:paraId="4A731A5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5.69–7.94</w:t>
            </w:r>
          </w:p>
        </w:tc>
        <w:tc>
          <w:tcPr>
            <w:tcW w:w="0" w:type="auto"/>
            <w:hideMark/>
          </w:tcPr>
          <w:p w14:paraId="3CC5C17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0.80</w:t>
            </w:r>
          </w:p>
        </w:tc>
      </w:tr>
      <w:tr w:rsidR="007D4795" w:rsidRPr="007D4795" w14:paraId="6D290994"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36E8579F"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lastRenderedPageBreak/>
              <w:t>Chronic neurological disease</w:t>
            </w:r>
          </w:p>
        </w:tc>
        <w:tc>
          <w:tcPr>
            <w:tcW w:w="2008" w:type="dxa"/>
            <w:hideMark/>
          </w:tcPr>
          <w:p w14:paraId="0A7632CD"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754 (5.36)</w:t>
            </w:r>
          </w:p>
        </w:tc>
        <w:tc>
          <w:tcPr>
            <w:tcW w:w="1989" w:type="dxa"/>
            <w:hideMark/>
          </w:tcPr>
          <w:p w14:paraId="7387934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5.00–5.74</w:t>
            </w:r>
          </w:p>
        </w:tc>
        <w:tc>
          <w:tcPr>
            <w:tcW w:w="1694" w:type="dxa"/>
            <w:hideMark/>
          </w:tcPr>
          <w:p w14:paraId="3328E19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81 (4.22)</w:t>
            </w:r>
          </w:p>
        </w:tc>
        <w:tc>
          <w:tcPr>
            <w:tcW w:w="1694" w:type="dxa"/>
            <w:hideMark/>
          </w:tcPr>
          <w:p w14:paraId="4263CBC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3.41–5.22</w:t>
            </w:r>
          </w:p>
        </w:tc>
        <w:tc>
          <w:tcPr>
            <w:tcW w:w="0" w:type="auto"/>
            <w:hideMark/>
          </w:tcPr>
          <w:p w14:paraId="098C79C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1.13</w:t>
            </w:r>
          </w:p>
        </w:tc>
      </w:tr>
      <w:tr w:rsidR="007D4795" w:rsidRPr="007D4795" w14:paraId="165A8201"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5A6172BE"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Immunodeficiency/immunosuppression</w:t>
            </w:r>
          </w:p>
        </w:tc>
        <w:tc>
          <w:tcPr>
            <w:tcW w:w="2008" w:type="dxa"/>
            <w:hideMark/>
          </w:tcPr>
          <w:p w14:paraId="677BC62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526 (3.74)</w:t>
            </w:r>
          </w:p>
        </w:tc>
        <w:tc>
          <w:tcPr>
            <w:tcW w:w="1989" w:type="dxa"/>
            <w:hideMark/>
          </w:tcPr>
          <w:p w14:paraId="126DABEC"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3.44–4.06</w:t>
            </w:r>
          </w:p>
        </w:tc>
        <w:tc>
          <w:tcPr>
            <w:tcW w:w="1694" w:type="dxa"/>
            <w:hideMark/>
          </w:tcPr>
          <w:p w14:paraId="146949D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70 (3.65)</w:t>
            </w:r>
          </w:p>
        </w:tc>
        <w:tc>
          <w:tcPr>
            <w:tcW w:w="1694" w:type="dxa"/>
            <w:hideMark/>
          </w:tcPr>
          <w:p w14:paraId="26426D1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2.90–4.59</w:t>
            </w:r>
          </w:p>
        </w:tc>
        <w:tc>
          <w:tcPr>
            <w:tcW w:w="0" w:type="auto"/>
            <w:hideMark/>
          </w:tcPr>
          <w:p w14:paraId="5D5EBBE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0.09</w:t>
            </w:r>
          </w:p>
        </w:tc>
      </w:tr>
      <w:tr w:rsidR="007D4795" w:rsidRPr="007D4795" w14:paraId="2D343B16"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293A1CFB"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Chronic kidney disease</w:t>
            </w:r>
          </w:p>
        </w:tc>
        <w:tc>
          <w:tcPr>
            <w:tcW w:w="2008" w:type="dxa"/>
            <w:hideMark/>
          </w:tcPr>
          <w:p w14:paraId="3576A10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502 (3.57)</w:t>
            </w:r>
          </w:p>
        </w:tc>
        <w:tc>
          <w:tcPr>
            <w:tcW w:w="1989" w:type="dxa"/>
            <w:hideMark/>
          </w:tcPr>
          <w:p w14:paraId="230B525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3.27–3.89</w:t>
            </w:r>
          </w:p>
        </w:tc>
        <w:tc>
          <w:tcPr>
            <w:tcW w:w="1694" w:type="dxa"/>
            <w:hideMark/>
          </w:tcPr>
          <w:p w14:paraId="0462CF8A"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49 (2.55)</w:t>
            </w:r>
          </w:p>
        </w:tc>
        <w:tc>
          <w:tcPr>
            <w:tcW w:w="1694" w:type="dxa"/>
            <w:hideMark/>
          </w:tcPr>
          <w:p w14:paraId="5DC0A53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1.94–3.36</w:t>
            </w:r>
          </w:p>
        </w:tc>
        <w:tc>
          <w:tcPr>
            <w:tcW w:w="0" w:type="auto"/>
            <w:hideMark/>
          </w:tcPr>
          <w:p w14:paraId="429019A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1.01</w:t>
            </w:r>
          </w:p>
        </w:tc>
      </w:tr>
      <w:tr w:rsidR="007D4795" w:rsidRPr="007D4795" w14:paraId="67F94047"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47CB8FA9"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Obesity</w:t>
            </w:r>
          </w:p>
        </w:tc>
        <w:tc>
          <w:tcPr>
            <w:tcW w:w="2008" w:type="dxa"/>
            <w:hideMark/>
          </w:tcPr>
          <w:p w14:paraId="675329F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480 (3.41)</w:t>
            </w:r>
          </w:p>
        </w:tc>
        <w:tc>
          <w:tcPr>
            <w:tcW w:w="1989" w:type="dxa"/>
            <w:hideMark/>
          </w:tcPr>
          <w:p w14:paraId="7C7E1EA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3.12–3.72</w:t>
            </w:r>
          </w:p>
        </w:tc>
        <w:tc>
          <w:tcPr>
            <w:tcW w:w="1694" w:type="dxa"/>
            <w:hideMark/>
          </w:tcPr>
          <w:p w14:paraId="0D6AEDC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36 (1.88)</w:t>
            </w:r>
          </w:p>
        </w:tc>
        <w:tc>
          <w:tcPr>
            <w:tcW w:w="1694" w:type="dxa"/>
            <w:hideMark/>
          </w:tcPr>
          <w:p w14:paraId="5A30773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1.36–2.59</w:t>
            </w:r>
          </w:p>
        </w:tc>
        <w:tc>
          <w:tcPr>
            <w:tcW w:w="0" w:type="auto"/>
            <w:hideMark/>
          </w:tcPr>
          <w:p w14:paraId="105A018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1.53</w:t>
            </w:r>
          </w:p>
        </w:tc>
      </w:tr>
      <w:tr w:rsidR="007D4795" w:rsidRPr="007D4795" w14:paraId="640217D9"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6023D263"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Chronic hematologic disease</w:t>
            </w:r>
          </w:p>
        </w:tc>
        <w:tc>
          <w:tcPr>
            <w:tcW w:w="2008" w:type="dxa"/>
            <w:hideMark/>
          </w:tcPr>
          <w:p w14:paraId="594AFDB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187 (1.33)</w:t>
            </w:r>
          </w:p>
        </w:tc>
        <w:tc>
          <w:tcPr>
            <w:tcW w:w="1989" w:type="dxa"/>
            <w:hideMark/>
          </w:tcPr>
          <w:p w14:paraId="2CF39EC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1.15–1.53</w:t>
            </w:r>
          </w:p>
        </w:tc>
        <w:tc>
          <w:tcPr>
            <w:tcW w:w="1694" w:type="dxa"/>
            <w:hideMark/>
          </w:tcPr>
          <w:p w14:paraId="191F47E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25 (1.30)</w:t>
            </w:r>
          </w:p>
        </w:tc>
        <w:tc>
          <w:tcPr>
            <w:tcW w:w="1694" w:type="dxa"/>
            <w:hideMark/>
          </w:tcPr>
          <w:p w14:paraId="6017572A"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0.88–1.92</w:t>
            </w:r>
          </w:p>
        </w:tc>
        <w:tc>
          <w:tcPr>
            <w:tcW w:w="0" w:type="auto"/>
            <w:hideMark/>
          </w:tcPr>
          <w:p w14:paraId="7A77E11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0.02</w:t>
            </w:r>
          </w:p>
        </w:tc>
      </w:tr>
      <w:tr w:rsidR="007D4795" w:rsidRPr="007D4795" w14:paraId="1487DD99"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3F59D58B"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Down syndrome</w:t>
            </w:r>
          </w:p>
        </w:tc>
        <w:tc>
          <w:tcPr>
            <w:tcW w:w="2008" w:type="dxa"/>
            <w:hideMark/>
          </w:tcPr>
          <w:p w14:paraId="74621D0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122 (0.87)</w:t>
            </w:r>
          </w:p>
        </w:tc>
        <w:tc>
          <w:tcPr>
            <w:tcW w:w="1989" w:type="dxa"/>
            <w:hideMark/>
          </w:tcPr>
          <w:p w14:paraId="7301303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0.73–1.03</w:t>
            </w:r>
          </w:p>
        </w:tc>
        <w:tc>
          <w:tcPr>
            <w:tcW w:w="1694" w:type="dxa"/>
            <w:hideMark/>
          </w:tcPr>
          <w:p w14:paraId="0FA4C77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21 (1.09)</w:t>
            </w:r>
          </w:p>
        </w:tc>
        <w:tc>
          <w:tcPr>
            <w:tcW w:w="1694" w:type="dxa"/>
            <w:hideMark/>
          </w:tcPr>
          <w:p w14:paraId="3F84ED5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0.72–1.67</w:t>
            </w:r>
          </w:p>
        </w:tc>
        <w:tc>
          <w:tcPr>
            <w:tcW w:w="0" w:type="auto"/>
            <w:hideMark/>
          </w:tcPr>
          <w:p w14:paraId="6991AC3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-0.23</w:t>
            </w:r>
          </w:p>
        </w:tc>
      </w:tr>
      <w:tr w:rsidR="007D4795" w:rsidRPr="007D4795" w14:paraId="24DD1663"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3B4CEB7B"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Chronic liver disease</w:t>
            </w:r>
          </w:p>
        </w:tc>
        <w:tc>
          <w:tcPr>
            <w:tcW w:w="2008" w:type="dxa"/>
            <w:hideMark/>
          </w:tcPr>
          <w:p w14:paraId="10F2B0A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105 (0.75)</w:t>
            </w:r>
          </w:p>
        </w:tc>
        <w:tc>
          <w:tcPr>
            <w:tcW w:w="1989" w:type="dxa"/>
            <w:hideMark/>
          </w:tcPr>
          <w:p w14:paraId="49704193"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0.62–0.90</w:t>
            </w:r>
          </w:p>
        </w:tc>
        <w:tc>
          <w:tcPr>
            <w:tcW w:w="1694" w:type="dxa"/>
            <w:hideMark/>
          </w:tcPr>
          <w:p w14:paraId="729079B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11 (0.57)</w:t>
            </w:r>
          </w:p>
        </w:tc>
        <w:tc>
          <w:tcPr>
            <w:tcW w:w="1694" w:type="dxa"/>
            <w:hideMark/>
          </w:tcPr>
          <w:p w14:paraId="2B9B69F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0.32–1.02</w:t>
            </w:r>
          </w:p>
        </w:tc>
        <w:tc>
          <w:tcPr>
            <w:tcW w:w="0" w:type="auto"/>
            <w:hideMark/>
          </w:tcPr>
          <w:p w14:paraId="043CA04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0.17</w:t>
            </w:r>
          </w:p>
        </w:tc>
      </w:tr>
      <w:tr w:rsidR="007D4795" w:rsidRPr="007D4795" w14:paraId="25C9AF47"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50B0AAF5" w14:textId="77777777" w:rsidR="007D4795" w:rsidRPr="007D4795" w:rsidRDefault="007D4795" w:rsidP="007D4795">
            <w:pPr>
              <w:spacing w:line="360" w:lineRule="auto"/>
              <w:jc w:val="both"/>
              <w:rPr>
                <w:rFonts w:ascii="Times New Roman" w:hAnsi="Times New Roman" w:cs="Times New Roman"/>
                <w:sz w:val="20"/>
                <w:szCs w:val="20"/>
              </w:rPr>
            </w:pPr>
            <w:r w:rsidRPr="007D4795">
              <w:rPr>
                <w:rFonts w:ascii="Times New Roman" w:hAnsi="Times New Roman" w:cs="Times New Roman"/>
                <w:sz w:val="20"/>
                <w:szCs w:val="20"/>
              </w:rPr>
              <w:t>Preventive and therapeutic interventions</w:t>
            </w:r>
          </w:p>
        </w:tc>
        <w:tc>
          <w:tcPr>
            <w:tcW w:w="2008" w:type="dxa"/>
            <w:hideMark/>
          </w:tcPr>
          <w:p w14:paraId="249B4E6D"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9" w:type="dxa"/>
            <w:hideMark/>
          </w:tcPr>
          <w:p w14:paraId="751C61C5"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5CDFA8E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0B601E02"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hideMark/>
          </w:tcPr>
          <w:p w14:paraId="016BF60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D4795" w:rsidRPr="007D4795" w14:paraId="20AFC62F"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4555F6A2"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COVID-19 booster vaccination</w:t>
            </w:r>
          </w:p>
        </w:tc>
        <w:tc>
          <w:tcPr>
            <w:tcW w:w="2008" w:type="dxa"/>
            <w:hideMark/>
          </w:tcPr>
          <w:p w14:paraId="0DE380E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3,421 (24.30)</w:t>
            </w:r>
          </w:p>
        </w:tc>
        <w:tc>
          <w:tcPr>
            <w:tcW w:w="1989" w:type="dxa"/>
            <w:hideMark/>
          </w:tcPr>
          <w:p w14:paraId="6BD4EA3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23.60–25.02</w:t>
            </w:r>
          </w:p>
        </w:tc>
        <w:tc>
          <w:tcPr>
            <w:tcW w:w="1694" w:type="dxa"/>
            <w:hideMark/>
          </w:tcPr>
          <w:p w14:paraId="6229568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309 (16.11)</w:t>
            </w:r>
          </w:p>
        </w:tc>
        <w:tc>
          <w:tcPr>
            <w:tcW w:w="1694" w:type="dxa"/>
            <w:hideMark/>
          </w:tcPr>
          <w:p w14:paraId="66EA700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14.53–17.82</w:t>
            </w:r>
          </w:p>
        </w:tc>
        <w:tc>
          <w:tcPr>
            <w:tcW w:w="0" w:type="auto"/>
            <w:hideMark/>
          </w:tcPr>
          <w:p w14:paraId="4AD9CD8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8.19</w:t>
            </w:r>
          </w:p>
        </w:tc>
      </w:tr>
      <w:tr w:rsidR="007D4795" w:rsidRPr="007D4795" w14:paraId="2041F671"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1252CDBF"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Influenza vaccination</w:t>
            </w:r>
          </w:p>
        </w:tc>
        <w:tc>
          <w:tcPr>
            <w:tcW w:w="2008" w:type="dxa"/>
            <w:hideMark/>
          </w:tcPr>
          <w:p w14:paraId="0DABD59B"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1,990 (14.14)</w:t>
            </w:r>
          </w:p>
        </w:tc>
        <w:tc>
          <w:tcPr>
            <w:tcW w:w="1989" w:type="dxa"/>
            <w:hideMark/>
          </w:tcPr>
          <w:p w14:paraId="142E5E2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13.57–14.72</w:t>
            </w:r>
          </w:p>
        </w:tc>
        <w:tc>
          <w:tcPr>
            <w:tcW w:w="1694" w:type="dxa"/>
            <w:hideMark/>
          </w:tcPr>
          <w:p w14:paraId="51DE8C2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208 (10.84)</w:t>
            </w:r>
          </w:p>
        </w:tc>
        <w:tc>
          <w:tcPr>
            <w:tcW w:w="1694" w:type="dxa"/>
            <w:hideMark/>
          </w:tcPr>
          <w:p w14:paraId="61B4994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9.53–12.32</w:t>
            </w:r>
          </w:p>
        </w:tc>
        <w:tc>
          <w:tcPr>
            <w:tcW w:w="0" w:type="auto"/>
            <w:hideMark/>
          </w:tcPr>
          <w:p w14:paraId="68690717"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3.29</w:t>
            </w:r>
          </w:p>
        </w:tc>
      </w:tr>
      <w:tr w:rsidR="007D4795" w:rsidRPr="007D4795" w14:paraId="21DD897C" w14:textId="77777777" w:rsidTr="00EC183B">
        <w:trPr>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1D9814E9"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Oseltamivir use</w:t>
            </w:r>
          </w:p>
        </w:tc>
        <w:tc>
          <w:tcPr>
            <w:tcW w:w="2008" w:type="dxa"/>
            <w:hideMark/>
          </w:tcPr>
          <w:p w14:paraId="6E66E98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3,042 (21.61)</w:t>
            </w:r>
          </w:p>
        </w:tc>
        <w:tc>
          <w:tcPr>
            <w:tcW w:w="1989" w:type="dxa"/>
            <w:hideMark/>
          </w:tcPr>
          <w:p w14:paraId="7D1A242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20.94–22.30</w:t>
            </w:r>
          </w:p>
        </w:tc>
        <w:tc>
          <w:tcPr>
            <w:tcW w:w="1694" w:type="dxa"/>
            <w:hideMark/>
          </w:tcPr>
          <w:p w14:paraId="6EE8ED7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420 (21.90)</w:t>
            </w:r>
          </w:p>
        </w:tc>
        <w:tc>
          <w:tcPr>
            <w:tcW w:w="1694" w:type="dxa"/>
            <w:hideMark/>
          </w:tcPr>
          <w:p w14:paraId="78EAC239"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20.10–23.80</w:t>
            </w:r>
          </w:p>
        </w:tc>
        <w:tc>
          <w:tcPr>
            <w:tcW w:w="0" w:type="auto"/>
            <w:hideMark/>
          </w:tcPr>
          <w:p w14:paraId="6129F65F"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-0.29</w:t>
            </w:r>
          </w:p>
        </w:tc>
      </w:tr>
      <w:tr w:rsidR="007D4795" w:rsidRPr="007D4795" w14:paraId="44DF9B82" w14:textId="77777777" w:rsidTr="00EC183B">
        <w:trPr>
          <w:trHeight w:val="119"/>
        </w:trPr>
        <w:tc>
          <w:tcPr>
            <w:cnfStyle w:val="001000000000" w:firstRow="0" w:lastRow="0" w:firstColumn="1" w:lastColumn="0" w:oddVBand="0" w:evenVBand="0" w:oddHBand="0" w:evenHBand="0" w:firstRowFirstColumn="0" w:firstRowLastColumn="0" w:lastRowFirstColumn="0" w:lastRowLastColumn="0"/>
            <w:tcW w:w="0" w:type="auto"/>
            <w:hideMark/>
          </w:tcPr>
          <w:p w14:paraId="4AF00DE6"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Clinical outcomes</w:t>
            </w:r>
          </w:p>
        </w:tc>
        <w:tc>
          <w:tcPr>
            <w:tcW w:w="2008" w:type="dxa"/>
            <w:hideMark/>
          </w:tcPr>
          <w:p w14:paraId="7651FEB4"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89" w:type="dxa"/>
            <w:hideMark/>
          </w:tcPr>
          <w:p w14:paraId="42A52A8A"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555DC06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4" w:type="dxa"/>
            <w:hideMark/>
          </w:tcPr>
          <w:p w14:paraId="08AA37B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hideMark/>
          </w:tcPr>
          <w:p w14:paraId="0527046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D4795" w:rsidRPr="007D4795" w14:paraId="37FDFC54"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515DB2C0"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ICU admission</w:t>
            </w:r>
          </w:p>
        </w:tc>
        <w:tc>
          <w:tcPr>
            <w:tcW w:w="2008" w:type="dxa"/>
            <w:hideMark/>
          </w:tcPr>
          <w:p w14:paraId="129F5881"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3,946 (28.03)</w:t>
            </w:r>
          </w:p>
        </w:tc>
        <w:tc>
          <w:tcPr>
            <w:tcW w:w="1989" w:type="dxa"/>
            <w:hideMark/>
          </w:tcPr>
          <w:p w14:paraId="0612FDCC"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27.30–28.78</w:t>
            </w:r>
          </w:p>
        </w:tc>
        <w:tc>
          <w:tcPr>
            <w:tcW w:w="1694" w:type="dxa"/>
            <w:hideMark/>
          </w:tcPr>
          <w:p w14:paraId="219F1FAD"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537 (28.00)</w:t>
            </w:r>
          </w:p>
        </w:tc>
        <w:tc>
          <w:tcPr>
            <w:tcW w:w="1694" w:type="dxa"/>
            <w:hideMark/>
          </w:tcPr>
          <w:p w14:paraId="708EFBE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26.03–30.05</w:t>
            </w:r>
          </w:p>
        </w:tc>
        <w:tc>
          <w:tcPr>
            <w:tcW w:w="0" w:type="auto"/>
            <w:hideMark/>
          </w:tcPr>
          <w:p w14:paraId="38628E68"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0.03</w:t>
            </w:r>
          </w:p>
        </w:tc>
      </w:tr>
      <w:tr w:rsidR="007D4795" w:rsidRPr="007D4795" w14:paraId="406AF1FC" w14:textId="77777777" w:rsidTr="00EC183B">
        <w:trPr>
          <w:trHeight w:val="237"/>
        </w:trPr>
        <w:tc>
          <w:tcPr>
            <w:cnfStyle w:val="001000000000" w:firstRow="0" w:lastRow="0" w:firstColumn="1" w:lastColumn="0" w:oddVBand="0" w:evenVBand="0" w:oddHBand="0" w:evenHBand="0" w:firstRowFirstColumn="0" w:firstRowLastColumn="0" w:lastRowFirstColumn="0" w:lastRowLastColumn="0"/>
            <w:tcW w:w="0" w:type="auto"/>
            <w:hideMark/>
          </w:tcPr>
          <w:p w14:paraId="25C60679" w14:textId="77777777" w:rsidR="007D4795" w:rsidRPr="00AD6955" w:rsidRDefault="007D4795" w:rsidP="007D4795">
            <w:pPr>
              <w:spacing w:line="360" w:lineRule="auto"/>
              <w:jc w:val="both"/>
              <w:rPr>
                <w:rFonts w:ascii="Times New Roman" w:hAnsi="Times New Roman" w:cs="Times New Roman"/>
                <w:b w:val="0"/>
                <w:bCs w:val="0"/>
                <w:sz w:val="20"/>
                <w:szCs w:val="20"/>
              </w:rPr>
            </w:pPr>
            <w:r w:rsidRPr="00AD6955">
              <w:rPr>
                <w:rFonts w:ascii="Times New Roman" w:hAnsi="Times New Roman" w:cs="Times New Roman"/>
                <w:b w:val="0"/>
                <w:bCs w:val="0"/>
                <w:sz w:val="20"/>
                <w:szCs w:val="20"/>
              </w:rPr>
              <w:t>Death</w:t>
            </w:r>
          </w:p>
        </w:tc>
        <w:tc>
          <w:tcPr>
            <w:tcW w:w="2008" w:type="dxa"/>
            <w:hideMark/>
          </w:tcPr>
          <w:p w14:paraId="38F30F46"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1,793 (12.74)</w:t>
            </w:r>
          </w:p>
        </w:tc>
        <w:tc>
          <w:tcPr>
            <w:tcW w:w="1989" w:type="dxa"/>
            <w:hideMark/>
          </w:tcPr>
          <w:p w14:paraId="5F9DB69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12.20–13.30</w:t>
            </w:r>
          </w:p>
        </w:tc>
        <w:tc>
          <w:tcPr>
            <w:tcW w:w="1694" w:type="dxa"/>
            <w:hideMark/>
          </w:tcPr>
          <w:p w14:paraId="40718CC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141 (7.35)</w:t>
            </w:r>
          </w:p>
        </w:tc>
        <w:tc>
          <w:tcPr>
            <w:tcW w:w="1694" w:type="dxa"/>
            <w:hideMark/>
          </w:tcPr>
          <w:p w14:paraId="5F3184CE"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6.27–8.61</w:t>
            </w:r>
          </w:p>
        </w:tc>
        <w:tc>
          <w:tcPr>
            <w:tcW w:w="0" w:type="auto"/>
            <w:hideMark/>
          </w:tcPr>
          <w:p w14:paraId="09C0B1A0" w14:textId="77777777" w:rsidR="007D4795" w:rsidRPr="007D4795" w:rsidRDefault="007D4795" w:rsidP="006027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4795">
              <w:rPr>
                <w:rFonts w:ascii="Times New Roman" w:hAnsi="Times New Roman" w:cs="Times New Roman"/>
                <w:sz w:val="20"/>
                <w:szCs w:val="20"/>
              </w:rPr>
              <w:t>5.39</w:t>
            </w:r>
          </w:p>
        </w:tc>
      </w:tr>
    </w:tbl>
    <w:p w14:paraId="61D2267D" w14:textId="77777777" w:rsidR="007D4795" w:rsidRPr="007D4795" w:rsidRDefault="007D4795" w:rsidP="007D4795">
      <w:pPr>
        <w:spacing w:after="0" w:line="360" w:lineRule="auto"/>
        <w:jc w:val="both"/>
        <w:rPr>
          <w:rFonts w:ascii="Times New Roman" w:hAnsi="Times New Roman" w:cs="Times New Roman"/>
        </w:rPr>
      </w:pPr>
      <w:r w:rsidRPr="007D4795">
        <w:rPr>
          <w:rFonts w:ascii="Times New Roman" w:hAnsi="Times New Roman" w:cs="Times New Roman"/>
          <w:b/>
          <w:bCs/>
        </w:rPr>
        <w:t>Legend:</w:t>
      </w:r>
      <w:r w:rsidRPr="007D4795">
        <w:rPr>
          <w:rFonts w:ascii="Times New Roman" w:hAnsi="Times New Roman" w:cs="Times New Roman"/>
        </w:rPr>
        <w:t xml:space="preserve"> Values are presented as absolute numbers and percentages within each influenza type. The difference column represents the absolute percentage-point difference between Influenza A and Influenza B prevalence estimates. Positive values indicate higher prevalence among Influenza A cases, whereas negative values indicate higher prevalence among Influenza B cases. Ninety-five percent confidence intervals for prevalence estimates were calculated using the Wilson binomial method. Source: SIVEP-Gripe.</w:t>
      </w:r>
    </w:p>
    <w:p w14:paraId="0B935BC6" w14:textId="77777777" w:rsidR="00AD6955" w:rsidRPr="00B10A28" w:rsidRDefault="00AD6955" w:rsidP="005011EC">
      <w:pPr>
        <w:spacing w:after="0" w:line="360" w:lineRule="auto"/>
        <w:jc w:val="both"/>
        <w:rPr>
          <w:rFonts w:ascii="Times New Roman" w:hAnsi="Times New Roman" w:cs="Times New Roman"/>
        </w:rPr>
        <w:sectPr w:rsidR="00AD6955" w:rsidRPr="00B10A28" w:rsidSect="00AD6955">
          <w:pgSz w:w="16838" w:h="11906" w:orient="landscape"/>
          <w:pgMar w:top="1701" w:right="1418" w:bottom="1701" w:left="1418" w:header="709" w:footer="709" w:gutter="0"/>
          <w:cols w:space="708"/>
          <w:docGrid w:linePitch="360"/>
        </w:sectPr>
      </w:pPr>
    </w:p>
    <w:p w14:paraId="730C56E7" w14:textId="77777777" w:rsidR="005011EC" w:rsidRPr="00B10A28" w:rsidRDefault="005011EC" w:rsidP="005011EC">
      <w:pPr>
        <w:spacing w:after="0" w:line="360" w:lineRule="auto"/>
        <w:jc w:val="both"/>
        <w:rPr>
          <w:rFonts w:ascii="Times New Roman" w:hAnsi="Times New Roman" w:cs="Times New Roman"/>
        </w:rPr>
      </w:pPr>
    </w:p>
    <w:p w14:paraId="3B6EE39D" w14:textId="2936D98F" w:rsidR="005011EC" w:rsidRPr="00E56146" w:rsidRDefault="005011EC" w:rsidP="005011EC">
      <w:pPr>
        <w:spacing w:after="0" w:line="240" w:lineRule="auto"/>
        <w:jc w:val="both"/>
        <w:rPr>
          <w:rFonts w:ascii="Times New Roman" w:hAnsi="Times New Roman" w:cs="Times New Roman"/>
        </w:rPr>
      </w:pPr>
      <w:r w:rsidRPr="00E56146">
        <w:rPr>
          <w:rFonts w:ascii="Times New Roman" w:hAnsi="Times New Roman" w:cs="Times New Roman"/>
          <w:b/>
          <w:bCs/>
        </w:rPr>
        <w:t xml:space="preserve">Figure </w:t>
      </w:r>
      <w:r w:rsidR="004572F8">
        <w:rPr>
          <w:rFonts w:ascii="Times New Roman" w:hAnsi="Times New Roman" w:cs="Times New Roman"/>
          <w:b/>
          <w:bCs/>
        </w:rPr>
        <w:t>S1</w:t>
      </w:r>
      <w:r w:rsidRPr="00E56146">
        <w:rPr>
          <w:rFonts w:ascii="Times New Roman" w:hAnsi="Times New Roman" w:cs="Times New Roman"/>
        </w:rPr>
        <w:t xml:space="preserve"> – </w:t>
      </w:r>
      <w:r w:rsidR="00E72ED2" w:rsidRPr="00E72ED2">
        <w:rPr>
          <w:rFonts w:ascii="Times New Roman" w:hAnsi="Times New Roman" w:cs="Times New Roman"/>
        </w:rPr>
        <w:t>Comparative prevalence of clinical characteristics, comorbidities, preventive and therapeutic interventions, and outcomes among hospitalized patients with Influenza A and Influenza B in Brazil, 2024</w:t>
      </w:r>
      <w:r w:rsidR="00E72ED2">
        <w:rPr>
          <w:rFonts w:ascii="Times New Roman" w:hAnsi="Times New Roman" w:cs="Times New Roman"/>
        </w:rPr>
        <w:t>.</w:t>
      </w:r>
    </w:p>
    <w:p w14:paraId="281ED614" w14:textId="77777777" w:rsidR="005011EC" w:rsidRPr="003C79F0" w:rsidRDefault="005011EC" w:rsidP="005011EC">
      <w:pPr>
        <w:spacing w:after="0" w:line="240" w:lineRule="auto"/>
        <w:jc w:val="both"/>
        <w:rPr>
          <w:rFonts w:ascii="Times New Roman" w:hAnsi="Times New Roman" w:cs="Times New Roman"/>
        </w:rPr>
      </w:pPr>
      <w:r>
        <w:rPr>
          <w:noProof/>
        </w:rPr>
        <w:drawing>
          <wp:inline distT="0" distB="0" distL="0" distR="0" wp14:anchorId="55E6EE1C" wp14:editId="17497BB8">
            <wp:extent cx="5760720" cy="6141085"/>
            <wp:effectExtent l="0" t="0" r="11430" b="12065"/>
            <wp:docPr id="1093983" name="Gráfico 1">
              <a:extLst xmlns:a="http://schemas.openxmlformats.org/drawingml/2006/main">
                <a:ext uri="{FF2B5EF4-FFF2-40B4-BE49-F238E27FC236}">
                  <a16:creationId xmlns:a16="http://schemas.microsoft.com/office/drawing/2014/main" id="{AB8124B3-692F-E623-CA45-F09A767B4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2078127" w14:textId="4DBA2048" w:rsidR="005011EC" w:rsidRDefault="005D44D4" w:rsidP="005011EC">
      <w:pPr>
        <w:spacing w:after="0" w:line="360" w:lineRule="auto"/>
        <w:jc w:val="both"/>
        <w:rPr>
          <w:rFonts w:ascii="Times New Roman" w:hAnsi="Times New Roman" w:cs="Times New Roman"/>
        </w:rPr>
      </w:pPr>
      <w:r>
        <w:rPr>
          <w:rFonts w:ascii="Times New Roman" w:hAnsi="Times New Roman" w:cs="Times New Roman"/>
        </w:rPr>
        <w:t xml:space="preserve">Legend: </w:t>
      </w:r>
      <w:r w:rsidRPr="005D44D4">
        <w:rPr>
          <w:rFonts w:ascii="Times New Roman" w:hAnsi="Times New Roman" w:cs="Times New Roman"/>
        </w:rPr>
        <w:t>Bars represent the percentage prevalence of each variable within Influenza A and Influenza B cases. Variables with higher prevalence among Influenza A cases included dyspnea, low oxygen saturation, respiratory distress, chronic cardiovascular disease, diabetes mellitus, COVID-19 booster vaccination, influenza vaccination, and death. Variables with higher prevalence among Influenza B cases included fever, vomiting, sore throat, diarrhea, and abdominal pain. Source: SIVEP-Gripe.</w:t>
      </w:r>
    </w:p>
    <w:p w14:paraId="50F30462" w14:textId="77777777" w:rsidR="00857B59" w:rsidRDefault="00857B59" w:rsidP="005011EC">
      <w:pPr>
        <w:spacing w:after="0" w:line="360" w:lineRule="auto"/>
        <w:jc w:val="both"/>
        <w:rPr>
          <w:rFonts w:ascii="Times New Roman" w:hAnsi="Times New Roman" w:cs="Times New Roman"/>
        </w:rPr>
      </w:pPr>
    </w:p>
    <w:p w14:paraId="0E23BF5F" w14:textId="2B85ADF8" w:rsidR="00D073B0" w:rsidRPr="00422A78" w:rsidRDefault="00422A78" w:rsidP="00422A78">
      <w:pPr>
        <w:spacing w:after="0" w:line="360" w:lineRule="auto"/>
        <w:ind w:firstLine="851"/>
        <w:jc w:val="both"/>
        <w:rPr>
          <w:rFonts w:ascii="Times New Roman" w:eastAsia="Times New Roman" w:hAnsi="Times New Roman" w:cs="Times New Roman"/>
          <w:kern w:val="0"/>
          <w14:ligatures w14:val="none"/>
        </w:rPr>
      </w:pPr>
      <w:r w:rsidRPr="00422A78">
        <w:rPr>
          <w:rFonts w:ascii="Times New Roman" w:eastAsia="Times New Roman" w:hAnsi="Times New Roman" w:cs="Times New Roman"/>
          <w:kern w:val="0"/>
          <w14:ligatures w14:val="none"/>
        </w:rPr>
        <w:lastRenderedPageBreak/>
        <w:t>After IPTW adjustment, covariate balance improved across most variables included in the propensity score model. Most post-weighting absolute standardized mean differences were below the conventional threshold of 0.10, indicating substantial improvement in balance between patients with and without COVID-19 booster vaccination. Residual imbalance remained for age, fever, chronic cardiovascular disease, and diabetes mellitus, which were therefore retained in the final weighted outcome model to reduce residual confounding. Detailed balance diagnostics are presented in Supplementary Table S3.</w:t>
      </w:r>
    </w:p>
    <w:p w14:paraId="737DDA96" w14:textId="77777777" w:rsidR="00D073B0" w:rsidRDefault="00D073B0" w:rsidP="00D073B0">
      <w:pPr>
        <w:spacing w:after="0" w:line="240" w:lineRule="auto"/>
        <w:jc w:val="both"/>
        <w:rPr>
          <w:rFonts w:ascii="Times New Roman" w:eastAsia="Times New Roman" w:hAnsi="Times New Roman" w:cs="Times New Roman"/>
          <w:b/>
          <w:bCs/>
          <w:kern w:val="0"/>
          <w14:ligatures w14:val="none"/>
        </w:rPr>
      </w:pPr>
    </w:p>
    <w:p w14:paraId="653358BD" w14:textId="0C71595C" w:rsidR="00857B59" w:rsidRPr="00857B59" w:rsidRDefault="00857B59" w:rsidP="00D073B0">
      <w:pPr>
        <w:spacing w:after="0" w:line="240" w:lineRule="auto"/>
        <w:jc w:val="both"/>
        <w:rPr>
          <w:rFonts w:ascii="Times New Roman" w:eastAsia="Times New Roman" w:hAnsi="Times New Roman" w:cs="Times New Roman"/>
          <w:kern w:val="0"/>
          <w14:ligatures w14:val="none"/>
        </w:rPr>
      </w:pPr>
      <w:r w:rsidRPr="00857B59">
        <w:rPr>
          <w:rFonts w:ascii="Times New Roman" w:eastAsia="Times New Roman" w:hAnsi="Times New Roman" w:cs="Times New Roman"/>
          <w:b/>
          <w:bCs/>
          <w:kern w:val="0"/>
          <w14:ligatures w14:val="none"/>
        </w:rPr>
        <w:t xml:space="preserve">Table S3 – </w:t>
      </w:r>
      <w:r w:rsidRPr="00857B59">
        <w:rPr>
          <w:rFonts w:ascii="Times New Roman" w:eastAsia="Times New Roman" w:hAnsi="Times New Roman" w:cs="Times New Roman"/>
          <w:kern w:val="0"/>
          <w14:ligatures w14:val="none"/>
        </w:rPr>
        <w:t>Covariate balance before and after inverse probability of treatment weighting for COVID-19 booster vaccination.</w:t>
      </w:r>
    </w:p>
    <w:tbl>
      <w:tblPr>
        <w:tblStyle w:val="SimplesTabela2"/>
        <w:tblW w:w="0" w:type="auto"/>
        <w:tblLook w:val="06A0" w:firstRow="1" w:lastRow="0" w:firstColumn="1" w:lastColumn="0" w:noHBand="1" w:noVBand="1"/>
      </w:tblPr>
      <w:tblGrid>
        <w:gridCol w:w="4029"/>
        <w:gridCol w:w="2284"/>
        <w:gridCol w:w="2191"/>
      </w:tblGrid>
      <w:tr w:rsidR="00857B59" w:rsidRPr="00857B59" w14:paraId="64E7BF68" w14:textId="77777777" w:rsidTr="00857B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E03B33" w14:textId="77777777" w:rsidR="00857B59" w:rsidRPr="00857B59" w:rsidRDefault="00857B59" w:rsidP="00857B59">
            <w:pPr>
              <w:jc w:val="center"/>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Variable</w:t>
            </w:r>
          </w:p>
        </w:tc>
        <w:tc>
          <w:tcPr>
            <w:tcW w:w="0" w:type="auto"/>
            <w:hideMark/>
          </w:tcPr>
          <w:p w14:paraId="1E4C0CFD" w14:textId="77777777" w:rsidR="00857B59" w:rsidRPr="00857B59" w:rsidRDefault="00857B59" w:rsidP="00857B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Absolute SMD before IPTW</w:t>
            </w:r>
          </w:p>
        </w:tc>
        <w:tc>
          <w:tcPr>
            <w:tcW w:w="0" w:type="auto"/>
            <w:hideMark/>
          </w:tcPr>
          <w:p w14:paraId="669B0A51" w14:textId="77777777" w:rsidR="00857B59" w:rsidRPr="00857B59" w:rsidRDefault="00857B59" w:rsidP="00857B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Absolute SMD after IPTW</w:t>
            </w:r>
          </w:p>
        </w:tc>
      </w:tr>
      <w:tr w:rsidR="00857B59" w:rsidRPr="00857B59" w14:paraId="388A9A83"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29A6EDE5"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Age</w:t>
            </w:r>
          </w:p>
        </w:tc>
        <w:tc>
          <w:tcPr>
            <w:tcW w:w="0" w:type="auto"/>
            <w:hideMark/>
          </w:tcPr>
          <w:p w14:paraId="0401405D"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1.252</w:t>
            </w:r>
          </w:p>
        </w:tc>
        <w:tc>
          <w:tcPr>
            <w:tcW w:w="0" w:type="auto"/>
            <w:hideMark/>
          </w:tcPr>
          <w:p w14:paraId="3F0EDEEA"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0.390</w:t>
            </w:r>
          </w:p>
        </w:tc>
      </w:tr>
      <w:tr w:rsidR="00857B59" w:rsidRPr="00857B59" w14:paraId="40686575"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385675D2"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Male sex</w:t>
            </w:r>
          </w:p>
        </w:tc>
        <w:tc>
          <w:tcPr>
            <w:tcW w:w="0" w:type="auto"/>
            <w:hideMark/>
          </w:tcPr>
          <w:p w14:paraId="67F2D825"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0.181</w:t>
            </w:r>
          </w:p>
        </w:tc>
        <w:tc>
          <w:tcPr>
            <w:tcW w:w="0" w:type="auto"/>
            <w:hideMark/>
          </w:tcPr>
          <w:p w14:paraId="6A5B01FE"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0.080</w:t>
            </w:r>
          </w:p>
        </w:tc>
      </w:tr>
      <w:tr w:rsidR="00857B59" w:rsidRPr="00857B59" w14:paraId="50A7CE87"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000920D6"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Fever</w:t>
            </w:r>
          </w:p>
        </w:tc>
        <w:tc>
          <w:tcPr>
            <w:tcW w:w="0" w:type="auto"/>
            <w:hideMark/>
          </w:tcPr>
          <w:p w14:paraId="793D515C"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0.327</w:t>
            </w:r>
          </w:p>
        </w:tc>
        <w:tc>
          <w:tcPr>
            <w:tcW w:w="0" w:type="auto"/>
            <w:hideMark/>
          </w:tcPr>
          <w:p w14:paraId="4067294A"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0.130</w:t>
            </w:r>
          </w:p>
        </w:tc>
      </w:tr>
      <w:tr w:rsidR="00857B59" w:rsidRPr="00857B59" w14:paraId="6FA6764F"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50AAF84B"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Cough</w:t>
            </w:r>
          </w:p>
        </w:tc>
        <w:tc>
          <w:tcPr>
            <w:tcW w:w="0" w:type="auto"/>
            <w:hideMark/>
          </w:tcPr>
          <w:p w14:paraId="4A043AA0"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0.025</w:t>
            </w:r>
          </w:p>
        </w:tc>
        <w:tc>
          <w:tcPr>
            <w:tcW w:w="0" w:type="auto"/>
            <w:hideMark/>
          </w:tcPr>
          <w:p w14:paraId="1F49DCC0"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0.025</w:t>
            </w:r>
          </w:p>
        </w:tc>
      </w:tr>
      <w:tr w:rsidR="00857B59" w:rsidRPr="00857B59" w14:paraId="31F3ECF7"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60159641"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Sore throat</w:t>
            </w:r>
          </w:p>
        </w:tc>
        <w:tc>
          <w:tcPr>
            <w:tcW w:w="0" w:type="auto"/>
            <w:hideMark/>
          </w:tcPr>
          <w:p w14:paraId="373228A3"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0.028</w:t>
            </w:r>
          </w:p>
        </w:tc>
        <w:tc>
          <w:tcPr>
            <w:tcW w:w="0" w:type="auto"/>
            <w:hideMark/>
          </w:tcPr>
          <w:p w14:paraId="1A4DB3B5"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0.055</w:t>
            </w:r>
          </w:p>
        </w:tc>
      </w:tr>
      <w:tr w:rsidR="00857B59" w:rsidRPr="00857B59" w14:paraId="6B2C67FC"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75D67AC5"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Dyspnea</w:t>
            </w:r>
          </w:p>
        </w:tc>
        <w:tc>
          <w:tcPr>
            <w:tcW w:w="0" w:type="auto"/>
            <w:hideMark/>
          </w:tcPr>
          <w:p w14:paraId="4030DCDD"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0.188</w:t>
            </w:r>
          </w:p>
        </w:tc>
        <w:tc>
          <w:tcPr>
            <w:tcW w:w="0" w:type="auto"/>
            <w:hideMark/>
          </w:tcPr>
          <w:p w14:paraId="2D95E985"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0.083</w:t>
            </w:r>
          </w:p>
        </w:tc>
      </w:tr>
      <w:tr w:rsidR="00857B59" w:rsidRPr="00857B59" w14:paraId="1D70E1C9"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219E1221"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Respiratory distress</w:t>
            </w:r>
          </w:p>
        </w:tc>
        <w:tc>
          <w:tcPr>
            <w:tcW w:w="0" w:type="auto"/>
            <w:hideMark/>
          </w:tcPr>
          <w:p w14:paraId="482A3EE6"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0.000</w:t>
            </w:r>
          </w:p>
        </w:tc>
        <w:tc>
          <w:tcPr>
            <w:tcW w:w="0" w:type="auto"/>
            <w:hideMark/>
          </w:tcPr>
          <w:p w14:paraId="17BBDF44"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0.020</w:t>
            </w:r>
          </w:p>
        </w:tc>
      </w:tr>
      <w:tr w:rsidR="00857B59" w:rsidRPr="00857B59" w14:paraId="0607FAB0"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0E92AAB3"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Low oxygen saturation</w:t>
            </w:r>
          </w:p>
        </w:tc>
        <w:tc>
          <w:tcPr>
            <w:tcW w:w="0" w:type="auto"/>
            <w:hideMark/>
          </w:tcPr>
          <w:p w14:paraId="2BAB3DDD"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0.202</w:t>
            </w:r>
          </w:p>
        </w:tc>
        <w:tc>
          <w:tcPr>
            <w:tcW w:w="0" w:type="auto"/>
            <w:hideMark/>
          </w:tcPr>
          <w:p w14:paraId="637120E6"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0.060</w:t>
            </w:r>
          </w:p>
        </w:tc>
      </w:tr>
      <w:tr w:rsidR="00857B59" w:rsidRPr="00857B59" w14:paraId="4BFB36DB"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7B28F153"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Diarrhea</w:t>
            </w:r>
          </w:p>
        </w:tc>
        <w:tc>
          <w:tcPr>
            <w:tcW w:w="0" w:type="auto"/>
            <w:hideMark/>
          </w:tcPr>
          <w:p w14:paraId="6CBEF09D"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0.108</w:t>
            </w:r>
          </w:p>
        </w:tc>
        <w:tc>
          <w:tcPr>
            <w:tcW w:w="0" w:type="auto"/>
            <w:hideMark/>
          </w:tcPr>
          <w:p w14:paraId="7421B3CA"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0.034</w:t>
            </w:r>
          </w:p>
        </w:tc>
      </w:tr>
      <w:tr w:rsidR="00857B59" w:rsidRPr="00857B59" w14:paraId="3326865B"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7F744DBD"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Vomiting</w:t>
            </w:r>
          </w:p>
        </w:tc>
        <w:tc>
          <w:tcPr>
            <w:tcW w:w="0" w:type="auto"/>
            <w:hideMark/>
          </w:tcPr>
          <w:p w14:paraId="2BD7583A"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0.221</w:t>
            </w:r>
          </w:p>
        </w:tc>
        <w:tc>
          <w:tcPr>
            <w:tcW w:w="0" w:type="auto"/>
            <w:hideMark/>
          </w:tcPr>
          <w:p w14:paraId="7F60799D"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0.062</w:t>
            </w:r>
          </w:p>
        </w:tc>
      </w:tr>
      <w:tr w:rsidR="00857B59" w:rsidRPr="00857B59" w14:paraId="42467ACB"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67FD1085"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Chronic cardiovascular disease</w:t>
            </w:r>
          </w:p>
        </w:tc>
        <w:tc>
          <w:tcPr>
            <w:tcW w:w="0" w:type="auto"/>
            <w:hideMark/>
          </w:tcPr>
          <w:p w14:paraId="726FB8BF"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0.484</w:t>
            </w:r>
          </w:p>
        </w:tc>
        <w:tc>
          <w:tcPr>
            <w:tcW w:w="0" w:type="auto"/>
            <w:hideMark/>
          </w:tcPr>
          <w:p w14:paraId="430F6FF2"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0.139</w:t>
            </w:r>
          </w:p>
        </w:tc>
      </w:tr>
      <w:tr w:rsidR="00857B59" w:rsidRPr="00857B59" w14:paraId="1C04BEDD"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24E19C75"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Liver disease</w:t>
            </w:r>
          </w:p>
        </w:tc>
        <w:tc>
          <w:tcPr>
            <w:tcW w:w="0" w:type="auto"/>
            <w:hideMark/>
          </w:tcPr>
          <w:p w14:paraId="7E3BFEC1"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0.000</w:t>
            </w:r>
          </w:p>
        </w:tc>
        <w:tc>
          <w:tcPr>
            <w:tcW w:w="0" w:type="auto"/>
            <w:hideMark/>
          </w:tcPr>
          <w:p w14:paraId="5EA9328A"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0.000</w:t>
            </w:r>
          </w:p>
        </w:tc>
      </w:tr>
      <w:tr w:rsidR="00857B59" w:rsidRPr="00857B59" w14:paraId="6B785D52"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7D1AD8E2"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Asthma</w:t>
            </w:r>
          </w:p>
        </w:tc>
        <w:tc>
          <w:tcPr>
            <w:tcW w:w="0" w:type="auto"/>
            <w:hideMark/>
          </w:tcPr>
          <w:p w14:paraId="09FF4393"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0.038</w:t>
            </w:r>
          </w:p>
        </w:tc>
        <w:tc>
          <w:tcPr>
            <w:tcW w:w="0" w:type="auto"/>
            <w:hideMark/>
          </w:tcPr>
          <w:p w14:paraId="20D0206B"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0.038</w:t>
            </w:r>
          </w:p>
        </w:tc>
      </w:tr>
      <w:tr w:rsidR="00857B59" w:rsidRPr="00857B59" w14:paraId="1ED0DC0C"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03A0F254"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Diabetes mellitus</w:t>
            </w:r>
          </w:p>
        </w:tc>
        <w:tc>
          <w:tcPr>
            <w:tcW w:w="0" w:type="auto"/>
            <w:hideMark/>
          </w:tcPr>
          <w:p w14:paraId="507D2468"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0.356</w:t>
            </w:r>
          </w:p>
        </w:tc>
        <w:tc>
          <w:tcPr>
            <w:tcW w:w="0" w:type="auto"/>
            <w:hideMark/>
          </w:tcPr>
          <w:p w14:paraId="6BEA83D8"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0.112</w:t>
            </w:r>
          </w:p>
        </w:tc>
      </w:tr>
      <w:tr w:rsidR="00857B59" w:rsidRPr="00857B59" w14:paraId="2FB1AC21"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4D968576"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Chronic neurological disease</w:t>
            </w:r>
          </w:p>
        </w:tc>
        <w:tc>
          <w:tcPr>
            <w:tcW w:w="0" w:type="auto"/>
            <w:hideMark/>
          </w:tcPr>
          <w:p w14:paraId="228AD630"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0.084</w:t>
            </w:r>
          </w:p>
        </w:tc>
        <w:tc>
          <w:tcPr>
            <w:tcW w:w="0" w:type="auto"/>
            <w:hideMark/>
          </w:tcPr>
          <w:p w14:paraId="4347AC81"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0.044</w:t>
            </w:r>
          </w:p>
        </w:tc>
      </w:tr>
      <w:tr w:rsidR="00857B59" w:rsidRPr="00857B59" w14:paraId="1A7F13AB"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4E252A9B"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Immunodeficiency/immunosuppression</w:t>
            </w:r>
          </w:p>
        </w:tc>
        <w:tc>
          <w:tcPr>
            <w:tcW w:w="0" w:type="auto"/>
            <w:hideMark/>
          </w:tcPr>
          <w:p w14:paraId="02E05421"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0.102</w:t>
            </w:r>
          </w:p>
        </w:tc>
        <w:tc>
          <w:tcPr>
            <w:tcW w:w="0" w:type="auto"/>
            <w:hideMark/>
          </w:tcPr>
          <w:p w14:paraId="730824F7"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0.000</w:t>
            </w:r>
          </w:p>
        </w:tc>
      </w:tr>
      <w:tr w:rsidR="00857B59" w:rsidRPr="00857B59" w14:paraId="40188C50"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18223BF3"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Obesity</w:t>
            </w:r>
          </w:p>
        </w:tc>
        <w:tc>
          <w:tcPr>
            <w:tcW w:w="0" w:type="auto"/>
            <w:hideMark/>
          </w:tcPr>
          <w:p w14:paraId="74628EEC"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0.102</w:t>
            </w:r>
          </w:p>
        </w:tc>
        <w:tc>
          <w:tcPr>
            <w:tcW w:w="0" w:type="auto"/>
            <w:hideMark/>
          </w:tcPr>
          <w:p w14:paraId="0411F60A"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0.054</w:t>
            </w:r>
          </w:p>
        </w:tc>
      </w:tr>
      <w:tr w:rsidR="00857B59" w:rsidRPr="00857B59" w14:paraId="000F32F2"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08CBB920"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Influenza vaccination</w:t>
            </w:r>
          </w:p>
        </w:tc>
        <w:tc>
          <w:tcPr>
            <w:tcW w:w="0" w:type="auto"/>
            <w:hideMark/>
          </w:tcPr>
          <w:p w14:paraId="0A89AEDC"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0.244</w:t>
            </w:r>
          </w:p>
        </w:tc>
        <w:tc>
          <w:tcPr>
            <w:tcW w:w="0" w:type="auto"/>
            <w:hideMark/>
          </w:tcPr>
          <w:p w14:paraId="5F05E42B"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0.028</w:t>
            </w:r>
          </w:p>
        </w:tc>
      </w:tr>
      <w:tr w:rsidR="00857B59" w:rsidRPr="00857B59" w14:paraId="397B5C70" w14:textId="77777777" w:rsidTr="00857B59">
        <w:tc>
          <w:tcPr>
            <w:cnfStyle w:val="001000000000" w:firstRow="0" w:lastRow="0" w:firstColumn="1" w:lastColumn="0" w:oddVBand="0" w:evenVBand="0" w:oddHBand="0" w:evenHBand="0" w:firstRowFirstColumn="0" w:firstRowLastColumn="0" w:lastRowFirstColumn="0" w:lastRowLastColumn="0"/>
            <w:tcW w:w="0" w:type="auto"/>
            <w:hideMark/>
          </w:tcPr>
          <w:p w14:paraId="622221EA" w14:textId="77777777" w:rsidR="00857B59" w:rsidRPr="00857B59" w:rsidRDefault="00857B59" w:rsidP="00857B59">
            <w:pPr>
              <w:rPr>
                <w:rFonts w:ascii="Times New Roman" w:eastAsia="Times New Roman" w:hAnsi="Times New Roman" w:cs="Times New Roman"/>
                <w:b w:val="0"/>
                <w:bCs w:val="0"/>
                <w:kern w:val="0"/>
                <w14:ligatures w14:val="none"/>
              </w:rPr>
            </w:pPr>
            <w:r w:rsidRPr="00857B59">
              <w:rPr>
                <w:rFonts w:ascii="Times New Roman" w:eastAsia="Times New Roman" w:hAnsi="Times New Roman" w:cs="Times New Roman"/>
                <w:b w:val="0"/>
                <w:bCs w:val="0"/>
                <w:kern w:val="0"/>
                <w14:ligatures w14:val="none"/>
              </w:rPr>
              <w:t>Oseltamivir use</w:t>
            </w:r>
          </w:p>
        </w:tc>
        <w:tc>
          <w:tcPr>
            <w:tcW w:w="0" w:type="auto"/>
            <w:hideMark/>
          </w:tcPr>
          <w:p w14:paraId="527BEA18"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0.072</w:t>
            </w:r>
          </w:p>
        </w:tc>
        <w:tc>
          <w:tcPr>
            <w:tcW w:w="0" w:type="auto"/>
            <w:hideMark/>
          </w:tcPr>
          <w:p w14:paraId="76D08B42" w14:textId="77777777" w:rsidR="00857B59" w:rsidRPr="00857B59" w:rsidRDefault="00857B59" w:rsidP="00857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57B59">
              <w:rPr>
                <w:rFonts w:ascii="Times New Roman" w:eastAsia="Times New Roman" w:hAnsi="Times New Roman" w:cs="Times New Roman"/>
                <w:kern w:val="0"/>
                <w14:ligatures w14:val="none"/>
              </w:rPr>
              <w:t>0.072</w:t>
            </w:r>
          </w:p>
        </w:tc>
      </w:tr>
    </w:tbl>
    <w:p w14:paraId="02054965" w14:textId="308224B4" w:rsidR="00857B59" w:rsidRDefault="00857B59" w:rsidP="00D073B0">
      <w:pPr>
        <w:spacing w:after="0" w:line="240" w:lineRule="auto"/>
        <w:jc w:val="both"/>
        <w:rPr>
          <w:rFonts w:ascii="Times New Roman" w:eastAsia="Times New Roman" w:hAnsi="Times New Roman" w:cs="Times New Roman"/>
          <w:kern w:val="0"/>
          <w14:ligatures w14:val="none"/>
        </w:rPr>
      </w:pPr>
      <w:r w:rsidRPr="00857B59">
        <w:rPr>
          <w:rFonts w:ascii="Times New Roman" w:eastAsia="Times New Roman" w:hAnsi="Times New Roman" w:cs="Times New Roman"/>
          <w:b/>
          <w:bCs/>
          <w:kern w:val="0"/>
          <w14:ligatures w14:val="none"/>
        </w:rPr>
        <w:t>Legend:</w:t>
      </w:r>
      <w:r w:rsidRPr="00857B59">
        <w:rPr>
          <w:rFonts w:ascii="Times New Roman" w:eastAsia="Times New Roman" w:hAnsi="Times New Roman" w:cs="Times New Roman"/>
          <w:kern w:val="0"/>
          <w14:ligatures w14:val="none"/>
        </w:rPr>
        <w:t xml:space="preserve"> Absolute standardized mean differences were calculated before and after IPTW to evaluate covariate balance between patients with and without COVID-19 booster vaccination. Values below 0.10 after weighting were considered indicative of adequate balance. IPTW substantially improved covariate balance for most variables, although residual imbalance remained for age, fever, chronic cardiovascular disease, and diabetes mellitus. IPTW: inverse probability of treatment weighting; SMD: standardized mean difference.</w:t>
      </w:r>
    </w:p>
    <w:p w14:paraId="5132BA51" w14:textId="77777777" w:rsidR="0000514B" w:rsidRDefault="0000514B" w:rsidP="00D073B0">
      <w:pPr>
        <w:spacing w:after="0" w:line="240" w:lineRule="auto"/>
        <w:jc w:val="both"/>
        <w:rPr>
          <w:rFonts w:ascii="Times New Roman" w:eastAsia="Times New Roman" w:hAnsi="Times New Roman" w:cs="Times New Roman"/>
          <w:kern w:val="0"/>
          <w14:ligatures w14:val="none"/>
        </w:rPr>
      </w:pPr>
    </w:p>
    <w:p w14:paraId="693EB403" w14:textId="77777777" w:rsidR="0000514B" w:rsidRDefault="0000514B" w:rsidP="00D073B0">
      <w:pPr>
        <w:spacing w:after="0" w:line="240" w:lineRule="auto"/>
        <w:jc w:val="both"/>
        <w:rPr>
          <w:rFonts w:ascii="Times New Roman" w:eastAsia="Times New Roman" w:hAnsi="Times New Roman" w:cs="Times New Roman"/>
          <w:kern w:val="0"/>
          <w14:ligatures w14:val="none"/>
        </w:rPr>
      </w:pPr>
    </w:p>
    <w:p w14:paraId="23523647" w14:textId="65993915" w:rsidR="0000514B" w:rsidRDefault="0000514B" w:rsidP="0000514B">
      <w:pPr>
        <w:spacing w:after="0" w:line="360" w:lineRule="auto"/>
        <w:ind w:firstLine="851"/>
        <w:jc w:val="both"/>
        <w:rPr>
          <w:rFonts w:ascii="Times New Roman" w:hAnsi="Times New Roman" w:cs="Times New Roman"/>
        </w:rPr>
      </w:pPr>
      <w:r w:rsidRPr="0000514B">
        <w:rPr>
          <w:rFonts w:ascii="Times New Roman" w:hAnsi="Times New Roman" w:cs="Times New Roman"/>
        </w:rPr>
        <w:t xml:space="preserve">The complementary calibration assessment showed a progressive increase in both predicted and observed mortality across quintiles of predicted risk. Mean predicted mortality increased from 1.56% in the lowest-risk quintile to 35.20% in the highest-risk quintile. Observed mortality followed a similar gradient, increasing from 1.00% to </w:t>
      </w:r>
      <w:r w:rsidRPr="0000514B">
        <w:rPr>
          <w:rFonts w:ascii="Times New Roman" w:hAnsi="Times New Roman" w:cs="Times New Roman"/>
        </w:rPr>
        <w:lastRenderedPageBreak/>
        <w:t>34.00% across the same quintiles. Differences between observed and predicted mortality were small across strata, ranging from -1.20 to 2.44 percentage points, supporting acceptable calibration of the IPTW-</w:t>
      </w:r>
      <w:proofErr w:type="gramStart"/>
      <w:r w:rsidRPr="0000514B">
        <w:rPr>
          <w:rFonts w:ascii="Times New Roman" w:hAnsi="Times New Roman" w:cs="Times New Roman"/>
        </w:rPr>
        <w:t>weighted</w:t>
      </w:r>
      <w:proofErr w:type="gramEnd"/>
      <w:r w:rsidRPr="0000514B">
        <w:rPr>
          <w:rFonts w:ascii="Times New Roman" w:hAnsi="Times New Roman" w:cs="Times New Roman"/>
        </w:rPr>
        <w:t xml:space="preserve"> mortality model</w:t>
      </w:r>
      <w:r>
        <w:rPr>
          <w:rFonts w:ascii="Times New Roman" w:hAnsi="Times New Roman" w:cs="Times New Roman"/>
        </w:rPr>
        <w:t xml:space="preserve"> (table S4).</w:t>
      </w:r>
    </w:p>
    <w:p w14:paraId="0AB91573" w14:textId="77777777" w:rsidR="0000514B" w:rsidRDefault="0000514B" w:rsidP="0000514B">
      <w:pPr>
        <w:spacing w:after="0" w:line="360" w:lineRule="auto"/>
        <w:jc w:val="both"/>
        <w:rPr>
          <w:rFonts w:ascii="Times New Roman" w:hAnsi="Times New Roman" w:cs="Times New Roman"/>
        </w:rPr>
      </w:pPr>
    </w:p>
    <w:p w14:paraId="3AF03568" w14:textId="77777777" w:rsidR="00840FCF" w:rsidRPr="00840FCF" w:rsidRDefault="00840FCF" w:rsidP="00840FCF">
      <w:pPr>
        <w:spacing w:after="0" w:line="240" w:lineRule="auto"/>
        <w:jc w:val="both"/>
        <w:rPr>
          <w:rFonts w:ascii="Times New Roman" w:eastAsia="Times New Roman" w:hAnsi="Times New Roman" w:cs="Times New Roman"/>
          <w:kern w:val="0"/>
          <w14:ligatures w14:val="none"/>
        </w:rPr>
      </w:pPr>
      <w:r w:rsidRPr="00840FCF">
        <w:rPr>
          <w:rFonts w:ascii="Times New Roman" w:eastAsia="Times New Roman" w:hAnsi="Times New Roman" w:cs="Times New Roman"/>
          <w:b/>
          <w:bCs/>
          <w:kern w:val="0"/>
          <w14:ligatures w14:val="none"/>
        </w:rPr>
        <w:t xml:space="preserve">Table S4 – </w:t>
      </w:r>
      <w:r w:rsidRPr="00840FCF">
        <w:rPr>
          <w:rFonts w:ascii="Times New Roman" w:eastAsia="Times New Roman" w:hAnsi="Times New Roman" w:cs="Times New Roman"/>
          <w:kern w:val="0"/>
          <w14:ligatures w14:val="none"/>
        </w:rPr>
        <w:t>Calibration assessment of the IPTW-weighted mortality model across quintiles of predicted risk.</w:t>
      </w:r>
    </w:p>
    <w:tbl>
      <w:tblPr>
        <w:tblStyle w:val="SimplesTabela2"/>
        <w:tblW w:w="0" w:type="auto"/>
        <w:tblLook w:val="06A0" w:firstRow="1" w:lastRow="0" w:firstColumn="1" w:lastColumn="0" w:noHBand="1" w:noVBand="1"/>
      </w:tblPr>
      <w:tblGrid>
        <w:gridCol w:w="1694"/>
        <w:gridCol w:w="1280"/>
        <w:gridCol w:w="1890"/>
        <w:gridCol w:w="1681"/>
        <w:gridCol w:w="1959"/>
      </w:tblGrid>
      <w:tr w:rsidR="00840FCF" w:rsidRPr="00840FCF" w14:paraId="62861F7D" w14:textId="77777777" w:rsidTr="00840F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3DA5FB" w14:textId="77777777" w:rsidR="00840FCF" w:rsidRPr="00840FCF" w:rsidRDefault="00840FCF" w:rsidP="00840FCF">
            <w:pPr>
              <w:jc w:val="center"/>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Predicted-risk quintile</w:t>
            </w:r>
          </w:p>
        </w:tc>
        <w:tc>
          <w:tcPr>
            <w:tcW w:w="0" w:type="auto"/>
            <w:hideMark/>
          </w:tcPr>
          <w:p w14:paraId="541567CC" w14:textId="77777777" w:rsidR="00840FCF" w:rsidRPr="00840FCF" w:rsidRDefault="00840FCF" w:rsidP="006F1B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Weighted N</w:t>
            </w:r>
          </w:p>
        </w:tc>
        <w:tc>
          <w:tcPr>
            <w:tcW w:w="0" w:type="auto"/>
            <w:hideMark/>
          </w:tcPr>
          <w:p w14:paraId="543BE03D" w14:textId="77777777" w:rsidR="00840FCF" w:rsidRPr="00840FCF" w:rsidRDefault="00840FCF" w:rsidP="006F1B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Mean predicted mortality, %</w:t>
            </w:r>
          </w:p>
        </w:tc>
        <w:tc>
          <w:tcPr>
            <w:tcW w:w="0" w:type="auto"/>
            <w:hideMark/>
          </w:tcPr>
          <w:p w14:paraId="181669EA" w14:textId="77777777" w:rsidR="00840FCF" w:rsidRPr="00840FCF" w:rsidRDefault="00840FCF" w:rsidP="006F1B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Observed mortality, %</w:t>
            </w:r>
          </w:p>
        </w:tc>
        <w:tc>
          <w:tcPr>
            <w:tcW w:w="0" w:type="auto"/>
            <w:hideMark/>
          </w:tcPr>
          <w:p w14:paraId="2EEA031C" w14:textId="77777777" w:rsidR="00840FCF" w:rsidRPr="00840FCF" w:rsidRDefault="00840FCF" w:rsidP="006F1B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Difference, percentage points</w:t>
            </w:r>
          </w:p>
        </w:tc>
      </w:tr>
      <w:tr w:rsidR="00840FCF" w:rsidRPr="00840FCF" w14:paraId="431E9C5B" w14:textId="77777777" w:rsidTr="00840FCF">
        <w:tc>
          <w:tcPr>
            <w:cnfStyle w:val="001000000000" w:firstRow="0" w:lastRow="0" w:firstColumn="1" w:lastColumn="0" w:oddVBand="0" w:evenVBand="0" w:oddHBand="0" w:evenHBand="0" w:firstRowFirstColumn="0" w:firstRowLastColumn="0" w:lastRowFirstColumn="0" w:lastRowLastColumn="0"/>
            <w:tcW w:w="0" w:type="auto"/>
            <w:hideMark/>
          </w:tcPr>
          <w:p w14:paraId="4E72E1D7" w14:textId="77777777" w:rsidR="00840FCF" w:rsidRPr="006F1B9F" w:rsidRDefault="00840FCF" w:rsidP="00840FCF">
            <w:pPr>
              <w:rPr>
                <w:rFonts w:ascii="Times New Roman" w:eastAsia="Times New Roman" w:hAnsi="Times New Roman" w:cs="Times New Roman"/>
                <w:b w:val="0"/>
                <w:bCs w:val="0"/>
                <w:kern w:val="0"/>
                <w14:ligatures w14:val="none"/>
              </w:rPr>
            </w:pPr>
            <w:r w:rsidRPr="006F1B9F">
              <w:rPr>
                <w:rFonts w:ascii="Times New Roman" w:eastAsia="Times New Roman" w:hAnsi="Times New Roman" w:cs="Times New Roman"/>
                <w:b w:val="0"/>
                <w:bCs w:val="0"/>
                <w:kern w:val="0"/>
                <w14:ligatures w14:val="none"/>
              </w:rPr>
              <w:t>Quintile 1, lowest risk</w:t>
            </w:r>
          </w:p>
        </w:tc>
        <w:tc>
          <w:tcPr>
            <w:tcW w:w="0" w:type="auto"/>
            <w:hideMark/>
          </w:tcPr>
          <w:p w14:paraId="284ED05F"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5,785</w:t>
            </w:r>
          </w:p>
        </w:tc>
        <w:tc>
          <w:tcPr>
            <w:tcW w:w="0" w:type="auto"/>
            <w:hideMark/>
          </w:tcPr>
          <w:p w14:paraId="729C8920"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1.56</w:t>
            </w:r>
          </w:p>
        </w:tc>
        <w:tc>
          <w:tcPr>
            <w:tcW w:w="0" w:type="auto"/>
            <w:hideMark/>
          </w:tcPr>
          <w:p w14:paraId="7A458ECD"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1.00</w:t>
            </w:r>
          </w:p>
        </w:tc>
        <w:tc>
          <w:tcPr>
            <w:tcW w:w="0" w:type="auto"/>
            <w:hideMark/>
          </w:tcPr>
          <w:p w14:paraId="59844A2E"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-0.56</w:t>
            </w:r>
          </w:p>
        </w:tc>
      </w:tr>
      <w:tr w:rsidR="00840FCF" w:rsidRPr="00840FCF" w14:paraId="74FA3D5D" w14:textId="77777777" w:rsidTr="00840FCF">
        <w:tc>
          <w:tcPr>
            <w:cnfStyle w:val="001000000000" w:firstRow="0" w:lastRow="0" w:firstColumn="1" w:lastColumn="0" w:oddVBand="0" w:evenVBand="0" w:oddHBand="0" w:evenHBand="0" w:firstRowFirstColumn="0" w:firstRowLastColumn="0" w:lastRowFirstColumn="0" w:lastRowLastColumn="0"/>
            <w:tcW w:w="0" w:type="auto"/>
            <w:hideMark/>
          </w:tcPr>
          <w:p w14:paraId="08611A24" w14:textId="77777777" w:rsidR="00840FCF" w:rsidRPr="006F1B9F" w:rsidRDefault="00840FCF" w:rsidP="00840FCF">
            <w:pPr>
              <w:rPr>
                <w:rFonts w:ascii="Times New Roman" w:eastAsia="Times New Roman" w:hAnsi="Times New Roman" w:cs="Times New Roman"/>
                <w:b w:val="0"/>
                <w:bCs w:val="0"/>
                <w:kern w:val="0"/>
                <w14:ligatures w14:val="none"/>
              </w:rPr>
            </w:pPr>
            <w:r w:rsidRPr="006F1B9F">
              <w:rPr>
                <w:rFonts w:ascii="Times New Roman" w:eastAsia="Times New Roman" w:hAnsi="Times New Roman" w:cs="Times New Roman"/>
                <w:b w:val="0"/>
                <w:bCs w:val="0"/>
                <w:kern w:val="0"/>
                <w14:ligatures w14:val="none"/>
              </w:rPr>
              <w:t>Quintile 2</w:t>
            </w:r>
          </w:p>
        </w:tc>
        <w:tc>
          <w:tcPr>
            <w:tcW w:w="0" w:type="auto"/>
            <w:hideMark/>
          </w:tcPr>
          <w:p w14:paraId="10348AB5"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5,788</w:t>
            </w:r>
          </w:p>
        </w:tc>
        <w:tc>
          <w:tcPr>
            <w:tcW w:w="0" w:type="auto"/>
            <w:hideMark/>
          </w:tcPr>
          <w:p w14:paraId="4AB9FB00"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4.08</w:t>
            </w:r>
          </w:p>
        </w:tc>
        <w:tc>
          <w:tcPr>
            <w:tcW w:w="0" w:type="auto"/>
            <w:hideMark/>
          </w:tcPr>
          <w:p w14:paraId="5BDF0025"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3.00</w:t>
            </w:r>
          </w:p>
        </w:tc>
        <w:tc>
          <w:tcPr>
            <w:tcW w:w="0" w:type="auto"/>
            <w:hideMark/>
          </w:tcPr>
          <w:p w14:paraId="151580C8"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-1.08</w:t>
            </w:r>
          </w:p>
        </w:tc>
      </w:tr>
      <w:tr w:rsidR="00840FCF" w:rsidRPr="00840FCF" w14:paraId="766BA976" w14:textId="77777777" w:rsidTr="00840FCF">
        <w:tc>
          <w:tcPr>
            <w:cnfStyle w:val="001000000000" w:firstRow="0" w:lastRow="0" w:firstColumn="1" w:lastColumn="0" w:oddVBand="0" w:evenVBand="0" w:oddHBand="0" w:evenHBand="0" w:firstRowFirstColumn="0" w:firstRowLastColumn="0" w:lastRowFirstColumn="0" w:lastRowLastColumn="0"/>
            <w:tcW w:w="0" w:type="auto"/>
            <w:hideMark/>
          </w:tcPr>
          <w:p w14:paraId="3F110847" w14:textId="77777777" w:rsidR="00840FCF" w:rsidRPr="006F1B9F" w:rsidRDefault="00840FCF" w:rsidP="00840FCF">
            <w:pPr>
              <w:rPr>
                <w:rFonts w:ascii="Times New Roman" w:eastAsia="Times New Roman" w:hAnsi="Times New Roman" w:cs="Times New Roman"/>
                <w:b w:val="0"/>
                <w:bCs w:val="0"/>
                <w:kern w:val="0"/>
                <w14:ligatures w14:val="none"/>
              </w:rPr>
            </w:pPr>
            <w:r w:rsidRPr="006F1B9F">
              <w:rPr>
                <w:rFonts w:ascii="Times New Roman" w:eastAsia="Times New Roman" w:hAnsi="Times New Roman" w:cs="Times New Roman"/>
                <w:b w:val="0"/>
                <w:bCs w:val="0"/>
                <w:kern w:val="0"/>
                <w14:ligatures w14:val="none"/>
              </w:rPr>
              <w:t>Quintile 3</w:t>
            </w:r>
          </w:p>
        </w:tc>
        <w:tc>
          <w:tcPr>
            <w:tcW w:w="0" w:type="auto"/>
            <w:hideMark/>
          </w:tcPr>
          <w:p w14:paraId="0B77706D"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5,787</w:t>
            </w:r>
          </w:p>
        </w:tc>
        <w:tc>
          <w:tcPr>
            <w:tcW w:w="0" w:type="auto"/>
            <w:hideMark/>
          </w:tcPr>
          <w:p w14:paraId="0020B6E8"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8.54</w:t>
            </w:r>
          </w:p>
        </w:tc>
        <w:tc>
          <w:tcPr>
            <w:tcW w:w="0" w:type="auto"/>
            <w:hideMark/>
          </w:tcPr>
          <w:p w14:paraId="02158354"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10.00</w:t>
            </w:r>
          </w:p>
        </w:tc>
        <w:tc>
          <w:tcPr>
            <w:tcW w:w="0" w:type="auto"/>
            <w:hideMark/>
          </w:tcPr>
          <w:p w14:paraId="0E5BE4F8"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1.46</w:t>
            </w:r>
          </w:p>
        </w:tc>
      </w:tr>
      <w:tr w:rsidR="00840FCF" w:rsidRPr="00840FCF" w14:paraId="730F4E92" w14:textId="77777777" w:rsidTr="00840FCF">
        <w:tc>
          <w:tcPr>
            <w:cnfStyle w:val="001000000000" w:firstRow="0" w:lastRow="0" w:firstColumn="1" w:lastColumn="0" w:oddVBand="0" w:evenVBand="0" w:oddHBand="0" w:evenHBand="0" w:firstRowFirstColumn="0" w:firstRowLastColumn="0" w:lastRowFirstColumn="0" w:lastRowLastColumn="0"/>
            <w:tcW w:w="0" w:type="auto"/>
            <w:hideMark/>
          </w:tcPr>
          <w:p w14:paraId="1B511AB4" w14:textId="77777777" w:rsidR="00840FCF" w:rsidRPr="006F1B9F" w:rsidRDefault="00840FCF" w:rsidP="00840FCF">
            <w:pPr>
              <w:rPr>
                <w:rFonts w:ascii="Times New Roman" w:eastAsia="Times New Roman" w:hAnsi="Times New Roman" w:cs="Times New Roman"/>
                <w:b w:val="0"/>
                <w:bCs w:val="0"/>
                <w:kern w:val="0"/>
                <w14:ligatures w14:val="none"/>
              </w:rPr>
            </w:pPr>
            <w:r w:rsidRPr="006F1B9F">
              <w:rPr>
                <w:rFonts w:ascii="Times New Roman" w:eastAsia="Times New Roman" w:hAnsi="Times New Roman" w:cs="Times New Roman"/>
                <w:b w:val="0"/>
                <w:bCs w:val="0"/>
                <w:kern w:val="0"/>
                <w14:ligatures w14:val="none"/>
              </w:rPr>
              <w:t>Quintile 4</w:t>
            </w:r>
          </w:p>
        </w:tc>
        <w:tc>
          <w:tcPr>
            <w:tcW w:w="0" w:type="auto"/>
            <w:hideMark/>
          </w:tcPr>
          <w:p w14:paraId="117A2CCE"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5,787</w:t>
            </w:r>
          </w:p>
        </w:tc>
        <w:tc>
          <w:tcPr>
            <w:tcW w:w="0" w:type="auto"/>
            <w:hideMark/>
          </w:tcPr>
          <w:p w14:paraId="1715A445"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17.56</w:t>
            </w:r>
          </w:p>
        </w:tc>
        <w:tc>
          <w:tcPr>
            <w:tcW w:w="0" w:type="auto"/>
            <w:hideMark/>
          </w:tcPr>
          <w:p w14:paraId="344B9ED8"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20.00</w:t>
            </w:r>
          </w:p>
        </w:tc>
        <w:tc>
          <w:tcPr>
            <w:tcW w:w="0" w:type="auto"/>
            <w:hideMark/>
          </w:tcPr>
          <w:p w14:paraId="54198BA6"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2.44</w:t>
            </w:r>
          </w:p>
        </w:tc>
      </w:tr>
      <w:tr w:rsidR="00840FCF" w:rsidRPr="00840FCF" w14:paraId="50B50CAF" w14:textId="77777777" w:rsidTr="00840FCF">
        <w:tc>
          <w:tcPr>
            <w:cnfStyle w:val="001000000000" w:firstRow="0" w:lastRow="0" w:firstColumn="1" w:lastColumn="0" w:oddVBand="0" w:evenVBand="0" w:oddHBand="0" w:evenHBand="0" w:firstRowFirstColumn="0" w:firstRowLastColumn="0" w:lastRowFirstColumn="0" w:lastRowLastColumn="0"/>
            <w:tcW w:w="0" w:type="auto"/>
            <w:hideMark/>
          </w:tcPr>
          <w:p w14:paraId="2D462D21" w14:textId="77777777" w:rsidR="00840FCF" w:rsidRPr="006F1B9F" w:rsidRDefault="00840FCF" w:rsidP="00840FCF">
            <w:pPr>
              <w:rPr>
                <w:rFonts w:ascii="Times New Roman" w:eastAsia="Times New Roman" w:hAnsi="Times New Roman" w:cs="Times New Roman"/>
                <w:b w:val="0"/>
                <w:bCs w:val="0"/>
                <w:kern w:val="0"/>
                <w14:ligatures w14:val="none"/>
              </w:rPr>
            </w:pPr>
            <w:r w:rsidRPr="006F1B9F">
              <w:rPr>
                <w:rFonts w:ascii="Times New Roman" w:eastAsia="Times New Roman" w:hAnsi="Times New Roman" w:cs="Times New Roman"/>
                <w:b w:val="0"/>
                <w:bCs w:val="0"/>
                <w:kern w:val="0"/>
                <w14:ligatures w14:val="none"/>
              </w:rPr>
              <w:t>Quintile 5, highest risk</w:t>
            </w:r>
          </w:p>
        </w:tc>
        <w:tc>
          <w:tcPr>
            <w:tcW w:w="0" w:type="auto"/>
            <w:hideMark/>
          </w:tcPr>
          <w:p w14:paraId="783E08A7"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5,786</w:t>
            </w:r>
          </w:p>
        </w:tc>
        <w:tc>
          <w:tcPr>
            <w:tcW w:w="0" w:type="auto"/>
            <w:hideMark/>
          </w:tcPr>
          <w:p w14:paraId="7EDEDB4F"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35.20</w:t>
            </w:r>
          </w:p>
        </w:tc>
        <w:tc>
          <w:tcPr>
            <w:tcW w:w="0" w:type="auto"/>
            <w:hideMark/>
          </w:tcPr>
          <w:p w14:paraId="46907496"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34.00</w:t>
            </w:r>
          </w:p>
        </w:tc>
        <w:tc>
          <w:tcPr>
            <w:tcW w:w="0" w:type="auto"/>
            <w:hideMark/>
          </w:tcPr>
          <w:p w14:paraId="2ED58751"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-1.20</w:t>
            </w:r>
          </w:p>
        </w:tc>
      </w:tr>
      <w:tr w:rsidR="00840FCF" w:rsidRPr="00840FCF" w14:paraId="7D546012" w14:textId="77777777" w:rsidTr="00840FCF">
        <w:tc>
          <w:tcPr>
            <w:cnfStyle w:val="001000000000" w:firstRow="0" w:lastRow="0" w:firstColumn="1" w:lastColumn="0" w:oddVBand="0" w:evenVBand="0" w:oddHBand="0" w:evenHBand="0" w:firstRowFirstColumn="0" w:firstRowLastColumn="0" w:lastRowFirstColumn="0" w:lastRowLastColumn="0"/>
            <w:tcW w:w="0" w:type="auto"/>
            <w:hideMark/>
          </w:tcPr>
          <w:p w14:paraId="4CB482BF" w14:textId="77777777" w:rsidR="00840FCF" w:rsidRPr="00840FCF" w:rsidRDefault="00840FCF" w:rsidP="00840FCF">
            <w:pPr>
              <w:rPr>
                <w:rFonts w:ascii="Times New Roman" w:eastAsia="Times New Roman" w:hAnsi="Times New Roman" w:cs="Times New Roman"/>
                <w:kern w:val="0"/>
                <w14:ligatures w14:val="none"/>
              </w:rPr>
            </w:pPr>
            <w:r w:rsidRPr="00840FCF">
              <w:rPr>
                <w:rFonts w:ascii="Times New Roman" w:eastAsia="Times New Roman" w:hAnsi="Times New Roman" w:cs="Times New Roman"/>
                <w:kern w:val="0"/>
                <w14:ligatures w14:val="none"/>
              </w:rPr>
              <w:t>Total</w:t>
            </w:r>
          </w:p>
        </w:tc>
        <w:tc>
          <w:tcPr>
            <w:tcW w:w="0" w:type="auto"/>
            <w:hideMark/>
          </w:tcPr>
          <w:p w14:paraId="4408A5D0"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b/>
                <w:bCs/>
                <w:kern w:val="0"/>
                <w14:ligatures w14:val="none"/>
              </w:rPr>
              <w:t>28,933</w:t>
            </w:r>
          </w:p>
        </w:tc>
        <w:tc>
          <w:tcPr>
            <w:tcW w:w="0" w:type="auto"/>
            <w:hideMark/>
          </w:tcPr>
          <w:p w14:paraId="1ACE00E5"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b/>
                <w:bCs/>
                <w:kern w:val="0"/>
                <w14:ligatures w14:val="none"/>
              </w:rPr>
              <w:t>13.39</w:t>
            </w:r>
          </w:p>
        </w:tc>
        <w:tc>
          <w:tcPr>
            <w:tcW w:w="0" w:type="auto"/>
            <w:hideMark/>
          </w:tcPr>
          <w:p w14:paraId="6C050CFB"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b/>
                <w:bCs/>
                <w:kern w:val="0"/>
                <w14:ligatures w14:val="none"/>
              </w:rPr>
              <w:t>13.00</w:t>
            </w:r>
          </w:p>
        </w:tc>
        <w:tc>
          <w:tcPr>
            <w:tcW w:w="0" w:type="auto"/>
            <w:hideMark/>
          </w:tcPr>
          <w:p w14:paraId="18CFF771" w14:textId="77777777" w:rsidR="00840FCF" w:rsidRPr="00840FCF" w:rsidRDefault="00840FCF" w:rsidP="006F1B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40FCF">
              <w:rPr>
                <w:rFonts w:ascii="Times New Roman" w:eastAsia="Times New Roman" w:hAnsi="Times New Roman" w:cs="Times New Roman"/>
                <w:b/>
                <w:bCs/>
                <w:kern w:val="0"/>
                <w14:ligatures w14:val="none"/>
              </w:rPr>
              <w:t>-0.39</w:t>
            </w:r>
          </w:p>
        </w:tc>
      </w:tr>
    </w:tbl>
    <w:p w14:paraId="28F69152" w14:textId="77777777" w:rsidR="00840FCF" w:rsidRPr="00840FCF" w:rsidRDefault="00840FCF" w:rsidP="006F1B9F">
      <w:pPr>
        <w:spacing w:after="0" w:line="240" w:lineRule="auto"/>
        <w:jc w:val="both"/>
        <w:rPr>
          <w:rFonts w:ascii="Times New Roman" w:eastAsia="Times New Roman" w:hAnsi="Times New Roman" w:cs="Times New Roman"/>
          <w:kern w:val="0"/>
          <w14:ligatures w14:val="none"/>
        </w:rPr>
      </w:pPr>
      <w:r w:rsidRPr="00840FCF">
        <w:rPr>
          <w:rFonts w:ascii="Times New Roman" w:eastAsia="Times New Roman" w:hAnsi="Times New Roman" w:cs="Times New Roman"/>
          <w:b/>
          <w:bCs/>
          <w:kern w:val="0"/>
          <w14:ligatures w14:val="none"/>
        </w:rPr>
        <w:t>Legend:</w:t>
      </w:r>
      <w:r w:rsidRPr="00840FCF">
        <w:rPr>
          <w:rFonts w:ascii="Times New Roman" w:eastAsia="Times New Roman" w:hAnsi="Times New Roman" w:cs="Times New Roman"/>
          <w:kern w:val="0"/>
          <w14:ligatures w14:val="none"/>
        </w:rPr>
        <w:t xml:space="preserve"> Calibration was assessed by comparing mean predicted mortality with observed mortality across quintiles of predicted risk. Predicted mortality was derived from the IPTW-weighted logistic regression model. Observed mortality represents the weighted proportion of deaths within each predicted-risk quintile. Differences were calculated as observed mortality minus predicted mortality. This complementary calibration analysis was used alongside the Hosmer–</w:t>
      </w:r>
      <w:proofErr w:type="spellStart"/>
      <w:r w:rsidRPr="00840FCF">
        <w:rPr>
          <w:rFonts w:ascii="Times New Roman" w:eastAsia="Times New Roman" w:hAnsi="Times New Roman" w:cs="Times New Roman"/>
          <w:kern w:val="0"/>
          <w14:ligatures w14:val="none"/>
        </w:rPr>
        <w:t>Lemeshow</w:t>
      </w:r>
      <w:proofErr w:type="spellEnd"/>
      <w:r w:rsidRPr="00840FCF">
        <w:rPr>
          <w:rFonts w:ascii="Times New Roman" w:eastAsia="Times New Roman" w:hAnsi="Times New Roman" w:cs="Times New Roman"/>
          <w:kern w:val="0"/>
          <w14:ligatures w14:val="none"/>
        </w:rPr>
        <w:t xml:space="preserve"> goodness-of-fit test.</w:t>
      </w:r>
    </w:p>
    <w:p w14:paraId="74B6F5DD" w14:textId="77777777" w:rsidR="0000514B" w:rsidRPr="0000514B" w:rsidRDefault="0000514B" w:rsidP="0000514B">
      <w:pPr>
        <w:spacing w:after="0" w:line="360" w:lineRule="auto"/>
        <w:jc w:val="both"/>
        <w:rPr>
          <w:rFonts w:ascii="Times New Roman" w:eastAsia="Times New Roman" w:hAnsi="Times New Roman" w:cs="Times New Roman"/>
          <w:kern w:val="0"/>
          <w14:ligatures w14:val="none"/>
        </w:rPr>
      </w:pPr>
    </w:p>
    <w:p w14:paraId="34F27E60" w14:textId="77777777" w:rsidR="005011EC" w:rsidRPr="00EE18F8" w:rsidRDefault="005011EC" w:rsidP="005011EC">
      <w:pPr>
        <w:spacing w:after="0" w:line="360" w:lineRule="auto"/>
        <w:ind w:firstLine="851"/>
        <w:jc w:val="both"/>
        <w:rPr>
          <w:rFonts w:ascii="Times New Roman" w:hAnsi="Times New Roman" w:cs="Times New Roman"/>
        </w:rPr>
      </w:pPr>
    </w:p>
    <w:p w14:paraId="3B5D3FB1" w14:textId="77777777" w:rsidR="000A7D49" w:rsidRDefault="000A7D49"/>
    <w:sectPr w:rsidR="000A7D49" w:rsidSect="003F1B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EC"/>
    <w:rsid w:val="0000514B"/>
    <w:rsid w:val="000430F2"/>
    <w:rsid w:val="00083BE6"/>
    <w:rsid w:val="000A7D49"/>
    <w:rsid w:val="000B20CE"/>
    <w:rsid w:val="00122038"/>
    <w:rsid w:val="001A2284"/>
    <w:rsid w:val="00245984"/>
    <w:rsid w:val="003F1BAE"/>
    <w:rsid w:val="00422A78"/>
    <w:rsid w:val="00456128"/>
    <w:rsid w:val="004572F8"/>
    <w:rsid w:val="005011EC"/>
    <w:rsid w:val="005273F1"/>
    <w:rsid w:val="005C3045"/>
    <w:rsid w:val="005D44D4"/>
    <w:rsid w:val="00602703"/>
    <w:rsid w:val="006740A7"/>
    <w:rsid w:val="006D2C88"/>
    <w:rsid w:val="006F1B9F"/>
    <w:rsid w:val="00740306"/>
    <w:rsid w:val="007D4795"/>
    <w:rsid w:val="00840FCF"/>
    <w:rsid w:val="00857B59"/>
    <w:rsid w:val="00924709"/>
    <w:rsid w:val="009601F7"/>
    <w:rsid w:val="00A54E0D"/>
    <w:rsid w:val="00AD6955"/>
    <w:rsid w:val="00AF2C79"/>
    <w:rsid w:val="00B01D8E"/>
    <w:rsid w:val="00B10A28"/>
    <w:rsid w:val="00C84F54"/>
    <w:rsid w:val="00D073B0"/>
    <w:rsid w:val="00D44DBD"/>
    <w:rsid w:val="00E72ED2"/>
    <w:rsid w:val="00EC183B"/>
    <w:rsid w:val="00EC3C82"/>
    <w:rsid w:val="00ED4508"/>
    <w:rsid w:val="00F70311"/>
    <w:rsid w:val="00FA212B"/>
    <w:rsid w:val="00FE154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AE9A0"/>
  <w15:chartTrackingRefBased/>
  <w15:docId w15:val="{A9B5781D-D749-4AAC-B024-A75A2AA8B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1EC"/>
  </w:style>
  <w:style w:type="paragraph" w:styleId="Ttulo1">
    <w:name w:val="heading 1"/>
    <w:basedOn w:val="Normal"/>
    <w:next w:val="Normal"/>
    <w:link w:val="Ttulo1Char"/>
    <w:uiPriority w:val="9"/>
    <w:qFormat/>
    <w:rsid w:val="005011EC"/>
    <w:pPr>
      <w:keepNext/>
      <w:keepLines/>
      <w:spacing w:before="360" w:after="80"/>
      <w:outlineLvl w:val="0"/>
    </w:pPr>
    <w:rPr>
      <w:rFonts w:asciiTheme="majorHAnsi" w:eastAsiaTheme="majorEastAsia" w:hAnsiTheme="majorHAnsi" w:cstheme="majorBidi"/>
      <w:color w:val="0F4761" w:themeColor="accent1" w:themeShade="BF"/>
      <w:sz w:val="40"/>
      <w:szCs w:val="40"/>
      <w:lang w:val="pt-BR"/>
    </w:rPr>
  </w:style>
  <w:style w:type="paragraph" w:styleId="Ttulo2">
    <w:name w:val="heading 2"/>
    <w:basedOn w:val="Normal"/>
    <w:next w:val="Normal"/>
    <w:link w:val="Ttulo2Char"/>
    <w:uiPriority w:val="9"/>
    <w:semiHidden/>
    <w:unhideWhenUsed/>
    <w:qFormat/>
    <w:rsid w:val="005011EC"/>
    <w:pPr>
      <w:keepNext/>
      <w:keepLines/>
      <w:spacing w:before="160" w:after="80"/>
      <w:outlineLvl w:val="1"/>
    </w:pPr>
    <w:rPr>
      <w:rFonts w:asciiTheme="majorHAnsi" w:eastAsiaTheme="majorEastAsia" w:hAnsiTheme="majorHAnsi" w:cstheme="majorBidi"/>
      <w:color w:val="0F4761" w:themeColor="accent1" w:themeShade="BF"/>
      <w:sz w:val="32"/>
      <w:szCs w:val="32"/>
      <w:lang w:val="pt-BR"/>
    </w:rPr>
  </w:style>
  <w:style w:type="paragraph" w:styleId="Ttulo3">
    <w:name w:val="heading 3"/>
    <w:basedOn w:val="Normal"/>
    <w:next w:val="Normal"/>
    <w:link w:val="Ttulo3Char"/>
    <w:uiPriority w:val="9"/>
    <w:semiHidden/>
    <w:unhideWhenUsed/>
    <w:qFormat/>
    <w:rsid w:val="005011EC"/>
    <w:pPr>
      <w:keepNext/>
      <w:keepLines/>
      <w:spacing w:before="160" w:after="80"/>
      <w:outlineLvl w:val="2"/>
    </w:pPr>
    <w:rPr>
      <w:rFonts w:eastAsiaTheme="majorEastAsia" w:cstheme="majorBidi"/>
      <w:color w:val="0F4761" w:themeColor="accent1" w:themeShade="BF"/>
      <w:sz w:val="28"/>
      <w:szCs w:val="28"/>
      <w:lang w:val="pt-BR"/>
    </w:rPr>
  </w:style>
  <w:style w:type="paragraph" w:styleId="Ttulo4">
    <w:name w:val="heading 4"/>
    <w:basedOn w:val="Normal"/>
    <w:next w:val="Normal"/>
    <w:link w:val="Ttulo4Char"/>
    <w:uiPriority w:val="9"/>
    <w:semiHidden/>
    <w:unhideWhenUsed/>
    <w:qFormat/>
    <w:rsid w:val="005011EC"/>
    <w:pPr>
      <w:keepNext/>
      <w:keepLines/>
      <w:spacing w:before="80" w:after="40"/>
      <w:outlineLvl w:val="3"/>
    </w:pPr>
    <w:rPr>
      <w:rFonts w:eastAsiaTheme="majorEastAsia" w:cstheme="majorBidi"/>
      <w:i/>
      <w:iCs/>
      <w:color w:val="0F4761" w:themeColor="accent1" w:themeShade="BF"/>
      <w:lang w:val="pt-BR"/>
    </w:rPr>
  </w:style>
  <w:style w:type="paragraph" w:styleId="Ttulo5">
    <w:name w:val="heading 5"/>
    <w:basedOn w:val="Normal"/>
    <w:next w:val="Normal"/>
    <w:link w:val="Ttulo5Char"/>
    <w:uiPriority w:val="9"/>
    <w:semiHidden/>
    <w:unhideWhenUsed/>
    <w:qFormat/>
    <w:rsid w:val="005011EC"/>
    <w:pPr>
      <w:keepNext/>
      <w:keepLines/>
      <w:spacing w:before="80" w:after="40"/>
      <w:outlineLvl w:val="4"/>
    </w:pPr>
    <w:rPr>
      <w:rFonts w:eastAsiaTheme="majorEastAsia" w:cstheme="majorBidi"/>
      <w:color w:val="0F4761" w:themeColor="accent1" w:themeShade="BF"/>
      <w:lang w:val="pt-BR"/>
    </w:rPr>
  </w:style>
  <w:style w:type="paragraph" w:styleId="Ttulo6">
    <w:name w:val="heading 6"/>
    <w:basedOn w:val="Normal"/>
    <w:next w:val="Normal"/>
    <w:link w:val="Ttulo6Char"/>
    <w:uiPriority w:val="9"/>
    <w:semiHidden/>
    <w:unhideWhenUsed/>
    <w:qFormat/>
    <w:rsid w:val="005011EC"/>
    <w:pPr>
      <w:keepNext/>
      <w:keepLines/>
      <w:spacing w:before="40" w:after="0"/>
      <w:outlineLvl w:val="5"/>
    </w:pPr>
    <w:rPr>
      <w:rFonts w:eastAsiaTheme="majorEastAsia" w:cstheme="majorBidi"/>
      <w:i/>
      <w:iCs/>
      <w:color w:val="595959" w:themeColor="text1" w:themeTint="A6"/>
      <w:lang w:val="pt-BR"/>
    </w:rPr>
  </w:style>
  <w:style w:type="paragraph" w:styleId="Ttulo7">
    <w:name w:val="heading 7"/>
    <w:basedOn w:val="Normal"/>
    <w:next w:val="Normal"/>
    <w:link w:val="Ttulo7Char"/>
    <w:uiPriority w:val="9"/>
    <w:semiHidden/>
    <w:unhideWhenUsed/>
    <w:qFormat/>
    <w:rsid w:val="005011EC"/>
    <w:pPr>
      <w:keepNext/>
      <w:keepLines/>
      <w:spacing w:before="40" w:after="0"/>
      <w:outlineLvl w:val="6"/>
    </w:pPr>
    <w:rPr>
      <w:rFonts w:eastAsiaTheme="majorEastAsia" w:cstheme="majorBidi"/>
      <w:color w:val="595959" w:themeColor="text1" w:themeTint="A6"/>
      <w:lang w:val="pt-BR"/>
    </w:rPr>
  </w:style>
  <w:style w:type="paragraph" w:styleId="Ttulo8">
    <w:name w:val="heading 8"/>
    <w:basedOn w:val="Normal"/>
    <w:next w:val="Normal"/>
    <w:link w:val="Ttulo8Char"/>
    <w:uiPriority w:val="9"/>
    <w:semiHidden/>
    <w:unhideWhenUsed/>
    <w:qFormat/>
    <w:rsid w:val="005011EC"/>
    <w:pPr>
      <w:keepNext/>
      <w:keepLines/>
      <w:spacing w:after="0"/>
      <w:outlineLvl w:val="7"/>
    </w:pPr>
    <w:rPr>
      <w:rFonts w:eastAsiaTheme="majorEastAsia" w:cstheme="majorBidi"/>
      <w:i/>
      <w:iCs/>
      <w:color w:val="272727" w:themeColor="text1" w:themeTint="D8"/>
      <w:lang w:val="pt-BR"/>
    </w:rPr>
  </w:style>
  <w:style w:type="paragraph" w:styleId="Ttulo9">
    <w:name w:val="heading 9"/>
    <w:basedOn w:val="Normal"/>
    <w:next w:val="Normal"/>
    <w:link w:val="Ttulo9Char"/>
    <w:uiPriority w:val="9"/>
    <w:semiHidden/>
    <w:unhideWhenUsed/>
    <w:qFormat/>
    <w:rsid w:val="005011EC"/>
    <w:pPr>
      <w:keepNext/>
      <w:keepLines/>
      <w:spacing w:after="0"/>
      <w:outlineLvl w:val="8"/>
    </w:pPr>
    <w:rPr>
      <w:rFonts w:eastAsiaTheme="majorEastAsia" w:cstheme="majorBidi"/>
      <w:color w:val="272727" w:themeColor="text1" w:themeTint="D8"/>
      <w:lang w:val="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011EC"/>
    <w:rPr>
      <w:rFonts w:asciiTheme="majorHAnsi" w:eastAsiaTheme="majorEastAsia" w:hAnsiTheme="majorHAnsi" w:cstheme="majorBidi"/>
      <w:color w:val="0F4761" w:themeColor="accent1" w:themeShade="BF"/>
      <w:sz w:val="40"/>
      <w:szCs w:val="40"/>
      <w:lang w:val="pt-BR"/>
    </w:rPr>
  </w:style>
  <w:style w:type="character" w:customStyle="1" w:styleId="Ttulo2Char">
    <w:name w:val="Título 2 Char"/>
    <w:basedOn w:val="Fontepargpadro"/>
    <w:link w:val="Ttulo2"/>
    <w:uiPriority w:val="9"/>
    <w:semiHidden/>
    <w:rsid w:val="005011EC"/>
    <w:rPr>
      <w:rFonts w:asciiTheme="majorHAnsi" w:eastAsiaTheme="majorEastAsia" w:hAnsiTheme="majorHAnsi" w:cstheme="majorBidi"/>
      <w:color w:val="0F4761" w:themeColor="accent1" w:themeShade="BF"/>
      <w:sz w:val="32"/>
      <w:szCs w:val="32"/>
      <w:lang w:val="pt-BR"/>
    </w:rPr>
  </w:style>
  <w:style w:type="character" w:customStyle="1" w:styleId="Ttulo3Char">
    <w:name w:val="Título 3 Char"/>
    <w:basedOn w:val="Fontepargpadro"/>
    <w:link w:val="Ttulo3"/>
    <w:uiPriority w:val="9"/>
    <w:semiHidden/>
    <w:rsid w:val="005011EC"/>
    <w:rPr>
      <w:rFonts w:eastAsiaTheme="majorEastAsia" w:cstheme="majorBidi"/>
      <w:color w:val="0F4761" w:themeColor="accent1" w:themeShade="BF"/>
      <w:sz w:val="28"/>
      <w:szCs w:val="28"/>
      <w:lang w:val="pt-BR"/>
    </w:rPr>
  </w:style>
  <w:style w:type="character" w:customStyle="1" w:styleId="Ttulo4Char">
    <w:name w:val="Título 4 Char"/>
    <w:basedOn w:val="Fontepargpadro"/>
    <w:link w:val="Ttulo4"/>
    <w:uiPriority w:val="9"/>
    <w:semiHidden/>
    <w:rsid w:val="005011EC"/>
    <w:rPr>
      <w:rFonts w:eastAsiaTheme="majorEastAsia" w:cstheme="majorBidi"/>
      <w:i/>
      <w:iCs/>
      <w:color w:val="0F4761" w:themeColor="accent1" w:themeShade="BF"/>
      <w:lang w:val="pt-BR"/>
    </w:rPr>
  </w:style>
  <w:style w:type="character" w:customStyle="1" w:styleId="Ttulo5Char">
    <w:name w:val="Título 5 Char"/>
    <w:basedOn w:val="Fontepargpadro"/>
    <w:link w:val="Ttulo5"/>
    <w:uiPriority w:val="9"/>
    <w:semiHidden/>
    <w:rsid w:val="005011EC"/>
    <w:rPr>
      <w:rFonts w:eastAsiaTheme="majorEastAsia" w:cstheme="majorBidi"/>
      <w:color w:val="0F4761" w:themeColor="accent1" w:themeShade="BF"/>
      <w:lang w:val="pt-BR"/>
    </w:rPr>
  </w:style>
  <w:style w:type="character" w:customStyle="1" w:styleId="Ttulo6Char">
    <w:name w:val="Título 6 Char"/>
    <w:basedOn w:val="Fontepargpadro"/>
    <w:link w:val="Ttulo6"/>
    <w:uiPriority w:val="9"/>
    <w:semiHidden/>
    <w:rsid w:val="005011EC"/>
    <w:rPr>
      <w:rFonts w:eastAsiaTheme="majorEastAsia" w:cstheme="majorBidi"/>
      <w:i/>
      <w:iCs/>
      <w:color w:val="595959" w:themeColor="text1" w:themeTint="A6"/>
      <w:lang w:val="pt-BR"/>
    </w:rPr>
  </w:style>
  <w:style w:type="character" w:customStyle="1" w:styleId="Ttulo7Char">
    <w:name w:val="Título 7 Char"/>
    <w:basedOn w:val="Fontepargpadro"/>
    <w:link w:val="Ttulo7"/>
    <w:uiPriority w:val="9"/>
    <w:semiHidden/>
    <w:rsid w:val="005011EC"/>
    <w:rPr>
      <w:rFonts w:eastAsiaTheme="majorEastAsia" w:cstheme="majorBidi"/>
      <w:color w:val="595959" w:themeColor="text1" w:themeTint="A6"/>
      <w:lang w:val="pt-BR"/>
    </w:rPr>
  </w:style>
  <w:style w:type="character" w:customStyle="1" w:styleId="Ttulo8Char">
    <w:name w:val="Título 8 Char"/>
    <w:basedOn w:val="Fontepargpadro"/>
    <w:link w:val="Ttulo8"/>
    <w:uiPriority w:val="9"/>
    <w:semiHidden/>
    <w:rsid w:val="005011EC"/>
    <w:rPr>
      <w:rFonts w:eastAsiaTheme="majorEastAsia" w:cstheme="majorBidi"/>
      <w:i/>
      <w:iCs/>
      <w:color w:val="272727" w:themeColor="text1" w:themeTint="D8"/>
      <w:lang w:val="pt-BR"/>
    </w:rPr>
  </w:style>
  <w:style w:type="character" w:customStyle="1" w:styleId="Ttulo9Char">
    <w:name w:val="Título 9 Char"/>
    <w:basedOn w:val="Fontepargpadro"/>
    <w:link w:val="Ttulo9"/>
    <w:uiPriority w:val="9"/>
    <w:semiHidden/>
    <w:rsid w:val="005011EC"/>
    <w:rPr>
      <w:rFonts w:eastAsiaTheme="majorEastAsia" w:cstheme="majorBidi"/>
      <w:color w:val="272727" w:themeColor="text1" w:themeTint="D8"/>
      <w:lang w:val="pt-BR"/>
    </w:rPr>
  </w:style>
  <w:style w:type="paragraph" w:styleId="Ttulo">
    <w:name w:val="Title"/>
    <w:basedOn w:val="Normal"/>
    <w:next w:val="Normal"/>
    <w:link w:val="TtuloChar"/>
    <w:uiPriority w:val="10"/>
    <w:qFormat/>
    <w:rsid w:val="005011EC"/>
    <w:pPr>
      <w:spacing w:after="80" w:line="240" w:lineRule="auto"/>
      <w:contextualSpacing/>
    </w:pPr>
    <w:rPr>
      <w:rFonts w:asciiTheme="majorHAnsi" w:eastAsiaTheme="majorEastAsia" w:hAnsiTheme="majorHAnsi" w:cstheme="majorBidi"/>
      <w:spacing w:val="-10"/>
      <w:kern w:val="28"/>
      <w:sz w:val="56"/>
      <w:szCs w:val="56"/>
      <w:lang w:val="pt-BR"/>
    </w:rPr>
  </w:style>
  <w:style w:type="character" w:customStyle="1" w:styleId="TtuloChar">
    <w:name w:val="Título Char"/>
    <w:basedOn w:val="Fontepargpadro"/>
    <w:link w:val="Ttulo"/>
    <w:uiPriority w:val="10"/>
    <w:rsid w:val="005011EC"/>
    <w:rPr>
      <w:rFonts w:asciiTheme="majorHAnsi" w:eastAsiaTheme="majorEastAsia" w:hAnsiTheme="majorHAnsi" w:cstheme="majorBidi"/>
      <w:spacing w:val="-10"/>
      <w:kern w:val="28"/>
      <w:sz w:val="56"/>
      <w:szCs w:val="56"/>
      <w:lang w:val="pt-BR"/>
    </w:rPr>
  </w:style>
  <w:style w:type="paragraph" w:styleId="Subttulo">
    <w:name w:val="Subtitle"/>
    <w:basedOn w:val="Normal"/>
    <w:next w:val="Normal"/>
    <w:link w:val="SubttuloChar"/>
    <w:uiPriority w:val="11"/>
    <w:qFormat/>
    <w:rsid w:val="005011EC"/>
    <w:pPr>
      <w:numPr>
        <w:ilvl w:val="1"/>
      </w:numPr>
    </w:pPr>
    <w:rPr>
      <w:rFonts w:eastAsiaTheme="majorEastAsia" w:cstheme="majorBidi"/>
      <w:color w:val="595959" w:themeColor="text1" w:themeTint="A6"/>
      <w:spacing w:val="15"/>
      <w:sz w:val="28"/>
      <w:szCs w:val="28"/>
      <w:lang w:val="pt-BR"/>
    </w:rPr>
  </w:style>
  <w:style w:type="character" w:customStyle="1" w:styleId="SubttuloChar">
    <w:name w:val="Subtítulo Char"/>
    <w:basedOn w:val="Fontepargpadro"/>
    <w:link w:val="Subttulo"/>
    <w:uiPriority w:val="11"/>
    <w:rsid w:val="005011EC"/>
    <w:rPr>
      <w:rFonts w:eastAsiaTheme="majorEastAsia" w:cstheme="majorBidi"/>
      <w:color w:val="595959" w:themeColor="text1" w:themeTint="A6"/>
      <w:spacing w:val="15"/>
      <w:sz w:val="28"/>
      <w:szCs w:val="28"/>
      <w:lang w:val="pt-BR"/>
    </w:rPr>
  </w:style>
  <w:style w:type="paragraph" w:styleId="Citao">
    <w:name w:val="Quote"/>
    <w:basedOn w:val="Normal"/>
    <w:next w:val="Normal"/>
    <w:link w:val="CitaoChar"/>
    <w:uiPriority w:val="29"/>
    <w:qFormat/>
    <w:rsid w:val="005011EC"/>
    <w:pPr>
      <w:spacing w:before="160"/>
      <w:jc w:val="center"/>
    </w:pPr>
    <w:rPr>
      <w:i/>
      <w:iCs/>
      <w:color w:val="404040" w:themeColor="text1" w:themeTint="BF"/>
      <w:lang w:val="pt-BR"/>
    </w:rPr>
  </w:style>
  <w:style w:type="character" w:customStyle="1" w:styleId="CitaoChar">
    <w:name w:val="Citação Char"/>
    <w:basedOn w:val="Fontepargpadro"/>
    <w:link w:val="Citao"/>
    <w:uiPriority w:val="29"/>
    <w:rsid w:val="005011EC"/>
    <w:rPr>
      <w:i/>
      <w:iCs/>
      <w:color w:val="404040" w:themeColor="text1" w:themeTint="BF"/>
      <w:lang w:val="pt-BR"/>
    </w:rPr>
  </w:style>
  <w:style w:type="paragraph" w:styleId="PargrafodaLista">
    <w:name w:val="List Paragraph"/>
    <w:basedOn w:val="Normal"/>
    <w:uiPriority w:val="34"/>
    <w:qFormat/>
    <w:rsid w:val="005011EC"/>
    <w:pPr>
      <w:ind w:left="720"/>
      <w:contextualSpacing/>
    </w:pPr>
    <w:rPr>
      <w:lang w:val="pt-BR"/>
    </w:rPr>
  </w:style>
  <w:style w:type="character" w:styleId="nfaseIntensa">
    <w:name w:val="Intense Emphasis"/>
    <w:basedOn w:val="Fontepargpadro"/>
    <w:uiPriority w:val="21"/>
    <w:qFormat/>
    <w:rsid w:val="005011EC"/>
    <w:rPr>
      <w:i/>
      <w:iCs/>
      <w:color w:val="0F4761" w:themeColor="accent1" w:themeShade="BF"/>
    </w:rPr>
  </w:style>
  <w:style w:type="paragraph" w:styleId="CitaoIntensa">
    <w:name w:val="Intense Quote"/>
    <w:basedOn w:val="Normal"/>
    <w:next w:val="Normal"/>
    <w:link w:val="CitaoIntensaChar"/>
    <w:uiPriority w:val="30"/>
    <w:qFormat/>
    <w:rsid w:val="005011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pt-BR"/>
    </w:rPr>
  </w:style>
  <w:style w:type="character" w:customStyle="1" w:styleId="CitaoIntensaChar">
    <w:name w:val="Citação Intensa Char"/>
    <w:basedOn w:val="Fontepargpadro"/>
    <w:link w:val="CitaoIntensa"/>
    <w:uiPriority w:val="30"/>
    <w:rsid w:val="005011EC"/>
    <w:rPr>
      <w:i/>
      <w:iCs/>
      <w:color w:val="0F4761" w:themeColor="accent1" w:themeShade="BF"/>
      <w:lang w:val="pt-BR"/>
    </w:rPr>
  </w:style>
  <w:style w:type="character" w:styleId="RefernciaIntensa">
    <w:name w:val="Intense Reference"/>
    <w:basedOn w:val="Fontepargpadro"/>
    <w:uiPriority w:val="32"/>
    <w:qFormat/>
    <w:rsid w:val="005011EC"/>
    <w:rPr>
      <w:b/>
      <w:bCs/>
      <w:smallCaps/>
      <w:color w:val="0F4761" w:themeColor="accent1" w:themeShade="BF"/>
      <w:spacing w:val="5"/>
    </w:rPr>
  </w:style>
  <w:style w:type="table" w:styleId="SimplesTabela2">
    <w:name w:val="Plain Table 2"/>
    <w:basedOn w:val="Tabelanormal"/>
    <w:uiPriority w:val="42"/>
    <w:rsid w:val="005011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D44D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rte">
    <w:name w:val="Strong"/>
    <w:basedOn w:val="Fontepargpadro"/>
    <w:uiPriority w:val="22"/>
    <w:qFormat/>
    <w:rsid w:val="00D44D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Planilha6!$F$1</c:f>
              <c:strCache>
                <c:ptCount val="1"/>
                <c:pt idx="0">
                  <c:v>A</c:v>
                </c:pt>
              </c:strCache>
            </c:strRef>
          </c:tx>
          <c:spPr>
            <a:solidFill>
              <a:schemeClr val="accent1"/>
            </a:solidFill>
            <a:ln>
              <a:noFill/>
            </a:ln>
            <a:effectLst/>
          </c:spPr>
          <c:invertIfNegative val="0"/>
          <c:dLbls>
            <c:dLbl>
              <c:idx val="0"/>
              <c:tx>
                <c:rich>
                  <a:bodyPr/>
                  <a:lstStyle/>
                  <a:p>
                    <a:fld id="{F55FC89F-012A-45EA-BA2D-FB83A684B0F1}"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5271-430A-85D5-6ED814F87FDA}"/>
                </c:ext>
              </c:extLst>
            </c:dLbl>
            <c:dLbl>
              <c:idx val="1"/>
              <c:tx>
                <c:rich>
                  <a:bodyPr/>
                  <a:lstStyle/>
                  <a:p>
                    <a:fld id="{8A0A50C5-1F0A-4C45-A567-A185D6A54276}"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271-430A-85D5-6ED814F87FDA}"/>
                </c:ext>
              </c:extLst>
            </c:dLbl>
            <c:dLbl>
              <c:idx val="2"/>
              <c:tx>
                <c:rich>
                  <a:bodyPr/>
                  <a:lstStyle/>
                  <a:p>
                    <a:fld id="{67C4B816-AD75-4C29-B86B-58CDE3B84066}"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271-430A-85D5-6ED814F87FDA}"/>
                </c:ext>
              </c:extLst>
            </c:dLbl>
            <c:dLbl>
              <c:idx val="3"/>
              <c:tx>
                <c:rich>
                  <a:bodyPr/>
                  <a:lstStyle/>
                  <a:p>
                    <a:fld id="{C446E204-3B39-4F56-A110-69B0036FC7D6}"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271-430A-85D5-6ED814F87FDA}"/>
                </c:ext>
              </c:extLst>
            </c:dLbl>
            <c:dLbl>
              <c:idx val="4"/>
              <c:tx>
                <c:rich>
                  <a:bodyPr/>
                  <a:lstStyle/>
                  <a:p>
                    <a:fld id="{71F674E2-D0F2-475D-B1A6-0810A6411693}"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271-430A-85D5-6ED814F87FDA}"/>
                </c:ext>
              </c:extLst>
            </c:dLbl>
            <c:dLbl>
              <c:idx val="5"/>
              <c:tx>
                <c:rich>
                  <a:bodyPr/>
                  <a:lstStyle/>
                  <a:p>
                    <a:fld id="{BD62E7C1-8F1D-4EDD-821C-4C690188031F}"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271-430A-85D5-6ED814F87FDA}"/>
                </c:ext>
              </c:extLst>
            </c:dLbl>
            <c:dLbl>
              <c:idx val="6"/>
              <c:tx>
                <c:rich>
                  <a:bodyPr/>
                  <a:lstStyle/>
                  <a:p>
                    <a:fld id="{CD99245B-DDE9-40CB-A0B8-9AA00D049AEB}"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5271-430A-85D5-6ED814F87FDA}"/>
                </c:ext>
              </c:extLst>
            </c:dLbl>
            <c:dLbl>
              <c:idx val="7"/>
              <c:tx>
                <c:rich>
                  <a:bodyPr/>
                  <a:lstStyle/>
                  <a:p>
                    <a:fld id="{A1C72C0F-41DA-4AA3-884C-F77F28DD2C3E}"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5271-430A-85D5-6ED814F87FDA}"/>
                </c:ext>
              </c:extLst>
            </c:dLbl>
            <c:dLbl>
              <c:idx val="8"/>
              <c:tx>
                <c:rich>
                  <a:bodyPr/>
                  <a:lstStyle/>
                  <a:p>
                    <a:fld id="{CDA8E317-F3DC-49EA-AAFA-86D353FB1EB3}"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271-430A-85D5-6ED814F87FDA}"/>
                </c:ext>
              </c:extLst>
            </c:dLbl>
            <c:dLbl>
              <c:idx val="9"/>
              <c:tx>
                <c:rich>
                  <a:bodyPr/>
                  <a:lstStyle/>
                  <a:p>
                    <a:fld id="{8F1BB18E-B34C-4C27-AFE8-397532AC1D2D}"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5271-430A-85D5-6ED814F87FDA}"/>
                </c:ext>
              </c:extLst>
            </c:dLbl>
            <c:dLbl>
              <c:idx val="10"/>
              <c:tx>
                <c:rich>
                  <a:bodyPr/>
                  <a:lstStyle/>
                  <a:p>
                    <a:fld id="{639C509C-9466-4F17-AB20-DF6D69DA2175}"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5271-430A-85D5-6ED814F87FDA}"/>
                </c:ext>
              </c:extLst>
            </c:dLbl>
            <c:dLbl>
              <c:idx val="11"/>
              <c:tx>
                <c:rich>
                  <a:bodyPr/>
                  <a:lstStyle/>
                  <a:p>
                    <a:fld id="{60748428-E8FE-446C-9C21-761D25B2ABCC}"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271-430A-85D5-6ED814F87FDA}"/>
                </c:ext>
              </c:extLst>
            </c:dLbl>
            <c:dLbl>
              <c:idx val="12"/>
              <c:tx>
                <c:rich>
                  <a:bodyPr/>
                  <a:lstStyle/>
                  <a:p>
                    <a:fld id="{0326135C-3449-43A4-A62F-13EA65A7900A}"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5271-430A-85D5-6ED814F87FDA}"/>
                </c:ext>
              </c:extLst>
            </c:dLbl>
            <c:dLbl>
              <c:idx val="13"/>
              <c:tx>
                <c:rich>
                  <a:bodyPr/>
                  <a:lstStyle/>
                  <a:p>
                    <a:fld id="{88F7D6EC-7C10-4EB9-B9F1-9D86DEB0BE26}"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5271-430A-85D5-6ED814F87FDA}"/>
                </c:ext>
              </c:extLst>
            </c:dLbl>
            <c:dLbl>
              <c:idx val="14"/>
              <c:tx>
                <c:rich>
                  <a:bodyPr/>
                  <a:lstStyle/>
                  <a:p>
                    <a:fld id="{49A0A218-9188-4388-9368-4C2B208F665F}"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5271-430A-85D5-6ED814F87FDA}"/>
                </c:ext>
              </c:extLst>
            </c:dLbl>
            <c:dLbl>
              <c:idx val="15"/>
              <c:tx>
                <c:rich>
                  <a:bodyPr/>
                  <a:lstStyle/>
                  <a:p>
                    <a:fld id="{3B41350D-56CF-4E9D-8324-9C524BBC6178}"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5271-430A-85D5-6ED814F87FDA}"/>
                </c:ext>
              </c:extLst>
            </c:dLbl>
            <c:dLbl>
              <c:idx val="16"/>
              <c:tx>
                <c:rich>
                  <a:bodyPr/>
                  <a:lstStyle/>
                  <a:p>
                    <a:fld id="{C0A21860-5C0E-4CB2-A70A-36789BA1143C}"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271-430A-85D5-6ED814F87FDA}"/>
                </c:ext>
              </c:extLst>
            </c:dLbl>
            <c:dLbl>
              <c:idx val="17"/>
              <c:tx>
                <c:rich>
                  <a:bodyPr/>
                  <a:lstStyle/>
                  <a:p>
                    <a:fld id="{60FE5038-41EA-4356-878B-27EA303E71AB}"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5271-430A-85D5-6ED814F87FDA}"/>
                </c:ext>
              </c:extLst>
            </c:dLbl>
            <c:dLbl>
              <c:idx val="18"/>
              <c:tx>
                <c:rich>
                  <a:bodyPr/>
                  <a:lstStyle/>
                  <a:p>
                    <a:fld id="{0FD53CCD-5BB9-4451-905C-3F4CD1BFB9A8}"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5271-430A-85D5-6ED814F87FDA}"/>
                </c:ext>
              </c:extLst>
            </c:dLbl>
            <c:dLbl>
              <c:idx val="19"/>
              <c:tx>
                <c:rich>
                  <a:bodyPr/>
                  <a:lstStyle/>
                  <a:p>
                    <a:fld id="{3D8EB073-6EE2-49A4-9EAA-9875D85D34E2}"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5271-430A-85D5-6ED814F87FDA}"/>
                </c:ext>
              </c:extLst>
            </c:dLbl>
            <c:dLbl>
              <c:idx val="20"/>
              <c:tx>
                <c:rich>
                  <a:bodyPr/>
                  <a:lstStyle/>
                  <a:p>
                    <a:fld id="{38ECC3C8-5251-427E-8760-D695593300FA}"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5271-430A-85D5-6ED814F87FDA}"/>
                </c:ext>
              </c:extLst>
            </c:dLbl>
            <c:dLbl>
              <c:idx val="21"/>
              <c:tx>
                <c:rich>
                  <a:bodyPr/>
                  <a:lstStyle/>
                  <a:p>
                    <a:fld id="{6E65E0A1-FF4E-42E9-8B50-07D946EE0913}"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5271-430A-85D5-6ED814F87FDA}"/>
                </c:ext>
              </c:extLst>
            </c:dLbl>
            <c:dLbl>
              <c:idx val="22"/>
              <c:tx>
                <c:rich>
                  <a:bodyPr/>
                  <a:lstStyle/>
                  <a:p>
                    <a:fld id="{511DBAC8-95F6-4BFB-A157-C964CE5D4106}"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5271-430A-85D5-6ED814F87FDA}"/>
                </c:ext>
              </c:extLst>
            </c:dLbl>
            <c:dLbl>
              <c:idx val="23"/>
              <c:tx>
                <c:rich>
                  <a:bodyPr/>
                  <a:lstStyle/>
                  <a:p>
                    <a:fld id="{BE5643F8-9EB6-4988-A94C-F764EAF0E904}"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5271-430A-85D5-6ED814F87FDA}"/>
                </c:ext>
              </c:extLst>
            </c:dLbl>
            <c:dLbl>
              <c:idx val="24"/>
              <c:tx>
                <c:rich>
                  <a:bodyPr/>
                  <a:lstStyle/>
                  <a:p>
                    <a:fld id="{DBA5D8EE-DCE7-4C0E-8B1D-FDFAE53AB798}"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5271-430A-85D5-6ED814F87FDA}"/>
                </c:ext>
              </c:extLst>
            </c:dLbl>
            <c:dLbl>
              <c:idx val="25"/>
              <c:tx>
                <c:rich>
                  <a:bodyPr/>
                  <a:lstStyle/>
                  <a:p>
                    <a:fld id="{19D7F73D-F5F6-46E8-9612-2BA703B61DD8}"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5271-430A-85D5-6ED814F87FDA}"/>
                </c:ext>
              </c:extLst>
            </c:dLbl>
            <c:dLbl>
              <c:idx val="26"/>
              <c:tx>
                <c:rich>
                  <a:bodyPr/>
                  <a:lstStyle/>
                  <a:p>
                    <a:fld id="{6D3AAAD4-8037-48EE-8C89-E71662206391}"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5271-430A-85D5-6ED814F87FDA}"/>
                </c:ext>
              </c:extLst>
            </c:dLbl>
            <c:dLbl>
              <c:idx val="27"/>
              <c:tx>
                <c:rich>
                  <a:bodyPr/>
                  <a:lstStyle/>
                  <a:p>
                    <a:fld id="{9179A424-110E-4542-A477-2695E68147C3}"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5271-430A-85D5-6ED814F87FDA}"/>
                </c:ext>
              </c:extLst>
            </c:dLbl>
            <c:dLbl>
              <c:idx val="28"/>
              <c:tx>
                <c:rich>
                  <a:bodyPr/>
                  <a:lstStyle/>
                  <a:p>
                    <a:fld id="{2031FEBB-1BF8-48D4-AB5B-E82EFEAC9206}" type="CELLRANGE">
                      <a:rPr lang="en-US"/>
                      <a:pPr/>
                      <a:t>[INTERVALODACÉLULA]</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5271-430A-85D5-6ED814F87FD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Planilha6!$E$2:$E$30</c:f>
              <c:strCache>
                <c:ptCount val="29"/>
                <c:pt idx="0">
                  <c:v>Chronic Liver Disease</c:v>
                </c:pt>
                <c:pt idx="1">
                  <c:v>Down Syndrome</c:v>
                </c:pt>
                <c:pt idx="2">
                  <c:v>Chronic Hematologic Disease</c:v>
                </c:pt>
                <c:pt idx="3">
                  <c:v>Loss of taste</c:v>
                </c:pt>
                <c:pt idx="4">
                  <c:v>Loss of smell</c:v>
                </c:pt>
                <c:pt idx="5">
                  <c:v>Obesity</c:v>
                </c:pt>
                <c:pt idx="6">
                  <c:v>Chronic Kidney Disease</c:v>
                </c:pt>
                <c:pt idx="7">
                  <c:v>Immunodeficiency/Immunosuppression</c:v>
                </c:pt>
                <c:pt idx="8">
                  <c:v>Chronic Neurological Disease</c:v>
                </c:pt>
                <c:pt idx="9">
                  <c:v>Abdominal pain</c:v>
                </c:pt>
                <c:pt idx="10">
                  <c:v>Asthma</c:v>
                </c:pt>
                <c:pt idx="11">
                  <c:v>Other Chronic Lung Disease</c:v>
                </c:pt>
                <c:pt idx="12">
                  <c:v>Diarrhea</c:v>
                </c:pt>
                <c:pt idx="13">
                  <c:v>Outcome: Death</c:v>
                </c:pt>
                <c:pt idx="14">
                  <c:v>Vomiting</c:v>
                </c:pt>
                <c:pt idx="15">
                  <c:v>Diabetes mellitus</c:v>
                </c:pt>
                <c:pt idx="16">
                  <c:v>Vaccinated (Influenza)</c:v>
                </c:pt>
                <c:pt idx="17">
                  <c:v>Sore throat</c:v>
                </c:pt>
                <c:pt idx="18">
                  <c:v>Fatigue</c:v>
                </c:pt>
                <c:pt idx="19">
                  <c:v>Oseltamivir</c:v>
                </c:pt>
                <c:pt idx="20">
                  <c:v>Chronic Cardiovascular Disease</c:v>
                </c:pt>
                <c:pt idx="21">
                  <c:v>Vaccinated (COVID-19)</c:v>
                </c:pt>
                <c:pt idx="22">
                  <c:v>ICU Admission</c:v>
                </c:pt>
                <c:pt idx="23">
                  <c:v>Male</c:v>
                </c:pt>
                <c:pt idx="24">
                  <c:v>O2 Saturation &lt; 95%</c:v>
                </c:pt>
                <c:pt idx="25">
                  <c:v>Respiratory distress</c:v>
                </c:pt>
                <c:pt idx="26">
                  <c:v>Dyspnea</c:v>
                </c:pt>
                <c:pt idx="27">
                  <c:v>Fever</c:v>
                </c:pt>
                <c:pt idx="28">
                  <c:v>Cough</c:v>
                </c:pt>
              </c:strCache>
            </c:strRef>
          </c:cat>
          <c:val>
            <c:numRef>
              <c:f>Planilha6!$F$2:$F$30</c:f>
              <c:numCache>
                <c:formatCode>0.00</c:formatCode>
                <c:ptCount val="29"/>
                <c:pt idx="0">
                  <c:v>-0.74589756340129287</c:v>
                </c:pt>
                <c:pt idx="1">
                  <c:v>-0.86666193080912124</c:v>
                </c:pt>
                <c:pt idx="2">
                  <c:v>-1.3284080414861121</c:v>
                </c:pt>
                <c:pt idx="3">
                  <c:v>-1.5841443489379838</c:v>
                </c:pt>
                <c:pt idx="4">
                  <c:v>-1.6764935710733821</c:v>
                </c:pt>
                <c:pt idx="5">
                  <c:v>-3.4098174326916246</c:v>
                </c:pt>
                <c:pt idx="6">
                  <c:v>-3.5661007316899909</c:v>
                </c:pt>
                <c:pt idx="7">
                  <c:v>-3.7365916033245719</c:v>
                </c:pt>
                <c:pt idx="8">
                  <c:v>-5.3562548838530937</c:v>
                </c:pt>
                <c:pt idx="9">
                  <c:v>-7.1961355402429499</c:v>
                </c:pt>
                <c:pt idx="10">
                  <c:v>-7.5229097108758971</c:v>
                </c:pt>
                <c:pt idx="11">
                  <c:v>-7.9988633941891027</c:v>
                </c:pt>
                <c:pt idx="12">
                  <c:v>-9.4622433757192574</c:v>
                </c:pt>
                <c:pt idx="13">
                  <c:v>-12.737088868366838</c:v>
                </c:pt>
                <c:pt idx="14">
                  <c:v>-13.035447893727357</c:v>
                </c:pt>
                <c:pt idx="15">
                  <c:v>-13.966043901399447</c:v>
                </c:pt>
                <c:pt idx="16">
                  <c:v>-14.136534773034025</c:v>
                </c:pt>
                <c:pt idx="17">
                  <c:v>-14.527243020529943</c:v>
                </c:pt>
                <c:pt idx="18">
                  <c:v>-19.400440434751722</c:v>
                </c:pt>
                <c:pt idx="19">
                  <c:v>-21.609717979683172</c:v>
                </c:pt>
                <c:pt idx="20">
                  <c:v>-23.229381260211692</c:v>
                </c:pt>
                <c:pt idx="21">
                  <c:v>-24.302052994245933</c:v>
                </c:pt>
                <c:pt idx="22">
                  <c:v>-28.031540811252398</c:v>
                </c:pt>
                <c:pt idx="23">
                  <c:v>-48.483341621084037</c:v>
                </c:pt>
                <c:pt idx="24">
                  <c:v>-52.553811181359663</c:v>
                </c:pt>
                <c:pt idx="25">
                  <c:v>-59.963060311145846</c:v>
                </c:pt>
                <c:pt idx="26">
                  <c:v>-62.683810470981037</c:v>
                </c:pt>
                <c:pt idx="27">
                  <c:v>-71.655892590750867</c:v>
                </c:pt>
                <c:pt idx="28">
                  <c:v>-80.976060240107969</c:v>
                </c:pt>
              </c:numCache>
            </c:numRef>
          </c:val>
          <c:extLst>
            <c:ext xmlns:c15="http://schemas.microsoft.com/office/drawing/2012/chart" uri="{02D57815-91ED-43cb-92C2-25804820EDAC}">
              <c15:datalabelsRange>
                <c15:f>Planilha6!$B$2:$B$30</c15:f>
                <c15:dlblRangeCache>
                  <c:ptCount val="29"/>
                  <c:pt idx="0">
                    <c:v>0,75</c:v>
                  </c:pt>
                  <c:pt idx="1">
                    <c:v>0,87</c:v>
                  </c:pt>
                  <c:pt idx="2">
                    <c:v>1,33</c:v>
                  </c:pt>
                  <c:pt idx="3">
                    <c:v>1,58</c:v>
                  </c:pt>
                  <c:pt idx="4">
                    <c:v>1,68</c:v>
                  </c:pt>
                  <c:pt idx="5">
                    <c:v>3,41</c:v>
                  </c:pt>
                  <c:pt idx="6">
                    <c:v>3,57</c:v>
                  </c:pt>
                  <c:pt idx="7">
                    <c:v>3,74</c:v>
                  </c:pt>
                  <c:pt idx="8">
                    <c:v>5,36</c:v>
                  </c:pt>
                  <c:pt idx="9">
                    <c:v>7,20</c:v>
                  </c:pt>
                  <c:pt idx="10">
                    <c:v>7,52</c:v>
                  </c:pt>
                  <c:pt idx="11">
                    <c:v>8,00</c:v>
                  </c:pt>
                  <c:pt idx="12">
                    <c:v>9,46</c:v>
                  </c:pt>
                  <c:pt idx="13">
                    <c:v>12,74</c:v>
                  </c:pt>
                  <c:pt idx="14">
                    <c:v>13,04</c:v>
                  </c:pt>
                  <c:pt idx="15">
                    <c:v>13,97</c:v>
                  </c:pt>
                  <c:pt idx="16">
                    <c:v>14,14</c:v>
                  </c:pt>
                  <c:pt idx="17">
                    <c:v>14,53</c:v>
                  </c:pt>
                  <c:pt idx="18">
                    <c:v>19,40</c:v>
                  </c:pt>
                  <c:pt idx="19">
                    <c:v>21,61</c:v>
                  </c:pt>
                  <c:pt idx="20">
                    <c:v>23,23</c:v>
                  </c:pt>
                  <c:pt idx="21">
                    <c:v>24,30</c:v>
                  </c:pt>
                  <c:pt idx="22">
                    <c:v>28,03</c:v>
                  </c:pt>
                  <c:pt idx="23">
                    <c:v>48,48</c:v>
                  </c:pt>
                  <c:pt idx="24">
                    <c:v>52,55</c:v>
                  </c:pt>
                  <c:pt idx="25">
                    <c:v>59,96</c:v>
                  </c:pt>
                  <c:pt idx="26">
                    <c:v>62,68</c:v>
                  </c:pt>
                  <c:pt idx="27">
                    <c:v>71,66</c:v>
                  </c:pt>
                  <c:pt idx="28">
                    <c:v>80,98</c:v>
                  </c:pt>
                </c15:dlblRangeCache>
              </c15:datalabelsRange>
            </c:ext>
            <c:ext xmlns:c16="http://schemas.microsoft.com/office/drawing/2014/chart" uri="{C3380CC4-5D6E-409C-BE32-E72D297353CC}">
              <c16:uniqueId val="{0000001D-5271-430A-85D5-6ED814F87FDA}"/>
            </c:ext>
          </c:extLst>
        </c:ser>
        <c:ser>
          <c:idx val="1"/>
          <c:order val="1"/>
          <c:tx>
            <c:strRef>
              <c:f>Planilha6!$G$1</c:f>
              <c:strCache>
                <c:ptCount val="1"/>
                <c:pt idx="0">
                  <c:v>B</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Planilha6!$E$2:$E$30</c:f>
              <c:strCache>
                <c:ptCount val="29"/>
                <c:pt idx="0">
                  <c:v>Chronic Liver Disease</c:v>
                </c:pt>
                <c:pt idx="1">
                  <c:v>Down Syndrome</c:v>
                </c:pt>
                <c:pt idx="2">
                  <c:v>Chronic Hematologic Disease</c:v>
                </c:pt>
                <c:pt idx="3">
                  <c:v>Loss of taste</c:v>
                </c:pt>
                <c:pt idx="4">
                  <c:v>Loss of smell</c:v>
                </c:pt>
                <c:pt idx="5">
                  <c:v>Obesity</c:v>
                </c:pt>
                <c:pt idx="6">
                  <c:v>Chronic Kidney Disease</c:v>
                </c:pt>
                <c:pt idx="7">
                  <c:v>Immunodeficiency/Immunosuppression</c:v>
                </c:pt>
                <c:pt idx="8">
                  <c:v>Chronic Neurological Disease</c:v>
                </c:pt>
                <c:pt idx="9">
                  <c:v>Abdominal pain</c:v>
                </c:pt>
                <c:pt idx="10">
                  <c:v>Asthma</c:v>
                </c:pt>
                <c:pt idx="11">
                  <c:v>Other Chronic Lung Disease</c:v>
                </c:pt>
                <c:pt idx="12">
                  <c:v>Diarrhea</c:v>
                </c:pt>
                <c:pt idx="13">
                  <c:v>Outcome: Death</c:v>
                </c:pt>
                <c:pt idx="14">
                  <c:v>Vomiting</c:v>
                </c:pt>
                <c:pt idx="15">
                  <c:v>Diabetes mellitus</c:v>
                </c:pt>
                <c:pt idx="16">
                  <c:v>Vaccinated (Influenza)</c:v>
                </c:pt>
                <c:pt idx="17">
                  <c:v>Sore throat</c:v>
                </c:pt>
                <c:pt idx="18">
                  <c:v>Fatigue</c:v>
                </c:pt>
                <c:pt idx="19">
                  <c:v>Oseltamivir</c:v>
                </c:pt>
                <c:pt idx="20">
                  <c:v>Chronic Cardiovascular Disease</c:v>
                </c:pt>
                <c:pt idx="21">
                  <c:v>Vaccinated (COVID-19)</c:v>
                </c:pt>
                <c:pt idx="22">
                  <c:v>ICU Admission</c:v>
                </c:pt>
                <c:pt idx="23">
                  <c:v>Male</c:v>
                </c:pt>
                <c:pt idx="24">
                  <c:v>O2 Saturation &lt; 95%</c:v>
                </c:pt>
                <c:pt idx="25">
                  <c:v>Respiratory distress</c:v>
                </c:pt>
                <c:pt idx="26">
                  <c:v>Dyspnea</c:v>
                </c:pt>
                <c:pt idx="27">
                  <c:v>Fever</c:v>
                </c:pt>
                <c:pt idx="28">
                  <c:v>Cough</c:v>
                </c:pt>
              </c:strCache>
            </c:strRef>
          </c:cat>
          <c:val>
            <c:numRef>
              <c:f>Planilha6!$G$2:$G$30</c:f>
              <c:numCache>
                <c:formatCode>0.00</c:formatCode>
                <c:ptCount val="29"/>
                <c:pt idx="0">
                  <c:v>0.57351407716371217</c:v>
                </c:pt>
                <c:pt idx="1">
                  <c:v>1.0948905109489051</c:v>
                </c:pt>
                <c:pt idx="2">
                  <c:v>1.3034410844629822</c:v>
                </c:pt>
                <c:pt idx="3">
                  <c:v>1.4598540145985401</c:v>
                </c:pt>
                <c:pt idx="4">
                  <c:v>1.251303441084463</c:v>
                </c:pt>
                <c:pt idx="5">
                  <c:v>1.8769551616266946</c:v>
                </c:pt>
                <c:pt idx="6">
                  <c:v>2.5547445255474455</c:v>
                </c:pt>
                <c:pt idx="7">
                  <c:v>3.6496350364963499</c:v>
                </c:pt>
                <c:pt idx="8">
                  <c:v>4.2231491136600621</c:v>
                </c:pt>
                <c:pt idx="9">
                  <c:v>9.5933263816475485</c:v>
                </c:pt>
                <c:pt idx="10">
                  <c:v>6.7257559958289885</c:v>
                </c:pt>
                <c:pt idx="11">
                  <c:v>3.388946819603754</c:v>
                </c:pt>
                <c:pt idx="12">
                  <c:v>10.114702815432743</c:v>
                </c:pt>
                <c:pt idx="13">
                  <c:v>7.3514077163712193</c:v>
                </c:pt>
                <c:pt idx="14">
                  <c:v>16.892596454640248</c:v>
                </c:pt>
                <c:pt idx="15">
                  <c:v>5.7351407716371217</c:v>
                </c:pt>
                <c:pt idx="16">
                  <c:v>10.844629822732013</c:v>
                </c:pt>
                <c:pt idx="17">
                  <c:v>17.10114702815433</c:v>
                </c:pt>
                <c:pt idx="18">
                  <c:v>18.45672575599583</c:v>
                </c:pt>
                <c:pt idx="19">
                  <c:v>21.897810218978105</c:v>
                </c:pt>
                <c:pt idx="20">
                  <c:v>9.3326381647549521</c:v>
                </c:pt>
                <c:pt idx="21">
                  <c:v>16.110531803962459</c:v>
                </c:pt>
                <c:pt idx="22">
                  <c:v>27.997914494264858</c:v>
                </c:pt>
                <c:pt idx="23">
                  <c:v>48.696558915537018</c:v>
                </c:pt>
                <c:pt idx="24">
                  <c:v>42.179353493222102</c:v>
                </c:pt>
                <c:pt idx="25">
                  <c:v>53.128258602711156</c:v>
                </c:pt>
                <c:pt idx="26">
                  <c:v>49.37434827945777</c:v>
                </c:pt>
                <c:pt idx="27">
                  <c:v>76.903023983315961</c:v>
                </c:pt>
                <c:pt idx="28">
                  <c:v>79.770594369134514</c:v>
                </c:pt>
              </c:numCache>
            </c:numRef>
          </c:val>
          <c:extLst>
            <c:ext xmlns:c16="http://schemas.microsoft.com/office/drawing/2014/chart" uri="{C3380CC4-5D6E-409C-BE32-E72D297353CC}">
              <c16:uniqueId val="{0000001E-5271-430A-85D5-6ED814F87FDA}"/>
            </c:ext>
          </c:extLst>
        </c:ser>
        <c:dLbls>
          <c:dLblPos val="outEnd"/>
          <c:showLegendKey val="0"/>
          <c:showVal val="1"/>
          <c:showCatName val="0"/>
          <c:showSerName val="0"/>
          <c:showPercent val="0"/>
          <c:showBubbleSize val="0"/>
        </c:dLbls>
        <c:gapWidth val="30"/>
        <c:overlap val="100"/>
        <c:axId val="615154736"/>
        <c:axId val="615155216"/>
      </c:barChart>
      <c:catAx>
        <c:axId val="61515473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15155216"/>
        <c:crosses val="autoZero"/>
        <c:auto val="1"/>
        <c:lblAlgn val="ctr"/>
        <c:lblOffset val="1000"/>
        <c:noMultiLvlLbl val="0"/>
      </c:catAx>
      <c:valAx>
        <c:axId val="615155216"/>
        <c:scaling>
          <c:orientation val="minMax"/>
        </c:scaling>
        <c:delete val="1"/>
        <c:axPos val="b"/>
        <c:numFmt formatCode="0.00" sourceLinked="1"/>
        <c:majorTickMark val="none"/>
        <c:minorTickMark val="none"/>
        <c:tickLblPos val="nextTo"/>
        <c:crossAx val="615154736"/>
        <c:crosses val="autoZero"/>
        <c:crossBetween val="between"/>
      </c:valAx>
      <c:spPr>
        <a:noFill/>
        <a:ln>
          <a:noFill/>
        </a:ln>
        <a:effectLst/>
      </c:spPr>
    </c:plotArea>
    <c:legend>
      <c:legendPos val="b"/>
      <c:layout>
        <c:manualLayout>
          <c:xMode val="edge"/>
          <c:yMode val="edge"/>
          <c:x val="0.44795866141732282"/>
          <c:y val="0.91868136269334588"/>
          <c:w val="7.5115809062621927E-2"/>
          <c:h val="3.35222846846170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40</TotalTime>
  <Pages>9</Pages>
  <Words>2283</Words>
  <Characters>13014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Sardinha</dc:creator>
  <cp:keywords/>
  <dc:description/>
  <cp:lastModifiedBy>Daniele Sardinha</cp:lastModifiedBy>
  <cp:revision>31</cp:revision>
  <dcterms:created xsi:type="dcterms:W3CDTF">2026-01-22T00:17:00Z</dcterms:created>
  <dcterms:modified xsi:type="dcterms:W3CDTF">2026-06-04T13:39:00Z</dcterms:modified>
</cp:coreProperties>
</file>