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8650A" w14:textId="77777777" w:rsidR="00D775F7" w:rsidRDefault="00D775F7"/>
    <w:p w14:paraId="3B59290B" w14:textId="77777777" w:rsidR="00D775F7" w:rsidRDefault="00D775F7">
      <w:r>
        <w:t>Summary of Findings Table</w:t>
      </w:r>
    </w:p>
    <w:tbl>
      <w:tblPr>
        <w:tblStyle w:val="TableGrid"/>
        <w:tblW w:w="14361" w:type="dxa"/>
        <w:tblLayout w:type="fixed"/>
        <w:tblLook w:val="04A0" w:firstRow="1" w:lastRow="0" w:firstColumn="1" w:lastColumn="0" w:noHBand="0" w:noVBand="1"/>
      </w:tblPr>
      <w:tblGrid>
        <w:gridCol w:w="1615"/>
        <w:gridCol w:w="1710"/>
        <w:gridCol w:w="1440"/>
        <w:gridCol w:w="1260"/>
        <w:gridCol w:w="900"/>
        <w:gridCol w:w="1350"/>
        <w:gridCol w:w="1260"/>
        <w:gridCol w:w="1170"/>
        <w:gridCol w:w="1170"/>
        <w:gridCol w:w="2486"/>
      </w:tblGrid>
      <w:tr w:rsidR="00F436A6" w:rsidRPr="006E1336" w14:paraId="6C09B942" w14:textId="77777777" w:rsidTr="00073E7A">
        <w:trPr>
          <w:trHeight w:val="235"/>
        </w:trPr>
        <w:tc>
          <w:tcPr>
            <w:tcW w:w="1615" w:type="dxa"/>
            <w:vMerge w:val="restart"/>
            <w:vAlign w:val="center"/>
          </w:tcPr>
          <w:p w14:paraId="668860F0" w14:textId="425162F8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  <w:r w:rsidRPr="000D1CC0">
              <w:rPr>
                <w:sz w:val="20"/>
                <w:szCs w:val="20"/>
              </w:rPr>
              <w:t>Category</w:t>
            </w:r>
          </w:p>
        </w:tc>
        <w:tc>
          <w:tcPr>
            <w:tcW w:w="1710" w:type="dxa"/>
            <w:vMerge w:val="restart"/>
            <w:vAlign w:val="center"/>
          </w:tcPr>
          <w:p w14:paraId="18FBBE24" w14:textId="62704381" w:rsidR="00B22010" w:rsidRPr="00E75C24" w:rsidRDefault="00B22010" w:rsidP="00EB4A94">
            <w:pPr>
              <w:jc w:val="center"/>
              <w:rPr>
                <w:sz w:val="20"/>
                <w:szCs w:val="20"/>
              </w:rPr>
            </w:pPr>
            <w:r w:rsidRPr="00E75C24">
              <w:rPr>
                <w:sz w:val="20"/>
                <w:szCs w:val="20"/>
              </w:rPr>
              <w:t>Interventions of Interest</w:t>
            </w:r>
          </w:p>
        </w:tc>
        <w:tc>
          <w:tcPr>
            <w:tcW w:w="1440" w:type="dxa"/>
            <w:vMerge w:val="restart"/>
            <w:vAlign w:val="center"/>
          </w:tcPr>
          <w:p w14:paraId="0CBA3496" w14:textId="0E9BE831" w:rsidR="00B22010" w:rsidRPr="00E75C24" w:rsidRDefault="00B22010" w:rsidP="00EB4A94">
            <w:pPr>
              <w:jc w:val="center"/>
              <w:rPr>
                <w:sz w:val="20"/>
                <w:szCs w:val="20"/>
              </w:rPr>
            </w:pPr>
            <w:r w:rsidRPr="00E75C24">
              <w:rPr>
                <w:sz w:val="20"/>
                <w:szCs w:val="20"/>
              </w:rPr>
              <w:t>Comparators of Interest</w:t>
            </w:r>
          </w:p>
        </w:tc>
        <w:tc>
          <w:tcPr>
            <w:tcW w:w="1260" w:type="dxa"/>
            <w:vMerge w:val="restart"/>
            <w:vAlign w:val="center"/>
          </w:tcPr>
          <w:p w14:paraId="5E80193C" w14:textId="77777777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Outcome</w:t>
            </w:r>
          </w:p>
        </w:tc>
        <w:tc>
          <w:tcPr>
            <w:tcW w:w="4680" w:type="dxa"/>
            <w:gridSpan w:val="4"/>
            <w:vAlign w:val="center"/>
          </w:tcPr>
          <w:p w14:paraId="45ADF4BE" w14:textId="77777777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Quality of E</w:t>
            </w:r>
            <w:r w:rsidRPr="006E1336">
              <w:rPr>
                <w:sz w:val="20"/>
                <w:szCs w:val="20"/>
              </w:rPr>
              <w:t>vidence</w:t>
            </w:r>
            <w:r>
              <w:rPr>
                <w:sz w:val="20"/>
                <w:szCs w:val="20"/>
              </w:rPr>
              <w:t xml:space="preserve"> (QoE)</w:t>
            </w:r>
            <w:r w:rsidRPr="006E1336">
              <w:rPr>
                <w:sz w:val="20"/>
                <w:szCs w:val="20"/>
              </w:rPr>
              <w:t xml:space="preserve"> Concerns</w:t>
            </w:r>
            <w:r w:rsidRPr="006E1336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70" w:type="dxa"/>
            <w:vMerge w:val="restart"/>
            <w:vAlign w:val="center"/>
          </w:tcPr>
          <w:p w14:paraId="7354FC38" w14:textId="0C67458C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 xml:space="preserve">QoE </w:t>
            </w:r>
            <w:r>
              <w:rPr>
                <w:sz w:val="20"/>
                <w:szCs w:val="20"/>
              </w:rPr>
              <w:br/>
              <w:t>Rating</w:t>
            </w:r>
          </w:p>
        </w:tc>
        <w:tc>
          <w:tcPr>
            <w:tcW w:w="2486" w:type="dxa"/>
            <w:vMerge w:val="restart"/>
            <w:vAlign w:val="center"/>
          </w:tcPr>
          <w:p w14:paraId="1E5CDFFD" w14:textId="77777777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Summary of findings</w:t>
            </w:r>
          </w:p>
        </w:tc>
      </w:tr>
      <w:tr w:rsidR="00F436A6" w:rsidRPr="006E1336" w14:paraId="231D1271" w14:textId="77777777" w:rsidTr="00073E7A">
        <w:trPr>
          <w:trHeight w:val="235"/>
        </w:trPr>
        <w:tc>
          <w:tcPr>
            <w:tcW w:w="1615" w:type="dxa"/>
            <w:vMerge/>
            <w:vAlign w:val="center"/>
          </w:tcPr>
          <w:p w14:paraId="4C151CB3" w14:textId="77777777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Merge/>
            <w:vAlign w:val="center"/>
          </w:tcPr>
          <w:p w14:paraId="60FAE574" w14:textId="77777777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14:paraId="14417899" w14:textId="77777777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2EBC36D0" w14:textId="77777777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58F8A01" w14:textId="77777777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Risk of bias</w:t>
            </w:r>
          </w:p>
        </w:tc>
        <w:tc>
          <w:tcPr>
            <w:tcW w:w="1350" w:type="dxa"/>
            <w:vAlign w:val="center"/>
          </w:tcPr>
          <w:p w14:paraId="6EAE03EE" w14:textId="77777777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Inconsistency</w:t>
            </w:r>
          </w:p>
        </w:tc>
        <w:tc>
          <w:tcPr>
            <w:tcW w:w="1260" w:type="dxa"/>
            <w:vAlign w:val="center"/>
          </w:tcPr>
          <w:p w14:paraId="24D9AAD0" w14:textId="77777777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Indirectness</w:t>
            </w:r>
          </w:p>
        </w:tc>
        <w:tc>
          <w:tcPr>
            <w:tcW w:w="1170" w:type="dxa"/>
            <w:vAlign w:val="center"/>
          </w:tcPr>
          <w:p w14:paraId="4D7AB006" w14:textId="77777777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Imprecision</w:t>
            </w:r>
          </w:p>
        </w:tc>
        <w:tc>
          <w:tcPr>
            <w:tcW w:w="1170" w:type="dxa"/>
            <w:vMerge/>
            <w:vAlign w:val="center"/>
          </w:tcPr>
          <w:p w14:paraId="6E3ED96C" w14:textId="3692F49B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6" w:type="dxa"/>
            <w:vMerge/>
            <w:vAlign w:val="center"/>
          </w:tcPr>
          <w:p w14:paraId="7C27EF87" w14:textId="77777777" w:rsidR="00B22010" w:rsidRPr="006E1336" w:rsidRDefault="00B22010" w:rsidP="00EB4A94">
            <w:pPr>
              <w:jc w:val="center"/>
              <w:rPr>
                <w:sz w:val="20"/>
                <w:szCs w:val="20"/>
              </w:rPr>
            </w:pPr>
          </w:p>
        </w:tc>
      </w:tr>
      <w:tr w:rsidR="00F436A6" w:rsidRPr="006E1336" w14:paraId="4E141A54" w14:textId="77777777" w:rsidTr="00073E7A">
        <w:trPr>
          <w:trHeight w:val="957"/>
        </w:trPr>
        <w:tc>
          <w:tcPr>
            <w:tcW w:w="1615" w:type="dxa"/>
            <w:vAlign w:val="center"/>
          </w:tcPr>
          <w:p w14:paraId="6997BF58" w14:textId="77777777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SAH</w:t>
            </w:r>
          </w:p>
        </w:tc>
        <w:tc>
          <w:tcPr>
            <w:tcW w:w="1710" w:type="dxa"/>
            <w:vAlign w:val="center"/>
          </w:tcPr>
          <w:p w14:paraId="7D947559" w14:textId="2343F832" w:rsidR="00FD732D" w:rsidRPr="00484F6C" w:rsidRDefault="00FD732D" w:rsidP="004937EF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 xml:space="preserve">HTS 3% infusion or 23.4% bolus dose </w:t>
            </w:r>
            <w:r w:rsidR="004937EF">
              <w:rPr>
                <w:sz w:val="20"/>
                <w:szCs w:val="20"/>
              </w:rPr>
              <w:t xml:space="preserve">to target </w:t>
            </w:r>
            <w:r w:rsidRPr="00484F6C">
              <w:rPr>
                <w:sz w:val="20"/>
                <w:szCs w:val="20"/>
              </w:rPr>
              <w:t xml:space="preserve">sodium </w:t>
            </w:r>
            <w:r w:rsidR="004937EF">
              <w:rPr>
                <w:sz w:val="20"/>
                <w:szCs w:val="20"/>
              </w:rPr>
              <w:t>145-155 mEq/L</w:t>
            </w:r>
          </w:p>
        </w:tc>
        <w:tc>
          <w:tcPr>
            <w:tcW w:w="1440" w:type="dxa"/>
            <w:vAlign w:val="center"/>
          </w:tcPr>
          <w:p w14:paraId="4366C421" w14:textId="7EFF5EC5" w:rsidR="00FD732D" w:rsidRPr="00484F6C" w:rsidRDefault="004937EF" w:rsidP="00EB4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None,</w:t>
            </w:r>
            <w:r w:rsidR="00FD732D" w:rsidRPr="00484F6C">
              <w:rPr>
                <w:sz w:val="20"/>
                <w:szCs w:val="20"/>
              </w:rPr>
              <w:t xml:space="preserve"> historical controls</w:t>
            </w:r>
          </w:p>
        </w:tc>
        <w:tc>
          <w:tcPr>
            <w:tcW w:w="1260" w:type="dxa"/>
            <w:vAlign w:val="center"/>
          </w:tcPr>
          <w:p w14:paraId="587EF5F0" w14:textId="77777777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ICP/CE control</w:t>
            </w:r>
          </w:p>
        </w:tc>
        <w:tc>
          <w:tcPr>
            <w:tcW w:w="900" w:type="dxa"/>
            <w:vAlign w:val="center"/>
          </w:tcPr>
          <w:p w14:paraId="19ADCAC3" w14:textId="5A2F710B" w:rsidR="00FD732D" w:rsidRPr="00484F6C" w:rsidRDefault="001E6915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3B4854C3" w14:textId="226E6C08" w:rsidR="00FD732D" w:rsidRPr="00484F6C" w:rsidRDefault="00B468DF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60E87FF9" w14:textId="3B427C0D" w:rsidR="00FD732D" w:rsidRPr="00484F6C" w:rsidRDefault="001E6915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52826A11" w14:textId="43A9510D" w:rsidR="00FD732D" w:rsidRPr="00484F6C" w:rsidRDefault="001E6915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77386C05" w14:textId="77777777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Very low</w:t>
            </w:r>
          </w:p>
        </w:tc>
        <w:tc>
          <w:tcPr>
            <w:tcW w:w="2486" w:type="dxa"/>
            <w:vAlign w:val="center"/>
          </w:tcPr>
          <w:p w14:paraId="4A94EB4F" w14:textId="63B68E19" w:rsidR="00FD732D" w:rsidRPr="00F436A6" w:rsidRDefault="00F436A6" w:rsidP="00DF0C43">
            <w:pPr>
              <w:jc w:val="center"/>
              <w:rPr>
                <w:sz w:val="20"/>
                <w:szCs w:val="20"/>
              </w:rPr>
            </w:pPr>
            <w:r w:rsidRPr="00F436A6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 xml:space="preserve">Data on </w:t>
            </w:r>
            <w:r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 xml:space="preserve">sodium </w:t>
            </w:r>
            <w:r w:rsidRPr="00F436A6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 xml:space="preserve">target-based HTS dosing for ICP control was extremely limited </w:t>
            </w:r>
            <w:r w:rsidR="0023024F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>&amp;</w:t>
            </w:r>
            <w:r w:rsidRPr="00F436A6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 xml:space="preserve"> provided only indirect evidence</w:t>
            </w:r>
            <w:r w:rsidR="00DF0C43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 xml:space="preserve"> in patients with SAH</w:t>
            </w:r>
          </w:p>
        </w:tc>
      </w:tr>
      <w:tr w:rsidR="00F436A6" w:rsidRPr="006E1336" w14:paraId="543F7160" w14:textId="77777777" w:rsidTr="00073E7A">
        <w:trPr>
          <w:trHeight w:val="1193"/>
        </w:trPr>
        <w:tc>
          <w:tcPr>
            <w:tcW w:w="1615" w:type="dxa"/>
            <w:vAlign w:val="center"/>
          </w:tcPr>
          <w:p w14:paraId="7442E02E" w14:textId="77777777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SAH</w:t>
            </w:r>
          </w:p>
        </w:tc>
        <w:tc>
          <w:tcPr>
            <w:tcW w:w="1710" w:type="dxa"/>
            <w:vAlign w:val="center"/>
          </w:tcPr>
          <w:p w14:paraId="2A607692" w14:textId="4FE4B4B5" w:rsidR="00FD732D" w:rsidRPr="00484F6C" w:rsidRDefault="00DF0C43" w:rsidP="00DF0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484F6C">
              <w:rPr>
                <w:sz w:val="20"/>
                <w:szCs w:val="20"/>
              </w:rPr>
              <w:t>ymptom-based, bolus dosing</w:t>
            </w:r>
            <w:r>
              <w:rPr>
                <w:sz w:val="20"/>
                <w:szCs w:val="20"/>
              </w:rPr>
              <w:t xml:space="preserve"> of HTS 23.4-</w:t>
            </w:r>
            <w:r w:rsidR="00FD732D" w:rsidRPr="00484F6C">
              <w:rPr>
                <w:sz w:val="20"/>
                <w:szCs w:val="20"/>
              </w:rPr>
              <w:t xml:space="preserve">23.5% </w:t>
            </w:r>
            <w:r w:rsidR="00D143B1" w:rsidRPr="00484F6C">
              <w:rPr>
                <w:sz w:val="20"/>
                <w:szCs w:val="20"/>
              </w:rPr>
              <w:t xml:space="preserve">or 7.25% / 6% HES </w:t>
            </w:r>
          </w:p>
        </w:tc>
        <w:tc>
          <w:tcPr>
            <w:tcW w:w="1440" w:type="dxa"/>
            <w:vAlign w:val="center"/>
          </w:tcPr>
          <w:p w14:paraId="6213132A" w14:textId="06A45711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N</w:t>
            </w:r>
            <w:r w:rsidR="00DF0C43">
              <w:rPr>
                <w:sz w:val="20"/>
                <w:szCs w:val="20"/>
              </w:rPr>
              <w:t xml:space="preserve">one, </w:t>
            </w:r>
            <w:r w:rsidRPr="00484F6C">
              <w:rPr>
                <w:sz w:val="20"/>
                <w:szCs w:val="20"/>
              </w:rPr>
              <w:t>0.9% NaCl</w:t>
            </w:r>
          </w:p>
        </w:tc>
        <w:tc>
          <w:tcPr>
            <w:tcW w:w="1260" w:type="dxa"/>
            <w:vAlign w:val="center"/>
          </w:tcPr>
          <w:p w14:paraId="10D32606" w14:textId="77777777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ICP/CE control</w:t>
            </w:r>
          </w:p>
        </w:tc>
        <w:tc>
          <w:tcPr>
            <w:tcW w:w="900" w:type="dxa"/>
            <w:vAlign w:val="center"/>
          </w:tcPr>
          <w:p w14:paraId="0F668003" w14:textId="32F25628" w:rsidR="00FD732D" w:rsidRPr="00484F6C" w:rsidRDefault="001E6915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6A499FAC" w14:textId="388B670C" w:rsidR="00FD732D" w:rsidRPr="00484F6C" w:rsidRDefault="00B468DF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257F663F" w14:textId="4C6E9E3B" w:rsidR="00FD732D" w:rsidRPr="00484F6C" w:rsidRDefault="001E6915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238253C8" w14:textId="3CF7A4FC" w:rsidR="00FD732D" w:rsidRPr="00484F6C" w:rsidRDefault="001E6915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5CAB99D9" w14:textId="77777777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Very low</w:t>
            </w:r>
          </w:p>
        </w:tc>
        <w:tc>
          <w:tcPr>
            <w:tcW w:w="2486" w:type="dxa"/>
            <w:vAlign w:val="center"/>
          </w:tcPr>
          <w:p w14:paraId="3E3A0E32" w14:textId="5FD0A649" w:rsidR="00FD732D" w:rsidRPr="00F436A6" w:rsidRDefault="00F436A6" w:rsidP="00D143B1">
            <w:pPr>
              <w:jc w:val="center"/>
              <w:rPr>
                <w:sz w:val="20"/>
                <w:szCs w:val="20"/>
              </w:rPr>
            </w:pPr>
            <w:r w:rsidRPr="00F436A6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>Consistency of literature justified symptom-based, bolus dosing of HTS as an effective means of reducing ICP /CE in patients with SAH</w:t>
            </w:r>
          </w:p>
        </w:tc>
      </w:tr>
      <w:tr w:rsidR="00F436A6" w:rsidRPr="006E1336" w14:paraId="4171FE07" w14:textId="77777777" w:rsidTr="00073E7A">
        <w:trPr>
          <w:trHeight w:val="471"/>
        </w:trPr>
        <w:tc>
          <w:tcPr>
            <w:tcW w:w="1615" w:type="dxa"/>
            <w:vAlign w:val="center"/>
          </w:tcPr>
          <w:p w14:paraId="015E53A5" w14:textId="37133569" w:rsidR="00FD732D" w:rsidRPr="006E1336" w:rsidRDefault="00FD732D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TBI</w:t>
            </w:r>
          </w:p>
        </w:tc>
        <w:tc>
          <w:tcPr>
            <w:tcW w:w="1710" w:type="dxa"/>
            <w:vAlign w:val="center"/>
          </w:tcPr>
          <w:p w14:paraId="1ABB8CDA" w14:textId="6B6B6A75" w:rsidR="00FD732D" w:rsidRPr="006E1336" w:rsidRDefault="00073E7A" w:rsidP="00073E7A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 xml:space="preserve">Various forms of HTS </w:t>
            </w:r>
            <w:r>
              <w:rPr>
                <w:sz w:val="20"/>
                <w:szCs w:val="20"/>
              </w:rPr>
              <w:t>or mannitol</w:t>
            </w:r>
            <w:r w:rsidR="00567E70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40" w:type="dxa"/>
            <w:vAlign w:val="center"/>
          </w:tcPr>
          <w:p w14:paraId="28174B9C" w14:textId="1C4D4B6B" w:rsidR="00FD732D" w:rsidRPr="006E1336" w:rsidRDefault="00073E7A" w:rsidP="00EB4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None, historical controls, non-pharmacologic interventions, various forms of </w:t>
            </w:r>
            <w:r w:rsidR="0059768C">
              <w:rPr>
                <w:sz w:val="20"/>
                <w:szCs w:val="20"/>
              </w:rPr>
              <w:t xml:space="preserve">fluids, </w:t>
            </w:r>
            <w:r>
              <w:rPr>
                <w:sz w:val="20"/>
                <w:szCs w:val="20"/>
              </w:rPr>
              <w:t>HTS or mannitol</w:t>
            </w:r>
            <w:r w:rsidR="00567E70"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60" w:type="dxa"/>
            <w:vAlign w:val="center"/>
          </w:tcPr>
          <w:p w14:paraId="20BC586F" w14:textId="0C9D206D" w:rsidR="00FD732D" w:rsidRPr="006E1336" w:rsidRDefault="00FD732D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ICP/CE control</w:t>
            </w:r>
          </w:p>
        </w:tc>
        <w:tc>
          <w:tcPr>
            <w:tcW w:w="900" w:type="dxa"/>
            <w:vAlign w:val="center"/>
          </w:tcPr>
          <w:p w14:paraId="7499515B" w14:textId="0F394A2A" w:rsidR="00FD732D" w:rsidRPr="006E1336" w:rsidRDefault="001E6915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38D30D01" w14:textId="6D81FA48" w:rsidR="00FD732D" w:rsidRPr="006E1336" w:rsidRDefault="004F0EC3" w:rsidP="004F0EC3">
            <w:pPr>
              <w:jc w:val="center"/>
              <w:rPr>
                <w:sz w:val="20"/>
                <w:szCs w:val="20"/>
              </w:rPr>
            </w:pPr>
            <w:r w:rsidRPr="00401D90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13A6A1AE" w14:textId="18E08D15" w:rsidR="00FD732D" w:rsidRPr="006E1336" w:rsidRDefault="001E6915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7A953A2B" w14:textId="4E3C7E4C" w:rsidR="00FD732D" w:rsidRPr="006E1336" w:rsidRDefault="001E6915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3F302428" w14:textId="5C0ED6E1" w:rsidR="00FD732D" w:rsidRPr="006E1336" w:rsidRDefault="00FD732D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Low</w:t>
            </w:r>
          </w:p>
        </w:tc>
        <w:tc>
          <w:tcPr>
            <w:tcW w:w="2486" w:type="dxa"/>
            <w:vAlign w:val="center"/>
          </w:tcPr>
          <w:p w14:paraId="34E7F36A" w14:textId="23EB02DA" w:rsidR="00FD732D" w:rsidRPr="006E1336" w:rsidRDefault="00F436A6" w:rsidP="00D143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>C</w:t>
            </w:r>
            <w:r w:rsidRPr="00F436A6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 xml:space="preserve">onsistency of literature suggesting HTS was at least as safe </w:t>
            </w:r>
            <w:r w:rsidR="0023024F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>&amp;</w:t>
            </w:r>
            <w:r w:rsidRPr="00F436A6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 xml:space="preserve"> effective as mannitol in addition to the putative advantages of HTS over mannitol for fluid resuscitation </w:t>
            </w:r>
            <w:r w:rsidR="0023024F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>&amp;</w:t>
            </w:r>
            <w:r w:rsidRPr="00F436A6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 xml:space="preserve"> cerebral perfusion justified the suggestion to use HTS over mannitol</w:t>
            </w:r>
            <w:r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 xml:space="preserve"> in patients with TBI</w:t>
            </w:r>
          </w:p>
        </w:tc>
      </w:tr>
      <w:tr w:rsidR="00F436A6" w:rsidRPr="006E1336" w14:paraId="7931EE9E" w14:textId="77777777" w:rsidTr="00073E7A">
        <w:trPr>
          <w:trHeight w:val="486"/>
        </w:trPr>
        <w:tc>
          <w:tcPr>
            <w:tcW w:w="1615" w:type="dxa"/>
            <w:vAlign w:val="center"/>
          </w:tcPr>
          <w:p w14:paraId="4D2B282F" w14:textId="76F4CE97" w:rsidR="00FD732D" w:rsidRPr="006E1336" w:rsidRDefault="00FD732D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TBI</w:t>
            </w:r>
          </w:p>
        </w:tc>
        <w:tc>
          <w:tcPr>
            <w:tcW w:w="1710" w:type="dxa"/>
            <w:vAlign w:val="center"/>
          </w:tcPr>
          <w:p w14:paraId="0BB18485" w14:textId="53E48E47" w:rsidR="00FD732D" w:rsidRPr="006E1336" w:rsidRDefault="005416C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 xml:space="preserve">Various forms of HTS </w:t>
            </w:r>
            <w:r>
              <w:rPr>
                <w:sz w:val="20"/>
                <w:szCs w:val="20"/>
              </w:rPr>
              <w:t>or mannitol</w:t>
            </w:r>
            <w:r w:rsidR="00630F4B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40" w:type="dxa"/>
            <w:vAlign w:val="center"/>
          </w:tcPr>
          <w:p w14:paraId="343595F1" w14:textId="1EEBC450" w:rsidR="00FD732D" w:rsidRPr="006E1336" w:rsidRDefault="00630F4B" w:rsidP="00630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None, historical controls, various forms of </w:t>
            </w:r>
            <w:r w:rsidR="0059768C">
              <w:rPr>
                <w:sz w:val="20"/>
                <w:szCs w:val="20"/>
              </w:rPr>
              <w:t xml:space="preserve">fluids, </w:t>
            </w:r>
            <w:r>
              <w:rPr>
                <w:sz w:val="20"/>
                <w:szCs w:val="20"/>
              </w:rPr>
              <w:t>HTS or mannitol</w:t>
            </w:r>
            <w:r>
              <w:rPr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260" w:type="dxa"/>
            <w:vAlign w:val="center"/>
          </w:tcPr>
          <w:p w14:paraId="06C61E2A" w14:textId="02F1A063" w:rsidR="00FD732D" w:rsidRPr="006E1336" w:rsidRDefault="00FD732D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Neurologic outcome</w:t>
            </w:r>
          </w:p>
        </w:tc>
        <w:tc>
          <w:tcPr>
            <w:tcW w:w="900" w:type="dxa"/>
            <w:vAlign w:val="center"/>
          </w:tcPr>
          <w:p w14:paraId="797FDC0A" w14:textId="2695CC65" w:rsidR="00FD732D" w:rsidRPr="006E1336" w:rsidRDefault="001E6915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392960F9" w14:textId="73D58E64" w:rsidR="00FD732D" w:rsidRPr="006E1336" w:rsidRDefault="004F0EC3" w:rsidP="00EB4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0379F552" w14:textId="32F88191" w:rsidR="00FD732D" w:rsidRPr="006E1336" w:rsidRDefault="001E6915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78C4FB7D" w14:textId="501D3380" w:rsidR="00FD732D" w:rsidRPr="006E1336" w:rsidRDefault="001E6915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60B29B4B" w14:textId="327B385D" w:rsidR="00FD732D" w:rsidRPr="006E1336" w:rsidRDefault="00FD732D" w:rsidP="00EB4A94">
            <w:pPr>
              <w:jc w:val="center"/>
              <w:rPr>
                <w:sz w:val="20"/>
                <w:szCs w:val="20"/>
              </w:rPr>
            </w:pPr>
            <w:r w:rsidRPr="006E1336">
              <w:rPr>
                <w:sz w:val="20"/>
                <w:szCs w:val="20"/>
              </w:rPr>
              <w:t>Low</w:t>
            </w:r>
          </w:p>
        </w:tc>
        <w:tc>
          <w:tcPr>
            <w:tcW w:w="2486" w:type="dxa"/>
            <w:vAlign w:val="center"/>
          </w:tcPr>
          <w:p w14:paraId="3EFC8974" w14:textId="4002D4BE" w:rsidR="00FD732D" w:rsidRPr="006E1336" w:rsidRDefault="00D143B1" w:rsidP="00D143B1">
            <w:pPr>
              <w:jc w:val="center"/>
              <w:rPr>
                <w:sz w:val="20"/>
                <w:szCs w:val="20"/>
              </w:rPr>
            </w:pPr>
            <w:r w:rsidRPr="00401D90">
              <w:rPr>
                <w:sz w:val="20"/>
                <w:szCs w:val="20"/>
              </w:rPr>
              <w:t>Use of HTS or mannitol has not been demonstrated to improve neurological outcomes in patients with TBI</w:t>
            </w:r>
          </w:p>
        </w:tc>
      </w:tr>
      <w:tr w:rsidR="00F436A6" w:rsidRPr="006E1336" w14:paraId="79EA4875" w14:textId="77777777" w:rsidTr="00073E7A">
        <w:trPr>
          <w:trHeight w:val="1193"/>
        </w:trPr>
        <w:tc>
          <w:tcPr>
            <w:tcW w:w="1615" w:type="dxa"/>
            <w:vAlign w:val="center"/>
          </w:tcPr>
          <w:p w14:paraId="279F8C9B" w14:textId="0C90B536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AIS</w:t>
            </w:r>
          </w:p>
        </w:tc>
        <w:tc>
          <w:tcPr>
            <w:tcW w:w="1710" w:type="dxa"/>
            <w:vAlign w:val="center"/>
          </w:tcPr>
          <w:p w14:paraId="2EE1EDAD" w14:textId="476A308A" w:rsidR="00BC669D" w:rsidRPr="00484F6C" w:rsidRDefault="00BC669D" w:rsidP="00A72A3E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 xml:space="preserve">Various forms of HTS </w:t>
            </w:r>
            <w:r w:rsidR="0059768C">
              <w:rPr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40" w:type="dxa"/>
            <w:vAlign w:val="center"/>
          </w:tcPr>
          <w:p w14:paraId="2C67D7BF" w14:textId="5EA152F3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None; historical controls; various forms of mannitol</w:t>
            </w:r>
            <w:r w:rsidR="0059768C">
              <w:rPr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260" w:type="dxa"/>
            <w:vAlign w:val="center"/>
          </w:tcPr>
          <w:p w14:paraId="26CC8252" w14:textId="4C04E0CB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ICP/CE control</w:t>
            </w:r>
          </w:p>
        </w:tc>
        <w:tc>
          <w:tcPr>
            <w:tcW w:w="900" w:type="dxa"/>
            <w:vAlign w:val="center"/>
          </w:tcPr>
          <w:p w14:paraId="0EB045A8" w14:textId="3B04F3D2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1B6CE48C" w14:textId="5A8EB622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260" w:type="dxa"/>
            <w:vAlign w:val="center"/>
          </w:tcPr>
          <w:p w14:paraId="3B889046" w14:textId="5B11481B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011396DD" w14:textId="6E5F1B32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7DD3D701" w14:textId="40F72051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Very low</w:t>
            </w:r>
          </w:p>
        </w:tc>
        <w:tc>
          <w:tcPr>
            <w:tcW w:w="2486" w:type="dxa"/>
            <w:vAlign w:val="center"/>
          </w:tcPr>
          <w:p w14:paraId="42EC2F95" w14:textId="050FE93E" w:rsidR="00D143B1" w:rsidRPr="00484F6C" w:rsidRDefault="00E05786" w:rsidP="00E05786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 xml:space="preserve">Overall </w:t>
            </w:r>
            <w:r w:rsidR="00D143B1" w:rsidRPr="00484F6C">
              <w:rPr>
                <w:sz w:val="20"/>
                <w:szCs w:val="20"/>
              </w:rPr>
              <w:t xml:space="preserve">literature in patients with AIS was not compelling to recommend one agent over the other for </w:t>
            </w:r>
            <w:r w:rsidRPr="00484F6C">
              <w:rPr>
                <w:sz w:val="20"/>
                <w:szCs w:val="20"/>
              </w:rPr>
              <w:t>treatment of ICP/CE</w:t>
            </w:r>
            <w:r w:rsidR="00A57F04" w:rsidRPr="00484F6C">
              <w:rPr>
                <w:sz w:val="20"/>
                <w:szCs w:val="20"/>
              </w:rPr>
              <w:t xml:space="preserve">; </w:t>
            </w:r>
            <w:r w:rsidR="00D143B1" w:rsidRPr="00484F6C">
              <w:rPr>
                <w:sz w:val="20"/>
                <w:szCs w:val="20"/>
              </w:rPr>
              <w:t xml:space="preserve">  Patient-specific factors may be employed to aid </w:t>
            </w:r>
            <w:r w:rsidR="00D143B1" w:rsidRPr="00484F6C">
              <w:rPr>
                <w:sz w:val="20"/>
                <w:szCs w:val="20"/>
              </w:rPr>
              <w:lastRenderedPageBreak/>
              <w:t>clinicians in selectin</w:t>
            </w:r>
            <w:r w:rsidRPr="00484F6C">
              <w:rPr>
                <w:sz w:val="20"/>
                <w:szCs w:val="20"/>
              </w:rPr>
              <w:t>g the appropriate initial agent</w:t>
            </w:r>
          </w:p>
        </w:tc>
      </w:tr>
      <w:tr w:rsidR="00F436A6" w:rsidRPr="006E1336" w14:paraId="53AE730E" w14:textId="77777777" w:rsidTr="00073E7A">
        <w:trPr>
          <w:trHeight w:val="1322"/>
        </w:trPr>
        <w:tc>
          <w:tcPr>
            <w:tcW w:w="1615" w:type="dxa"/>
            <w:vAlign w:val="center"/>
          </w:tcPr>
          <w:p w14:paraId="2BEAAED6" w14:textId="26849589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lastRenderedPageBreak/>
              <w:t>AIS</w:t>
            </w:r>
          </w:p>
        </w:tc>
        <w:tc>
          <w:tcPr>
            <w:tcW w:w="1710" w:type="dxa"/>
            <w:vAlign w:val="center"/>
          </w:tcPr>
          <w:p w14:paraId="654204CF" w14:textId="66DCDF40" w:rsidR="00BC669D" w:rsidRPr="00484F6C" w:rsidRDefault="00A72A3E" w:rsidP="00A72A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Various forms of HTS</w:t>
            </w:r>
            <w:r>
              <w:rPr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440" w:type="dxa"/>
            <w:vAlign w:val="center"/>
          </w:tcPr>
          <w:p w14:paraId="30BF5477" w14:textId="6F695C5B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None; historical controls; various forms methods of mannitol</w:t>
            </w:r>
            <w:r w:rsidR="00A72A3E">
              <w:rPr>
                <w:sz w:val="20"/>
                <w:szCs w:val="20"/>
              </w:rPr>
              <w:t xml:space="preserve"> </w:t>
            </w:r>
            <w:r w:rsidR="00A72A3E">
              <w:rPr>
                <w:sz w:val="20"/>
                <w:szCs w:val="20"/>
                <w:vertAlign w:val="superscript"/>
              </w:rPr>
              <w:t>G,I</w:t>
            </w:r>
          </w:p>
        </w:tc>
        <w:tc>
          <w:tcPr>
            <w:tcW w:w="1260" w:type="dxa"/>
            <w:vAlign w:val="center"/>
          </w:tcPr>
          <w:p w14:paraId="371815D9" w14:textId="7230BBE9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Neurologic outcome</w:t>
            </w:r>
          </w:p>
        </w:tc>
        <w:tc>
          <w:tcPr>
            <w:tcW w:w="900" w:type="dxa"/>
            <w:vAlign w:val="center"/>
          </w:tcPr>
          <w:p w14:paraId="320AFDA6" w14:textId="002F68A9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6AB19EA5" w14:textId="5E54126A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260" w:type="dxa"/>
            <w:vAlign w:val="center"/>
          </w:tcPr>
          <w:p w14:paraId="3B201BE0" w14:textId="57ACCC29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59DA247C" w14:textId="6310AD2E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67CD7BDF" w14:textId="38FAFCDF" w:rsidR="00BC669D" w:rsidRPr="00484F6C" w:rsidRDefault="00BC669D" w:rsidP="00BC669D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Very low</w:t>
            </w:r>
          </w:p>
        </w:tc>
        <w:tc>
          <w:tcPr>
            <w:tcW w:w="2486" w:type="dxa"/>
            <w:vAlign w:val="center"/>
          </w:tcPr>
          <w:p w14:paraId="5115FD97" w14:textId="693548E9" w:rsidR="00BC669D" w:rsidRPr="00484F6C" w:rsidRDefault="00361803" w:rsidP="00361803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 xml:space="preserve">Use of HTS or mannitol has not been demonstrated to improve neurological outcomes in patients with AIS; the lack of benefit </w:t>
            </w:r>
            <w:r w:rsidR="0023024F">
              <w:rPr>
                <w:sz w:val="20"/>
                <w:szCs w:val="20"/>
              </w:rPr>
              <w:t>&amp;</w:t>
            </w:r>
            <w:r w:rsidRPr="00484F6C">
              <w:rPr>
                <w:sz w:val="20"/>
                <w:szCs w:val="20"/>
              </w:rPr>
              <w:t xml:space="preserve"> the potential association with worse neurologic outcomes justified avoiding prophylactic mannitol in patients with AIS</w:t>
            </w:r>
          </w:p>
        </w:tc>
      </w:tr>
      <w:tr w:rsidR="00F436A6" w:rsidRPr="006E1336" w14:paraId="5B719A3F" w14:textId="77777777" w:rsidTr="00073E7A">
        <w:trPr>
          <w:trHeight w:val="1915"/>
        </w:trPr>
        <w:tc>
          <w:tcPr>
            <w:tcW w:w="1615" w:type="dxa"/>
            <w:vAlign w:val="center"/>
          </w:tcPr>
          <w:p w14:paraId="61525BDC" w14:textId="13003A17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ICH</w:t>
            </w:r>
          </w:p>
        </w:tc>
        <w:tc>
          <w:tcPr>
            <w:tcW w:w="1710" w:type="dxa"/>
            <w:vAlign w:val="center"/>
          </w:tcPr>
          <w:p w14:paraId="2F9B01CE" w14:textId="1DB08D56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HTS 23.4% symptom-based</w:t>
            </w:r>
            <w:r w:rsidR="00D143B1" w:rsidRPr="00484F6C">
              <w:rPr>
                <w:sz w:val="20"/>
                <w:szCs w:val="20"/>
              </w:rPr>
              <w:t>, bolus</w:t>
            </w:r>
            <w:r w:rsidR="00A72A3E">
              <w:rPr>
                <w:sz w:val="20"/>
                <w:szCs w:val="20"/>
              </w:rPr>
              <w:t xml:space="preserve"> dosing or 3% continuous infusion with target sodium of 145-155 mEq/L</w:t>
            </w:r>
          </w:p>
        </w:tc>
        <w:tc>
          <w:tcPr>
            <w:tcW w:w="1440" w:type="dxa"/>
            <w:vAlign w:val="center"/>
          </w:tcPr>
          <w:p w14:paraId="68A1117A" w14:textId="21EE5705" w:rsidR="00FD732D" w:rsidRPr="00484F6C" w:rsidRDefault="009A3D0A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 xml:space="preserve">None; </w:t>
            </w:r>
            <w:r w:rsidR="00FD732D" w:rsidRPr="00484F6C">
              <w:rPr>
                <w:sz w:val="20"/>
                <w:szCs w:val="20"/>
              </w:rPr>
              <w:t>h</w:t>
            </w:r>
            <w:r w:rsidRPr="00484F6C">
              <w:rPr>
                <w:sz w:val="20"/>
                <w:szCs w:val="20"/>
              </w:rPr>
              <w:t>istorical controls, symptom-based</w:t>
            </w:r>
            <w:r w:rsidR="00A72A3E">
              <w:rPr>
                <w:sz w:val="20"/>
                <w:szCs w:val="20"/>
              </w:rPr>
              <w:t>, bolus</w:t>
            </w:r>
            <w:r w:rsidRPr="00484F6C">
              <w:rPr>
                <w:sz w:val="20"/>
                <w:szCs w:val="20"/>
              </w:rPr>
              <w:t xml:space="preserve"> dosing of mannitol 20%</w:t>
            </w:r>
          </w:p>
        </w:tc>
        <w:tc>
          <w:tcPr>
            <w:tcW w:w="1260" w:type="dxa"/>
            <w:vAlign w:val="center"/>
          </w:tcPr>
          <w:p w14:paraId="062866C4" w14:textId="16B866DE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ICP/CE control</w:t>
            </w:r>
          </w:p>
        </w:tc>
        <w:tc>
          <w:tcPr>
            <w:tcW w:w="900" w:type="dxa"/>
            <w:vAlign w:val="center"/>
          </w:tcPr>
          <w:p w14:paraId="56FB20D4" w14:textId="0AD9E7D2" w:rsidR="00FD732D" w:rsidRPr="00484F6C" w:rsidRDefault="001E6915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7B27449F" w14:textId="503D5392" w:rsidR="00FD732D" w:rsidRPr="00484F6C" w:rsidRDefault="009A3D0A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2C807F46" w14:textId="45E012E2" w:rsidR="00FD732D" w:rsidRPr="00484F6C" w:rsidRDefault="001E6915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589F6F7A" w14:textId="24601725" w:rsidR="00FD732D" w:rsidRPr="00484F6C" w:rsidRDefault="001E6915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50C269D3" w14:textId="0712243E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Very Low</w:t>
            </w:r>
          </w:p>
        </w:tc>
        <w:tc>
          <w:tcPr>
            <w:tcW w:w="2486" w:type="dxa"/>
            <w:vAlign w:val="center"/>
          </w:tcPr>
          <w:p w14:paraId="4D629EC4" w14:textId="30BCBF00" w:rsidR="00FD732D" w:rsidRPr="00F436A6" w:rsidRDefault="00F436A6" w:rsidP="00EB4A9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>C</w:t>
            </w:r>
            <w:r w:rsidRPr="00F436A6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 xml:space="preserve">onsistency of literature suggesting HTS was at least as safe </w:t>
            </w:r>
            <w:r w:rsidR="0023024F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>&amp;</w:t>
            </w:r>
            <w:r w:rsidRPr="00F436A6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 xml:space="preserve"> effective as mannitol in addition to the putative advantages of HTS over mannitol for fluid resuscitation </w:t>
            </w:r>
            <w:r w:rsidR="0023024F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>&amp;</w:t>
            </w:r>
            <w:r w:rsidRPr="00F436A6"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 xml:space="preserve"> cerebral perfusion justified the suggestion to use HTS over mannitol</w:t>
            </w:r>
            <w:r>
              <w:rPr>
                <w:rFonts w:eastAsia="Times New Roman" w:cs="Calibri"/>
                <w:color w:val="212121"/>
                <w:sz w:val="20"/>
                <w:szCs w:val="20"/>
                <w:shd w:val="clear" w:color="auto" w:fill="FFFFFF"/>
              </w:rPr>
              <w:t xml:space="preserve"> in patients with ICH</w:t>
            </w:r>
          </w:p>
        </w:tc>
      </w:tr>
      <w:tr w:rsidR="00F436A6" w:rsidRPr="006E1336" w14:paraId="3D52A068" w14:textId="77777777" w:rsidTr="00073E7A">
        <w:trPr>
          <w:trHeight w:val="471"/>
        </w:trPr>
        <w:tc>
          <w:tcPr>
            <w:tcW w:w="1615" w:type="dxa"/>
            <w:vAlign w:val="center"/>
          </w:tcPr>
          <w:p w14:paraId="303742F2" w14:textId="3EC35C97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ICH</w:t>
            </w:r>
          </w:p>
        </w:tc>
        <w:tc>
          <w:tcPr>
            <w:tcW w:w="1710" w:type="dxa"/>
            <w:vAlign w:val="center"/>
          </w:tcPr>
          <w:p w14:paraId="53101282" w14:textId="0D10181C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Dexamethasone</w:t>
            </w:r>
          </w:p>
        </w:tc>
        <w:tc>
          <w:tcPr>
            <w:tcW w:w="1440" w:type="dxa"/>
            <w:vAlign w:val="center"/>
          </w:tcPr>
          <w:p w14:paraId="2AA2E1D7" w14:textId="43A83530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Placebo, none,  standard of care</w:t>
            </w:r>
          </w:p>
        </w:tc>
        <w:tc>
          <w:tcPr>
            <w:tcW w:w="1260" w:type="dxa"/>
            <w:vAlign w:val="center"/>
          </w:tcPr>
          <w:p w14:paraId="45BEBC10" w14:textId="1B9E7823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Neurologic outcome</w:t>
            </w:r>
          </w:p>
        </w:tc>
        <w:tc>
          <w:tcPr>
            <w:tcW w:w="900" w:type="dxa"/>
            <w:vAlign w:val="center"/>
          </w:tcPr>
          <w:p w14:paraId="41418C2D" w14:textId="5231DE5B" w:rsidR="00FD732D" w:rsidRPr="00484F6C" w:rsidRDefault="001E6915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0AAB7670" w14:textId="614814FF" w:rsidR="00FD732D" w:rsidRPr="00484F6C" w:rsidRDefault="009A3D0A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6EEB633A" w14:textId="116C7934" w:rsidR="00FD732D" w:rsidRPr="00484F6C" w:rsidRDefault="009A3D0A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Not serious</w:t>
            </w:r>
          </w:p>
        </w:tc>
        <w:tc>
          <w:tcPr>
            <w:tcW w:w="1170" w:type="dxa"/>
            <w:vAlign w:val="center"/>
          </w:tcPr>
          <w:p w14:paraId="574A9F48" w14:textId="289654D2" w:rsidR="00FD732D" w:rsidRPr="00484F6C" w:rsidRDefault="009A3D0A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Not serious</w:t>
            </w:r>
          </w:p>
        </w:tc>
        <w:tc>
          <w:tcPr>
            <w:tcW w:w="1170" w:type="dxa"/>
            <w:vAlign w:val="center"/>
          </w:tcPr>
          <w:p w14:paraId="3A4C0687" w14:textId="02DE506A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>Moderate</w:t>
            </w:r>
          </w:p>
        </w:tc>
        <w:tc>
          <w:tcPr>
            <w:tcW w:w="2486" w:type="dxa"/>
            <w:vAlign w:val="center"/>
          </w:tcPr>
          <w:p w14:paraId="11A335C6" w14:textId="74CA3236" w:rsidR="00FD732D" w:rsidRPr="00484F6C" w:rsidRDefault="00FD732D" w:rsidP="00EB4A94">
            <w:pPr>
              <w:jc w:val="center"/>
              <w:rPr>
                <w:sz w:val="20"/>
                <w:szCs w:val="20"/>
              </w:rPr>
            </w:pPr>
            <w:r w:rsidRPr="00484F6C">
              <w:rPr>
                <w:sz w:val="20"/>
                <w:szCs w:val="20"/>
              </w:rPr>
              <w:t xml:space="preserve">Corticosteroid use associated with increased rates </w:t>
            </w:r>
            <w:r w:rsidR="00F436A6">
              <w:rPr>
                <w:sz w:val="20"/>
                <w:szCs w:val="20"/>
              </w:rPr>
              <w:t>of c</w:t>
            </w:r>
            <w:r w:rsidRPr="00484F6C">
              <w:rPr>
                <w:sz w:val="20"/>
                <w:szCs w:val="20"/>
              </w:rPr>
              <w:t xml:space="preserve">omplications </w:t>
            </w:r>
            <w:r w:rsidR="0023024F">
              <w:rPr>
                <w:sz w:val="20"/>
                <w:szCs w:val="20"/>
              </w:rPr>
              <w:t>&amp;</w:t>
            </w:r>
            <w:r w:rsidRPr="00484F6C">
              <w:rPr>
                <w:sz w:val="20"/>
                <w:szCs w:val="20"/>
              </w:rPr>
              <w:t xml:space="preserve"> no improvement in neurologic outcomes</w:t>
            </w:r>
          </w:p>
        </w:tc>
      </w:tr>
      <w:tr w:rsidR="00F436A6" w:rsidRPr="006E1336" w14:paraId="1696A326" w14:textId="77777777" w:rsidTr="00073E7A">
        <w:trPr>
          <w:trHeight w:val="471"/>
        </w:trPr>
        <w:tc>
          <w:tcPr>
            <w:tcW w:w="1615" w:type="dxa"/>
            <w:vAlign w:val="center"/>
          </w:tcPr>
          <w:p w14:paraId="658FEA59" w14:textId="77CEF622" w:rsidR="00CE0E90" w:rsidRPr="008E5CA0" w:rsidRDefault="00CE0E90" w:rsidP="00CE0E90">
            <w:pPr>
              <w:jc w:val="center"/>
              <w:rPr>
                <w:sz w:val="20"/>
                <w:szCs w:val="20"/>
              </w:rPr>
            </w:pPr>
            <w:r w:rsidRPr="008E5CA0">
              <w:rPr>
                <w:sz w:val="20"/>
                <w:szCs w:val="20"/>
              </w:rPr>
              <w:t>Bacterial meningitis</w:t>
            </w:r>
          </w:p>
        </w:tc>
        <w:tc>
          <w:tcPr>
            <w:tcW w:w="1710" w:type="dxa"/>
            <w:vAlign w:val="center"/>
          </w:tcPr>
          <w:p w14:paraId="5D1E5204" w14:textId="0E0BF801" w:rsidR="00CE0E90" w:rsidRPr="008E5CA0" w:rsidRDefault="00CE0E90" w:rsidP="00CE0E90">
            <w:pPr>
              <w:jc w:val="center"/>
              <w:rPr>
                <w:sz w:val="20"/>
                <w:szCs w:val="20"/>
              </w:rPr>
            </w:pPr>
            <w:r w:rsidRPr="008E5CA0">
              <w:rPr>
                <w:sz w:val="20"/>
                <w:szCs w:val="20"/>
              </w:rPr>
              <w:t>Dexamethasone</w:t>
            </w:r>
            <w:r w:rsidR="00461DEB">
              <w:rPr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1440" w:type="dxa"/>
            <w:vAlign w:val="center"/>
          </w:tcPr>
          <w:p w14:paraId="6F3D3CB1" w14:textId="2B4C4D2D" w:rsidR="00CE0E90" w:rsidRPr="008E5CA0" w:rsidRDefault="00CE0E90" w:rsidP="00CE0E90">
            <w:pPr>
              <w:jc w:val="center"/>
              <w:rPr>
                <w:sz w:val="20"/>
                <w:szCs w:val="20"/>
              </w:rPr>
            </w:pPr>
            <w:r w:rsidRPr="008E5CA0">
              <w:rPr>
                <w:sz w:val="20"/>
                <w:szCs w:val="20"/>
              </w:rPr>
              <w:t>Placebo, none, historical controls</w:t>
            </w:r>
          </w:p>
        </w:tc>
        <w:tc>
          <w:tcPr>
            <w:tcW w:w="1260" w:type="dxa"/>
            <w:vAlign w:val="center"/>
          </w:tcPr>
          <w:p w14:paraId="1B4E38F5" w14:textId="36875D21" w:rsidR="00CE0E90" w:rsidRPr="008E5CA0" w:rsidRDefault="00CE0E90" w:rsidP="00CE0E90">
            <w:pPr>
              <w:jc w:val="center"/>
              <w:rPr>
                <w:sz w:val="20"/>
                <w:szCs w:val="20"/>
              </w:rPr>
            </w:pPr>
            <w:r w:rsidRPr="008E5CA0">
              <w:rPr>
                <w:sz w:val="20"/>
                <w:szCs w:val="20"/>
              </w:rPr>
              <w:t>Neurologic outcome</w:t>
            </w:r>
          </w:p>
        </w:tc>
        <w:tc>
          <w:tcPr>
            <w:tcW w:w="900" w:type="dxa"/>
            <w:vAlign w:val="center"/>
          </w:tcPr>
          <w:p w14:paraId="22EBBCCA" w14:textId="621D96DE" w:rsidR="00CE0E90" w:rsidRPr="008E5CA0" w:rsidRDefault="00CE0E90" w:rsidP="00CE0E90">
            <w:pPr>
              <w:jc w:val="center"/>
              <w:rPr>
                <w:sz w:val="20"/>
                <w:szCs w:val="20"/>
              </w:rPr>
            </w:pPr>
            <w:r w:rsidRPr="008E5CA0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48B6442F" w14:textId="178B6D3D" w:rsidR="00CE0E90" w:rsidRPr="008E5CA0" w:rsidRDefault="00CE0E90" w:rsidP="00CE0E90">
            <w:pPr>
              <w:jc w:val="center"/>
              <w:rPr>
                <w:sz w:val="20"/>
                <w:szCs w:val="20"/>
              </w:rPr>
            </w:pPr>
            <w:r w:rsidRPr="008E5CA0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13629EC3" w14:textId="709972BF" w:rsidR="00CE0E90" w:rsidRPr="008E5CA0" w:rsidRDefault="00CE0E90" w:rsidP="00CE0E90">
            <w:pPr>
              <w:jc w:val="center"/>
              <w:rPr>
                <w:sz w:val="20"/>
                <w:szCs w:val="20"/>
              </w:rPr>
            </w:pPr>
            <w:r w:rsidRPr="008E5CA0">
              <w:rPr>
                <w:sz w:val="20"/>
                <w:szCs w:val="20"/>
              </w:rPr>
              <w:t>Not serious</w:t>
            </w:r>
          </w:p>
        </w:tc>
        <w:tc>
          <w:tcPr>
            <w:tcW w:w="1170" w:type="dxa"/>
            <w:vAlign w:val="center"/>
          </w:tcPr>
          <w:p w14:paraId="49715098" w14:textId="65A9213A" w:rsidR="00CE0E90" w:rsidRPr="008E5CA0" w:rsidRDefault="00CE0E90" w:rsidP="00CE0E90">
            <w:pPr>
              <w:jc w:val="center"/>
              <w:rPr>
                <w:sz w:val="20"/>
                <w:szCs w:val="20"/>
              </w:rPr>
            </w:pPr>
            <w:r w:rsidRPr="008E5CA0">
              <w:rPr>
                <w:sz w:val="20"/>
                <w:szCs w:val="20"/>
              </w:rPr>
              <w:t>Not serious</w:t>
            </w:r>
          </w:p>
        </w:tc>
        <w:tc>
          <w:tcPr>
            <w:tcW w:w="1170" w:type="dxa"/>
            <w:vAlign w:val="center"/>
          </w:tcPr>
          <w:p w14:paraId="269AEA85" w14:textId="4B443818" w:rsidR="00CE0E90" w:rsidRPr="008E5CA0" w:rsidRDefault="00CE0E90" w:rsidP="00CE0E90">
            <w:pPr>
              <w:jc w:val="center"/>
              <w:rPr>
                <w:sz w:val="20"/>
                <w:szCs w:val="20"/>
              </w:rPr>
            </w:pPr>
            <w:r w:rsidRPr="008E5CA0">
              <w:rPr>
                <w:sz w:val="20"/>
                <w:szCs w:val="20"/>
              </w:rPr>
              <w:t>Moderate</w:t>
            </w:r>
          </w:p>
        </w:tc>
        <w:tc>
          <w:tcPr>
            <w:tcW w:w="2486" w:type="dxa"/>
            <w:vAlign w:val="center"/>
          </w:tcPr>
          <w:p w14:paraId="2023C058" w14:textId="78FBEA2D" w:rsidR="00CE0E90" w:rsidRPr="008E5CA0" w:rsidRDefault="008E5CA0" w:rsidP="008E5CA0">
            <w:pPr>
              <w:jc w:val="center"/>
              <w:rPr>
                <w:sz w:val="20"/>
                <w:szCs w:val="20"/>
              </w:rPr>
            </w:pPr>
            <w:r w:rsidRPr="008E5CA0">
              <w:rPr>
                <w:sz w:val="20"/>
                <w:szCs w:val="20"/>
              </w:rPr>
              <w:t>Dexamethasone use associated with reduced neurologic sequelae (primarily hearing loss) when initiated prior to or with the first dose of antibiotics in patients with community-acquired meningitis</w:t>
            </w:r>
          </w:p>
        </w:tc>
      </w:tr>
      <w:tr w:rsidR="00F436A6" w:rsidRPr="006E1336" w14:paraId="6506FA4C" w14:textId="77777777" w:rsidTr="00073E7A">
        <w:trPr>
          <w:trHeight w:val="471"/>
        </w:trPr>
        <w:tc>
          <w:tcPr>
            <w:tcW w:w="1615" w:type="dxa"/>
            <w:vAlign w:val="center"/>
          </w:tcPr>
          <w:p w14:paraId="2BFD9E9B" w14:textId="59C561B9" w:rsidR="00CE0E90" w:rsidRPr="00E7515F" w:rsidRDefault="00CE0E90" w:rsidP="00CE0E90">
            <w:pPr>
              <w:jc w:val="center"/>
              <w:rPr>
                <w:sz w:val="20"/>
                <w:szCs w:val="20"/>
              </w:rPr>
            </w:pPr>
            <w:r w:rsidRPr="00E7515F">
              <w:rPr>
                <w:sz w:val="20"/>
                <w:szCs w:val="20"/>
              </w:rPr>
              <w:t>TB meningitis</w:t>
            </w:r>
          </w:p>
        </w:tc>
        <w:tc>
          <w:tcPr>
            <w:tcW w:w="1710" w:type="dxa"/>
            <w:vAlign w:val="center"/>
          </w:tcPr>
          <w:p w14:paraId="3BBA63D2" w14:textId="4C6F7DA4" w:rsidR="00CE0E90" w:rsidRPr="00E7515F" w:rsidRDefault="00CE0E90" w:rsidP="00CE0E90">
            <w:pPr>
              <w:jc w:val="center"/>
              <w:rPr>
                <w:sz w:val="20"/>
                <w:szCs w:val="20"/>
              </w:rPr>
            </w:pPr>
            <w:r w:rsidRPr="00E7515F">
              <w:rPr>
                <w:sz w:val="20"/>
                <w:szCs w:val="20"/>
              </w:rPr>
              <w:t>Corticosteroids</w:t>
            </w:r>
            <w:r w:rsidR="00461DEB">
              <w:rPr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1440" w:type="dxa"/>
            <w:vAlign w:val="center"/>
          </w:tcPr>
          <w:p w14:paraId="78943C03" w14:textId="472E0602" w:rsidR="00CE0E90" w:rsidRPr="00E7515F" w:rsidRDefault="00CE0E90" w:rsidP="00CE0E90">
            <w:pPr>
              <w:jc w:val="center"/>
              <w:rPr>
                <w:sz w:val="20"/>
                <w:szCs w:val="20"/>
              </w:rPr>
            </w:pPr>
            <w:r w:rsidRPr="00E7515F">
              <w:rPr>
                <w:sz w:val="20"/>
                <w:szCs w:val="20"/>
              </w:rPr>
              <w:t>Placebo, none, historical controls</w:t>
            </w:r>
          </w:p>
        </w:tc>
        <w:tc>
          <w:tcPr>
            <w:tcW w:w="1260" w:type="dxa"/>
            <w:vAlign w:val="center"/>
          </w:tcPr>
          <w:p w14:paraId="69CF3F4A" w14:textId="020C8FE3" w:rsidR="00CE0E90" w:rsidRPr="00E7515F" w:rsidRDefault="00CE0E90" w:rsidP="00CE0E90">
            <w:pPr>
              <w:jc w:val="center"/>
              <w:rPr>
                <w:sz w:val="20"/>
                <w:szCs w:val="20"/>
              </w:rPr>
            </w:pPr>
            <w:r w:rsidRPr="00E7515F">
              <w:rPr>
                <w:sz w:val="20"/>
                <w:szCs w:val="20"/>
              </w:rPr>
              <w:t>Neurologic outcome</w:t>
            </w:r>
          </w:p>
        </w:tc>
        <w:tc>
          <w:tcPr>
            <w:tcW w:w="900" w:type="dxa"/>
            <w:vAlign w:val="center"/>
          </w:tcPr>
          <w:p w14:paraId="4EBBF1FE" w14:textId="1F1F0FA5" w:rsidR="00CE0E90" w:rsidRPr="00E7515F" w:rsidRDefault="00CE0E90" w:rsidP="00CE0E90">
            <w:pPr>
              <w:jc w:val="center"/>
              <w:rPr>
                <w:sz w:val="20"/>
                <w:szCs w:val="20"/>
              </w:rPr>
            </w:pPr>
            <w:r w:rsidRPr="00E7515F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1B3F7DA2" w14:textId="2A2B9BC0" w:rsidR="00CE0E90" w:rsidRPr="00E7515F" w:rsidRDefault="00CE0E90" w:rsidP="00CE0E90">
            <w:pPr>
              <w:jc w:val="center"/>
              <w:rPr>
                <w:sz w:val="20"/>
                <w:szCs w:val="20"/>
              </w:rPr>
            </w:pPr>
            <w:r w:rsidRPr="00E7515F">
              <w:rPr>
                <w:sz w:val="20"/>
                <w:szCs w:val="20"/>
              </w:rPr>
              <w:t>Serious</w:t>
            </w:r>
          </w:p>
        </w:tc>
        <w:tc>
          <w:tcPr>
            <w:tcW w:w="1260" w:type="dxa"/>
            <w:vAlign w:val="center"/>
          </w:tcPr>
          <w:p w14:paraId="6DC379F4" w14:textId="05DCC4C1" w:rsidR="00CE0E90" w:rsidRPr="00E7515F" w:rsidRDefault="00CE0E90" w:rsidP="00CE0E90">
            <w:pPr>
              <w:jc w:val="center"/>
              <w:rPr>
                <w:sz w:val="20"/>
                <w:szCs w:val="20"/>
              </w:rPr>
            </w:pPr>
            <w:r w:rsidRPr="00E7515F">
              <w:rPr>
                <w:sz w:val="20"/>
                <w:szCs w:val="20"/>
              </w:rPr>
              <w:t>Not serious</w:t>
            </w:r>
          </w:p>
        </w:tc>
        <w:tc>
          <w:tcPr>
            <w:tcW w:w="1170" w:type="dxa"/>
            <w:vAlign w:val="center"/>
          </w:tcPr>
          <w:p w14:paraId="7F2A7821" w14:textId="7AE30E25" w:rsidR="00CE0E90" w:rsidRPr="00E7515F" w:rsidRDefault="00CE0E90" w:rsidP="00CE0E90">
            <w:pPr>
              <w:jc w:val="center"/>
              <w:rPr>
                <w:sz w:val="20"/>
                <w:szCs w:val="20"/>
              </w:rPr>
            </w:pPr>
            <w:r w:rsidRPr="00E7515F">
              <w:rPr>
                <w:sz w:val="20"/>
                <w:szCs w:val="20"/>
              </w:rPr>
              <w:t>Not serious</w:t>
            </w:r>
          </w:p>
        </w:tc>
        <w:tc>
          <w:tcPr>
            <w:tcW w:w="1170" w:type="dxa"/>
            <w:vAlign w:val="center"/>
          </w:tcPr>
          <w:p w14:paraId="20102396" w14:textId="39101601" w:rsidR="00CE0E90" w:rsidRPr="00E7515F" w:rsidRDefault="00CE0E90" w:rsidP="00CE0E90">
            <w:pPr>
              <w:jc w:val="center"/>
              <w:rPr>
                <w:sz w:val="20"/>
                <w:szCs w:val="20"/>
              </w:rPr>
            </w:pPr>
            <w:r w:rsidRPr="00E7515F">
              <w:rPr>
                <w:sz w:val="20"/>
                <w:szCs w:val="20"/>
              </w:rPr>
              <w:t>Moderate</w:t>
            </w:r>
          </w:p>
        </w:tc>
        <w:tc>
          <w:tcPr>
            <w:tcW w:w="2486" w:type="dxa"/>
            <w:vAlign w:val="center"/>
          </w:tcPr>
          <w:p w14:paraId="2631F168" w14:textId="56AF37DE" w:rsidR="00CE0E90" w:rsidRPr="006E1336" w:rsidRDefault="008E5CA0" w:rsidP="008E5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Corticosteroid use associated with reduced mortality in patients with TB meningitis; </w:t>
            </w:r>
            <w:r w:rsidRPr="008E5CA0">
              <w:rPr>
                <w:sz w:val="20"/>
                <w:szCs w:val="20"/>
              </w:rPr>
              <w:t xml:space="preserve">one specific </w:t>
            </w:r>
            <w:r w:rsidRPr="008E5CA0">
              <w:rPr>
                <w:sz w:val="20"/>
                <w:szCs w:val="20"/>
              </w:rPr>
              <w:lastRenderedPageBreak/>
              <w:t xml:space="preserve">corticosteroid or dose in patients with TB meningitis </w:t>
            </w:r>
            <w:r>
              <w:rPr>
                <w:sz w:val="20"/>
                <w:szCs w:val="20"/>
              </w:rPr>
              <w:t xml:space="preserve">cannot be recommended </w:t>
            </w:r>
            <w:r w:rsidRPr="008E5CA0">
              <w:rPr>
                <w:sz w:val="20"/>
                <w:szCs w:val="20"/>
              </w:rPr>
              <w:t xml:space="preserve">due to the inconsistency of agents </w:t>
            </w:r>
            <w:r w:rsidR="0023024F">
              <w:rPr>
                <w:sz w:val="20"/>
                <w:szCs w:val="20"/>
              </w:rPr>
              <w:t>&amp;</w:t>
            </w:r>
            <w:r w:rsidRPr="008E5CA0">
              <w:rPr>
                <w:sz w:val="20"/>
                <w:szCs w:val="20"/>
              </w:rPr>
              <w:t xml:space="preserve"> doses eval</w:t>
            </w:r>
            <w:r w:rsidR="00E7515F">
              <w:rPr>
                <w:sz w:val="20"/>
                <w:szCs w:val="20"/>
              </w:rPr>
              <w:t>uated in the literature</w:t>
            </w:r>
          </w:p>
        </w:tc>
      </w:tr>
      <w:tr w:rsidR="00F436A6" w:rsidRPr="006E1336" w14:paraId="1ACBA44D" w14:textId="77777777" w:rsidTr="00073E7A">
        <w:trPr>
          <w:trHeight w:val="486"/>
        </w:trPr>
        <w:tc>
          <w:tcPr>
            <w:tcW w:w="1615" w:type="dxa"/>
            <w:vAlign w:val="center"/>
          </w:tcPr>
          <w:p w14:paraId="57BD1571" w14:textId="1B82B508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lastRenderedPageBreak/>
              <w:t>CNS infections</w:t>
            </w:r>
            <w:r w:rsidR="00461DEB">
              <w:rPr>
                <w:sz w:val="20"/>
                <w:szCs w:val="20"/>
              </w:rPr>
              <w:t xml:space="preserve"> (bacterial &amp; TB meningitis)</w:t>
            </w:r>
          </w:p>
        </w:tc>
        <w:tc>
          <w:tcPr>
            <w:tcW w:w="1710" w:type="dxa"/>
            <w:vAlign w:val="center"/>
          </w:tcPr>
          <w:p w14:paraId="0BEC761B" w14:textId="0067B420" w:rsidR="00FD732D" w:rsidRPr="00CB6AB4" w:rsidRDefault="00CE0E90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HTS &amp; rescue mannitol</w:t>
            </w:r>
            <w:r w:rsidR="00461DEB" w:rsidRPr="00461DEB">
              <w:rPr>
                <w:sz w:val="20"/>
                <w:szCs w:val="20"/>
                <w:vertAlign w:val="superscript"/>
              </w:rPr>
              <w:t>L</w:t>
            </w:r>
          </w:p>
        </w:tc>
        <w:tc>
          <w:tcPr>
            <w:tcW w:w="1440" w:type="dxa"/>
            <w:vAlign w:val="center"/>
          </w:tcPr>
          <w:p w14:paraId="097BAC6C" w14:textId="5988C16D" w:rsidR="00FD732D" w:rsidRPr="00CB6AB4" w:rsidRDefault="00CE0E90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center"/>
          </w:tcPr>
          <w:p w14:paraId="68927111" w14:textId="36F8A339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ICP/CE control</w:t>
            </w:r>
          </w:p>
        </w:tc>
        <w:tc>
          <w:tcPr>
            <w:tcW w:w="900" w:type="dxa"/>
            <w:vAlign w:val="center"/>
          </w:tcPr>
          <w:p w14:paraId="55087E1A" w14:textId="1530D0D9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41DA9EFC" w14:textId="0CDDDA74" w:rsidR="00FD732D" w:rsidRPr="00CB6AB4" w:rsidRDefault="00CE0E90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7B1206D4" w14:textId="0D54B4E7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7D9CF8AF" w14:textId="4C44E60C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702F7A5D" w14:textId="6CFDAE21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Very low</w:t>
            </w:r>
          </w:p>
        </w:tc>
        <w:tc>
          <w:tcPr>
            <w:tcW w:w="2486" w:type="dxa"/>
            <w:vAlign w:val="center"/>
          </w:tcPr>
          <w:p w14:paraId="68763B3E" w14:textId="66FA1C6E" w:rsidR="00FD732D" w:rsidRPr="006E1336" w:rsidRDefault="00E7515F" w:rsidP="00EB4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E7515F">
              <w:rPr>
                <w:sz w:val="20"/>
                <w:szCs w:val="20"/>
              </w:rPr>
              <w:t>nsufficient evidence to determine whether HTS or mannitol is more effective to reduce ICP or cerebral edema in patients with communit</w:t>
            </w:r>
            <w:r>
              <w:rPr>
                <w:sz w:val="20"/>
                <w:szCs w:val="20"/>
              </w:rPr>
              <w:t>y-acquired bacterial meningitis</w:t>
            </w:r>
            <w:r w:rsidR="0023024F">
              <w:rPr>
                <w:sz w:val="20"/>
                <w:szCs w:val="20"/>
              </w:rPr>
              <w:t>; no evidence available related to TB meningitis</w:t>
            </w:r>
          </w:p>
        </w:tc>
      </w:tr>
      <w:tr w:rsidR="00F436A6" w:rsidRPr="006E1336" w14:paraId="5BDEDC83" w14:textId="77777777" w:rsidTr="00073E7A">
        <w:trPr>
          <w:trHeight w:val="471"/>
        </w:trPr>
        <w:tc>
          <w:tcPr>
            <w:tcW w:w="1615" w:type="dxa"/>
            <w:vAlign w:val="center"/>
          </w:tcPr>
          <w:p w14:paraId="116ACB3C" w14:textId="6AA72336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Hepatic enceph</w:t>
            </w:r>
            <w:r w:rsidR="00CE0E90" w:rsidRPr="00CB6AB4">
              <w:rPr>
                <w:sz w:val="20"/>
                <w:szCs w:val="20"/>
              </w:rPr>
              <w:t>alopathy</w:t>
            </w:r>
          </w:p>
        </w:tc>
        <w:tc>
          <w:tcPr>
            <w:tcW w:w="1710" w:type="dxa"/>
            <w:vAlign w:val="center"/>
          </w:tcPr>
          <w:p w14:paraId="4903652F" w14:textId="768478A1" w:rsidR="00FD732D" w:rsidRPr="00CB6AB4" w:rsidRDefault="00DA3CAA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 xml:space="preserve">Varying forms of HTS </w:t>
            </w:r>
            <w:r w:rsidR="0023024F">
              <w:rPr>
                <w:sz w:val="20"/>
                <w:szCs w:val="20"/>
              </w:rPr>
              <w:t>&amp;</w:t>
            </w:r>
            <w:r w:rsidRPr="00CB6AB4">
              <w:rPr>
                <w:sz w:val="20"/>
                <w:szCs w:val="20"/>
              </w:rPr>
              <w:t xml:space="preserve"> mannitol</w:t>
            </w:r>
            <w:r w:rsidR="00D80F4B">
              <w:rPr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1440" w:type="dxa"/>
            <w:vAlign w:val="center"/>
          </w:tcPr>
          <w:p w14:paraId="224D923E" w14:textId="7B4A7ABE" w:rsidR="00FD732D" w:rsidRPr="00CB6AB4" w:rsidRDefault="00CE0E90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None, standard of care</w:t>
            </w:r>
          </w:p>
        </w:tc>
        <w:tc>
          <w:tcPr>
            <w:tcW w:w="1260" w:type="dxa"/>
            <w:vAlign w:val="center"/>
          </w:tcPr>
          <w:p w14:paraId="14F02A05" w14:textId="7B9A9E8B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ICP/CE control</w:t>
            </w:r>
          </w:p>
        </w:tc>
        <w:tc>
          <w:tcPr>
            <w:tcW w:w="900" w:type="dxa"/>
            <w:vAlign w:val="center"/>
          </w:tcPr>
          <w:p w14:paraId="5C88BEF5" w14:textId="750E446A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05129F3D" w14:textId="2A87A557" w:rsidR="00FD732D" w:rsidRPr="00CB6AB4" w:rsidRDefault="00CE0E90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36739FA8" w14:textId="679458BA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0CC0C83A" w14:textId="063BEA65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41E5807F" w14:textId="014F7211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Very low</w:t>
            </w:r>
          </w:p>
        </w:tc>
        <w:tc>
          <w:tcPr>
            <w:tcW w:w="2486" w:type="dxa"/>
            <w:vAlign w:val="center"/>
          </w:tcPr>
          <w:p w14:paraId="1C7F54A4" w14:textId="176FB2E2" w:rsidR="00FD732D" w:rsidRPr="006E1336" w:rsidRDefault="001C10BB" w:rsidP="00EB4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1C10BB">
              <w:rPr>
                <w:sz w:val="20"/>
                <w:szCs w:val="20"/>
              </w:rPr>
              <w:t>iterature in patients with hepatic encephalopathy was not compelling to recommend one method of administration of HTS over the other for initial management of elevated ICP or cer</w:t>
            </w:r>
            <w:r>
              <w:rPr>
                <w:sz w:val="20"/>
                <w:szCs w:val="20"/>
              </w:rPr>
              <w:t>ebral edema; p</w:t>
            </w:r>
            <w:r w:rsidRPr="001C10BB">
              <w:rPr>
                <w:sz w:val="20"/>
                <w:szCs w:val="20"/>
              </w:rPr>
              <w:t>atient-specific factors may be employed to aid clinicians in selectin</w:t>
            </w:r>
            <w:r>
              <w:rPr>
                <w:sz w:val="20"/>
                <w:szCs w:val="20"/>
              </w:rPr>
              <w:t>g the appropriate initial agent</w:t>
            </w:r>
          </w:p>
        </w:tc>
      </w:tr>
      <w:tr w:rsidR="00F436A6" w:rsidRPr="006E1336" w14:paraId="26C72AB3" w14:textId="77777777" w:rsidTr="00073E7A">
        <w:trPr>
          <w:trHeight w:val="471"/>
        </w:trPr>
        <w:tc>
          <w:tcPr>
            <w:tcW w:w="1615" w:type="dxa"/>
            <w:vAlign w:val="center"/>
          </w:tcPr>
          <w:p w14:paraId="0FBE6BA1" w14:textId="23BDCA84" w:rsidR="00DA3CAA" w:rsidRPr="00CB6AB4" w:rsidRDefault="00DA3CAA" w:rsidP="00DA3CAA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Hepatic encephalopathy</w:t>
            </w:r>
          </w:p>
        </w:tc>
        <w:tc>
          <w:tcPr>
            <w:tcW w:w="1710" w:type="dxa"/>
            <w:vAlign w:val="center"/>
          </w:tcPr>
          <w:p w14:paraId="1733B165" w14:textId="4D0C1F43" w:rsidR="00DA3CAA" w:rsidRPr="00CB6AB4" w:rsidRDefault="00DA3CAA" w:rsidP="00DA3CAA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 xml:space="preserve">Varying forms of HTS </w:t>
            </w:r>
            <w:r w:rsidR="0023024F">
              <w:rPr>
                <w:sz w:val="20"/>
                <w:szCs w:val="20"/>
              </w:rPr>
              <w:t>&amp;</w:t>
            </w:r>
            <w:r w:rsidR="00D80F4B">
              <w:rPr>
                <w:sz w:val="20"/>
                <w:szCs w:val="20"/>
              </w:rPr>
              <w:t xml:space="preserve"> mannitol</w:t>
            </w:r>
            <w:r w:rsidR="00D80F4B">
              <w:rPr>
                <w:sz w:val="20"/>
                <w:szCs w:val="20"/>
                <w:vertAlign w:val="superscript"/>
              </w:rPr>
              <w:t>M</w:t>
            </w:r>
            <w:r w:rsidRPr="00CB6A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3529221E" w14:textId="03D91031" w:rsidR="00DA3CAA" w:rsidRPr="00CB6AB4" w:rsidRDefault="00DA3CAA" w:rsidP="00DA3CAA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None, standard of care</w:t>
            </w:r>
          </w:p>
        </w:tc>
        <w:tc>
          <w:tcPr>
            <w:tcW w:w="1260" w:type="dxa"/>
            <w:vAlign w:val="center"/>
          </w:tcPr>
          <w:p w14:paraId="060EBC1B" w14:textId="75C12D5C" w:rsidR="00DA3CAA" w:rsidRPr="00CB6AB4" w:rsidRDefault="00DA3CAA" w:rsidP="00DA3CAA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Neurologic outcome</w:t>
            </w:r>
          </w:p>
        </w:tc>
        <w:tc>
          <w:tcPr>
            <w:tcW w:w="900" w:type="dxa"/>
            <w:vAlign w:val="center"/>
          </w:tcPr>
          <w:p w14:paraId="7E531E2A" w14:textId="4EBD8467" w:rsidR="00DA3CAA" w:rsidRPr="00CB6AB4" w:rsidRDefault="00DA3CAA" w:rsidP="00DA3CAA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55B9209A" w14:textId="2C3DF084" w:rsidR="00DA3CAA" w:rsidRPr="00CB6AB4" w:rsidRDefault="00DA3CAA" w:rsidP="00DA3CAA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3A248ACA" w14:textId="604E8054" w:rsidR="00DA3CAA" w:rsidRPr="00CB6AB4" w:rsidRDefault="00DA3CAA" w:rsidP="00DA3CAA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26ED2EDE" w14:textId="4E50EB41" w:rsidR="00DA3CAA" w:rsidRPr="00CB6AB4" w:rsidRDefault="00DA3CAA" w:rsidP="00DA3CAA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39B64809" w14:textId="3DCC1341" w:rsidR="00DA3CAA" w:rsidRPr="00CB6AB4" w:rsidRDefault="00DA3CAA" w:rsidP="00DA3CAA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Very low</w:t>
            </w:r>
          </w:p>
        </w:tc>
        <w:tc>
          <w:tcPr>
            <w:tcW w:w="2486" w:type="dxa"/>
            <w:vAlign w:val="center"/>
          </w:tcPr>
          <w:p w14:paraId="20F65FD5" w14:textId="4E2F0D3E" w:rsidR="00DA3CAA" w:rsidRPr="006E1336" w:rsidRDefault="001C10BB" w:rsidP="00DA3C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1C10BB">
              <w:rPr>
                <w:sz w:val="20"/>
                <w:szCs w:val="20"/>
              </w:rPr>
              <w:t>nsufficient evidence to determine if either hyperosmolar therapy or ammonia-lowering therapy improves neurological outcomes in patients wit</w:t>
            </w:r>
            <w:r>
              <w:rPr>
                <w:sz w:val="20"/>
                <w:szCs w:val="20"/>
              </w:rPr>
              <w:t>h hepatic encephalopathy</w:t>
            </w:r>
          </w:p>
        </w:tc>
      </w:tr>
      <w:tr w:rsidR="00F436A6" w:rsidRPr="006E1336" w14:paraId="41E794D0" w14:textId="77777777" w:rsidTr="00073E7A">
        <w:trPr>
          <w:trHeight w:val="383"/>
        </w:trPr>
        <w:tc>
          <w:tcPr>
            <w:tcW w:w="1615" w:type="dxa"/>
            <w:vAlign w:val="center"/>
          </w:tcPr>
          <w:p w14:paraId="41BDD0F8" w14:textId="169FAA41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Safety</w:t>
            </w:r>
          </w:p>
        </w:tc>
        <w:tc>
          <w:tcPr>
            <w:tcW w:w="1710" w:type="dxa"/>
            <w:vAlign w:val="center"/>
          </w:tcPr>
          <w:p w14:paraId="2A069FEC" w14:textId="5129C834" w:rsidR="00FD732D" w:rsidRPr="00CB6AB4" w:rsidRDefault="00E71083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Symptom-based &amp; scheduled</w:t>
            </w:r>
            <w:r w:rsidR="0023024F">
              <w:rPr>
                <w:sz w:val="20"/>
                <w:szCs w:val="20"/>
              </w:rPr>
              <w:t>,</w:t>
            </w:r>
            <w:r w:rsidRPr="00CB6AB4">
              <w:rPr>
                <w:sz w:val="20"/>
                <w:szCs w:val="20"/>
              </w:rPr>
              <w:t xml:space="preserve"> bolus dosing every 6 hr of mannitol 20%</w:t>
            </w:r>
          </w:p>
        </w:tc>
        <w:tc>
          <w:tcPr>
            <w:tcW w:w="1440" w:type="dxa"/>
            <w:vAlign w:val="center"/>
          </w:tcPr>
          <w:p w14:paraId="5B31F4CD" w14:textId="38B266C4" w:rsidR="00FD732D" w:rsidRPr="00CB6AB4" w:rsidRDefault="00E71083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None</w:t>
            </w:r>
          </w:p>
        </w:tc>
        <w:tc>
          <w:tcPr>
            <w:tcW w:w="1260" w:type="dxa"/>
            <w:vAlign w:val="center"/>
          </w:tcPr>
          <w:p w14:paraId="26895509" w14:textId="0EF60DCC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AKI</w:t>
            </w:r>
          </w:p>
        </w:tc>
        <w:tc>
          <w:tcPr>
            <w:tcW w:w="900" w:type="dxa"/>
            <w:vAlign w:val="center"/>
          </w:tcPr>
          <w:p w14:paraId="7D8FF7B5" w14:textId="5BC4BD52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171ED8DC" w14:textId="0092355F" w:rsidR="00FD732D" w:rsidRPr="00CB6AB4" w:rsidRDefault="00E71083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15723E60" w14:textId="01A1C9D3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5ACFA32B" w14:textId="3DA10BB9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10B01BD0" w14:textId="38796BFF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Very low</w:t>
            </w:r>
          </w:p>
        </w:tc>
        <w:tc>
          <w:tcPr>
            <w:tcW w:w="2486" w:type="dxa"/>
            <w:vAlign w:val="center"/>
          </w:tcPr>
          <w:p w14:paraId="4F27B8C1" w14:textId="181ABA98" w:rsidR="00FD732D" w:rsidRPr="006E1336" w:rsidRDefault="0023024F" w:rsidP="00EB4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1C10BB" w:rsidRPr="001C10BB">
              <w:rPr>
                <w:sz w:val="20"/>
                <w:szCs w:val="20"/>
              </w:rPr>
              <w:t xml:space="preserve">smolar gap appears to correlate best with mannitol concentration </w:t>
            </w:r>
            <w:r>
              <w:rPr>
                <w:sz w:val="20"/>
                <w:szCs w:val="20"/>
              </w:rPr>
              <w:t>&amp;</w:t>
            </w:r>
            <w:r w:rsidR="001C10BB" w:rsidRPr="001C10BB">
              <w:rPr>
                <w:sz w:val="20"/>
                <w:szCs w:val="20"/>
              </w:rPr>
              <w:t xml:space="preserve"> elevated mannitol concentration is best associated with toxicity</w:t>
            </w:r>
            <w:r>
              <w:rPr>
                <w:sz w:val="20"/>
                <w:szCs w:val="20"/>
              </w:rPr>
              <w:t xml:space="preserve">; </w:t>
            </w:r>
            <w:r w:rsidR="001C10BB" w:rsidRPr="001C10BB">
              <w:rPr>
                <w:sz w:val="20"/>
                <w:szCs w:val="20"/>
              </w:rPr>
              <w:t xml:space="preserve">osmolar gap of 20mOsm/kg has been used in clinical trials as a safety threshold, </w:t>
            </w:r>
            <w:r w:rsidR="001C10BB" w:rsidRPr="001C10BB">
              <w:rPr>
                <w:sz w:val="20"/>
                <w:szCs w:val="20"/>
              </w:rPr>
              <w:lastRenderedPageBreak/>
              <w:t>but the osmolar gap of 55mOsm/kg appears to correlate best with mannitol concentrations that are associated with the development of AKI</w:t>
            </w:r>
          </w:p>
        </w:tc>
      </w:tr>
      <w:tr w:rsidR="00F436A6" w:rsidRPr="006E1336" w14:paraId="43F1F772" w14:textId="77777777" w:rsidTr="00073E7A">
        <w:trPr>
          <w:trHeight w:val="383"/>
        </w:trPr>
        <w:tc>
          <w:tcPr>
            <w:tcW w:w="1615" w:type="dxa"/>
            <w:vAlign w:val="center"/>
          </w:tcPr>
          <w:p w14:paraId="3335E004" w14:textId="06532DD9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lastRenderedPageBreak/>
              <w:t>Safety</w:t>
            </w:r>
          </w:p>
        </w:tc>
        <w:tc>
          <w:tcPr>
            <w:tcW w:w="1710" w:type="dxa"/>
            <w:vAlign w:val="center"/>
          </w:tcPr>
          <w:p w14:paraId="34DFCD73" w14:textId="427E41AB" w:rsidR="00FD732D" w:rsidRPr="00CB6AB4" w:rsidRDefault="00461DEB" w:rsidP="00461D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Various forms of HTS</w:t>
            </w:r>
            <w:r w:rsidR="00D80F4B" w:rsidRPr="00951229">
              <w:rPr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1440" w:type="dxa"/>
            <w:vAlign w:val="center"/>
          </w:tcPr>
          <w:p w14:paraId="08D98002" w14:textId="40F21F83" w:rsidR="007A19E4" w:rsidRPr="00CB6AB4" w:rsidRDefault="000B0BB2" w:rsidP="005043DC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 xml:space="preserve">None, </w:t>
            </w:r>
            <w:r w:rsidR="005043DC">
              <w:rPr>
                <w:sz w:val="20"/>
                <w:szCs w:val="20"/>
              </w:rPr>
              <w:t>historical controls,</w:t>
            </w:r>
            <w:r w:rsidR="007A19E4" w:rsidRPr="00CB6AB4">
              <w:rPr>
                <w:sz w:val="20"/>
                <w:szCs w:val="20"/>
              </w:rPr>
              <w:t xml:space="preserve"> </w:t>
            </w:r>
            <w:r w:rsidR="005043DC">
              <w:rPr>
                <w:sz w:val="20"/>
                <w:szCs w:val="20"/>
              </w:rPr>
              <w:t>various forms of fluids, HTS, or mannitol</w:t>
            </w:r>
            <w:r w:rsidR="005043DC" w:rsidRPr="005043DC">
              <w:rPr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1260" w:type="dxa"/>
            <w:vAlign w:val="center"/>
          </w:tcPr>
          <w:p w14:paraId="1B108E4B" w14:textId="107C09D4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AKI</w:t>
            </w:r>
          </w:p>
        </w:tc>
        <w:tc>
          <w:tcPr>
            <w:tcW w:w="900" w:type="dxa"/>
            <w:vAlign w:val="center"/>
          </w:tcPr>
          <w:p w14:paraId="652F843F" w14:textId="7CF7DEFA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6AF15D25" w14:textId="777AEEE7" w:rsidR="00FD732D" w:rsidRPr="00CB6AB4" w:rsidRDefault="000B0BB2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488F42BC" w14:textId="3682641B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3B000E86" w14:textId="1AF7AF75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375DBB37" w14:textId="38DF906A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Very low</w:t>
            </w:r>
          </w:p>
        </w:tc>
        <w:tc>
          <w:tcPr>
            <w:tcW w:w="2486" w:type="dxa"/>
            <w:vAlign w:val="center"/>
          </w:tcPr>
          <w:p w14:paraId="21E4071F" w14:textId="2B18F4A2" w:rsidR="00FD732D" w:rsidRPr="006E1336" w:rsidRDefault="00B05A87" w:rsidP="00F663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B05A87">
              <w:rPr>
                <w:sz w:val="20"/>
                <w:szCs w:val="20"/>
              </w:rPr>
              <w:t xml:space="preserve">recise serum values associated with acute kidney injury </w:t>
            </w:r>
            <w:r w:rsidR="00F663B6">
              <w:rPr>
                <w:sz w:val="20"/>
                <w:szCs w:val="20"/>
              </w:rPr>
              <w:t>varies across the literature; c</w:t>
            </w:r>
            <w:r w:rsidRPr="00B05A87">
              <w:rPr>
                <w:sz w:val="20"/>
                <w:szCs w:val="20"/>
              </w:rPr>
              <w:t>linicians should eva</w:t>
            </w:r>
            <w:r w:rsidR="00F663B6">
              <w:rPr>
                <w:sz w:val="20"/>
                <w:szCs w:val="20"/>
              </w:rPr>
              <w:t>luate the appropriate sodium &amp;</w:t>
            </w:r>
            <w:r w:rsidRPr="00B05A87">
              <w:rPr>
                <w:sz w:val="20"/>
                <w:szCs w:val="20"/>
              </w:rPr>
              <w:t xml:space="preserve"> chloride concentrations in individual patients based on renal </w:t>
            </w:r>
            <w:r w:rsidR="00F663B6">
              <w:rPr>
                <w:sz w:val="20"/>
                <w:szCs w:val="20"/>
              </w:rPr>
              <w:t>function, acid-base balance, &amp;</w:t>
            </w:r>
            <w:r w:rsidRPr="00B05A87">
              <w:rPr>
                <w:sz w:val="20"/>
                <w:szCs w:val="20"/>
              </w:rPr>
              <w:t xml:space="preserve"> the need for acute treatment for </w:t>
            </w:r>
            <w:r w:rsidR="00F663B6">
              <w:rPr>
                <w:sz w:val="20"/>
                <w:szCs w:val="20"/>
              </w:rPr>
              <w:t>ICP/CE</w:t>
            </w:r>
          </w:p>
        </w:tc>
      </w:tr>
      <w:tr w:rsidR="00F436A6" w:rsidRPr="006E1336" w14:paraId="3888A3A9" w14:textId="77777777" w:rsidTr="00073E7A">
        <w:trPr>
          <w:trHeight w:val="471"/>
        </w:trPr>
        <w:tc>
          <w:tcPr>
            <w:tcW w:w="1615" w:type="dxa"/>
            <w:vAlign w:val="center"/>
          </w:tcPr>
          <w:p w14:paraId="34AE9952" w14:textId="43DE6324" w:rsidR="00FD732D" w:rsidRPr="00CB6AB4" w:rsidRDefault="007A19E4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Administration Method</w:t>
            </w:r>
          </w:p>
        </w:tc>
        <w:tc>
          <w:tcPr>
            <w:tcW w:w="1710" w:type="dxa"/>
            <w:vAlign w:val="center"/>
          </w:tcPr>
          <w:p w14:paraId="293CAE84" w14:textId="59B45E0E" w:rsidR="00FD732D" w:rsidRPr="00CB6AB4" w:rsidRDefault="007A19E4" w:rsidP="0082704C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 xml:space="preserve">3% </w:t>
            </w:r>
            <w:r w:rsidR="0082704C">
              <w:rPr>
                <w:sz w:val="20"/>
                <w:szCs w:val="20"/>
              </w:rPr>
              <w:t xml:space="preserve">HTS </w:t>
            </w:r>
            <w:r w:rsidRPr="00CB6AB4">
              <w:rPr>
                <w:sz w:val="20"/>
                <w:szCs w:val="20"/>
              </w:rPr>
              <w:t>continuous infusion</w:t>
            </w:r>
          </w:p>
        </w:tc>
        <w:tc>
          <w:tcPr>
            <w:tcW w:w="1440" w:type="dxa"/>
            <w:vAlign w:val="center"/>
          </w:tcPr>
          <w:p w14:paraId="17FFBB9F" w14:textId="4C5FA563" w:rsidR="00FD732D" w:rsidRPr="00CB6AB4" w:rsidRDefault="007A19E4" w:rsidP="0082704C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Symptom-based</w:t>
            </w:r>
            <w:r w:rsidR="0082704C">
              <w:rPr>
                <w:sz w:val="20"/>
                <w:szCs w:val="20"/>
              </w:rPr>
              <w:t>, bolus 3% HTS</w:t>
            </w:r>
          </w:p>
        </w:tc>
        <w:tc>
          <w:tcPr>
            <w:tcW w:w="1260" w:type="dxa"/>
            <w:vAlign w:val="center"/>
          </w:tcPr>
          <w:p w14:paraId="48CD890B" w14:textId="0191BEC5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Neurologic outcome</w:t>
            </w:r>
          </w:p>
        </w:tc>
        <w:tc>
          <w:tcPr>
            <w:tcW w:w="900" w:type="dxa"/>
            <w:vAlign w:val="center"/>
          </w:tcPr>
          <w:p w14:paraId="100F5360" w14:textId="0F1EFC61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36FE3E53" w14:textId="77319CE6" w:rsidR="00FD732D" w:rsidRPr="00CB6AB4" w:rsidRDefault="007A19E4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52A9D5AF" w14:textId="446E6DF8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58778B1E" w14:textId="7C67B517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36263F1C" w14:textId="1DB4BE26" w:rsidR="00FD732D" w:rsidRPr="00CB6AB4" w:rsidRDefault="00CB6AB4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Very low</w:t>
            </w:r>
          </w:p>
        </w:tc>
        <w:tc>
          <w:tcPr>
            <w:tcW w:w="2486" w:type="dxa"/>
            <w:vAlign w:val="center"/>
          </w:tcPr>
          <w:p w14:paraId="744FE81D" w14:textId="1E5581B4" w:rsidR="00FD732D" w:rsidRPr="006E1336" w:rsidRDefault="00F663B6" w:rsidP="00EB4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F663B6">
              <w:rPr>
                <w:sz w:val="20"/>
                <w:szCs w:val="20"/>
              </w:rPr>
              <w:t>nsufficie</w:t>
            </w:r>
            <w:r>
              <w:rPr>
                <w:sz w:val="20"/>
                <w:szCs w:val="20"/>
              </w:rPr>
              <w:t xml:space="preserve">nt evidence to support use of a </w:t>
            </w:r>
            <w:r w:rsidRPr="00F663B6">
              <w:rPr>
                <w:sz w:val="20"/>
                <w:szCs w:val="20"/>
              </w:rPr>
              <w:t>continuous infusion of HTS targeting a serum sodium goal for the purpose of improving neurological outcomes</w:t>
            </w:r>
          </w:p>
        </w:tc>
      </w:tr>
      <w:tr w:rsidR="00F436A6" w:rsidRPr="006E1336" w14:paraId="02E3EF63" w14:textId="77777777" w:rsidTr="00073E7A">
        <w:trPr>
          <w:trHeight w:val="471"/>
        </w:trPr>
        <w:tc>
          <w:tcPr>
            <w:tcW w:w="1615" w:type="dxa"/>
            <w:vAlign w:val="center"/>
          </w:tcPr>
          <w:p w14:paraId="6CFB5F70" w14:textId="72ACE7BC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Non-pharm</w:t>
            </w:r>
            <w:r w:rsidR="007A19E4" w:rsidRPr="00CB6AB4">
              <w:rPr>
                <w:sz w:val="20"/>
                <w:szCs w:val="20"/>
              </w:rPr>
              <w:t>acologic therapy</w:t>
            </w:r>
          </w:p>
        </w:tc>
        <w:tc>
          <w:tcPr>
            <w:tcW w:w="1710" w:type="dxa"/>
            <w:vAlign w:val="center"/>
          </w:tcPr>
          <w:p w14:paraId="02892BC0" w14:textId="2178A79E" w:rsidR="00FD732D" w:rsidRPr="00CB6AB4" w:rsidRDefault="00D10317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Head of bed elevation from 0 to 90 degrees</w:t>
            </w:r>
          </w:p>
        </w:tc>
        <w:tc>
          <w:tcPr>
            <w:tcW w:w="1440" w:type="dxa"/>
            <w:vAlign w:val="center"/>
          </w:tcPr>
          <w:p w14:paraId="63601321" w14:textId="262FE849" w:rsidR="00FD732D" w:rsidRPr="00CB6AB4" w:rsidRDefault="00D10317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Standard of care</w:t>
            </w:r>
          </w:p>
        </w:tc>
        <w:tc>
          <w:tcPr>
            <w:tcW w:w="1260" w:type="dxa"/>
            <w:vAlign w:val="center"/>
          </w:tcPr>
          <w:p w14:paraId="77CAC389" w14:textId="4F503A3F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ICP/CE control</w:t>
            </w:r>
          </w:p>
        </w:tc>
        <w:tc>
          <w:tcPr>
            <w:tcW w:w="900" w:type="dxa"/>
            <w:vAlign w:val="center"/>
          </w:tcPr>
          <w:p w14:paraId="38BC5ADA" w14:textId="27050A14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2CF62F3E" w14:textId="2C480DBB" w:rsidR="00FD732D" w:rsidRPr="00CB6AB4" w:rsidRDefault="007A19E4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7B7F3363" w14:textId="198541D2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59E3634F" w14:textId="764E09AB" w:rsidR="00FD732D" w:rsidRPr="00CB6AB4" w:rsidRDefault="001E6915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0390BFF6" w14:textId="70C6F47A" w:rsidR="00FD732D" w:rsidRPr="00CB6AB4" w:rsidRDefault="00FD732D" w:rsidP="00EB4A94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Very low</w:t>
            </w:r>
          </w:p>
        </w:tc>
        <w:tc>
          <w:tcPr>
            <w:tcW w:w="2486" w:type="dxa"/>
            <w:vAlign w:val="center"/>
          </w:tcPr>
          <w:p w14:paraId="6320F856" w14:textId="53036BB0" w:rsidR="00FD732D" w:rsidRPr="006E1336" w:rsidRDefault="00F663B6" w:rsidP="00F663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Elevating the head of bed </w:t>
            </w:r>
            <w:r w:rsidRPr="00F663B6">
              <w:rPr>
                <w:sz w:val="20"/>
                <w:szCs w:val="20"/>
              </w:rPr>
              <w:t>has been used extensi</w:t>
            </w:r>
            <w:r>
              <w:rPr>
                <w:sz w:val="20"/>
                <w:szCs w:val="20"/>
              </w:rPr>
              <w:t>vely in the clinical setting &amp;</w:t>
            </w:r>
            <w:r w:rsidRPr="00F663B6">
              <w:rPr>
                <w:sz w:val="20"/>
                <w:szCs w:val="20"/>
              </w:rPr>
              <w:t xml:space="preserve"> the risk </w:t>
            </w:r>
            <w:r>
              <w:rPr>
                <w:sz w:val="20"/>
                <w:szCs w:val="20"/>
              </w:rPr>
              <w:t>of this intervention is generally very low &amp;</w:t>
            </w:r>
            <w:r w:rsidRPr="00F663B6">
              <w:rPr>
                <w:sz w:val="20"/>
                <w:szCs w:val="20"/>
              </w:rPr>
              <w:t xml:space="preserve"> may be beneficial</w:t>
            </w:r>
          </w:p>
        </w:tc>
      </w:tr>
      <w:tr w:rsidR="00F436A6" w:rsidRPr="006E1336" w14:paraId="708B84FB" w14:textId="77777777" w:rsidTr="00073E7A">
        <w:trPr>
          <w:trHeight w:val="471"/>
        </w:trPr>
        <w:tc>
          <w:tcPr>
            <w:tcW w:w="1615" w:type="dxa"/>
            <w:vAlign w:val="center"/>
          </w:tcPr>
          <w:p w14:paraId="2CCAD035" w14:textId="3B548BC0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Non-pharmacologic therapy</w:t>
            </w:r>
          </w:p>
        </w:tc>
        <w:tc>
          <w:tcPr>
            <w:tcW w:w="1710" w:type="dxa"/>
            <w:vAlign w:val="center"/>
          </w:tcPr>
          <w:p w14:paraId="7BA25552" w14:textId="5B453AB8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Hyperventilation</w:t>
            </w:r>
          </w:p>
        </w:tc>
        <w:tc>
          <w:tcPr>
            <w:tcW w:w="1440" w:type="dxa"/>
            <w:vAlign w:val="center"/>
          </w:tcPr>
          <w:p w14:paraId="1DB0235A" w14:textId="6FA5BD1B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 xml:space="preserve">Standard of care, normal ventilation </w:t>
            </w:r>
          </w:p>
        </w:tc>
        <w:tc>
          <w:tcPr>
            <w:tcW w:w="1260" w:type="dxa"/>
            <w:vAlign w:val="center"/>
          </w:tcPr>
          <w:p w14:paraId="0948F137" w14:textId="0BAD6696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ICP/CE control</w:t>
            </w:r>
          </w:p>
        </w:tc>
        <w:tc>
          <w:tcPr>
            <w:tcW w:w="900" w:type="dxa"/>
            <w:vAlign w:val="center"/>
          </w:tcPr>
          <w:p w14:paraId="4E5A8353" w14:textId="164534B4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016CF7C6" w14:textId="7803974F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4C6A1AA1" w14:textId="3CD09B33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1D8C7912" w14:textId="29DEC3C7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310D59AB" w14:textId="6209715F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Very low</w:t>
            </w:r>
          </w:p>
        </w:tc>
        <w:tc>
          <w:tcPr>
            <w:tcW w:w="2486" w:type="dxa"/>
            <w:vAlign w:val="center"/>
          </w:tcPr>
          <w:p w14:paraId="6835BC73" w14:textId="5F48F7C1" w:rsidR="00D10317" w:rsidRPr="006E1336" w:rsidRDefault="0023024F" w:rsidP="002302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CB6AB4" w:rsidRPr="00CB6AB4">
              <w:rPr>
                <w:sz w:val="20"/>
                <w:szCs w:val="20"/>
              </w:rPr>
              <w:t xml:space="preserve">xtensive amount of practical experience with </w:t>
            </w:r>
            <w:r w:rsidR="00CB6AB4">
              <w:rPr>
                <w:sz w:val="20"/>
                <w:szCs w:val="20"/>
              </w:rPr>
              <w:t>hyperventilation; clinicians</w:t>
            </w:r>
            <w:r w:rsidR="00CB6AB4" w:rsidRPr="00CB6AB4">
              <w:rPr>
                <w:sz w:val="20"/>
                <w:szCs w:val="20"/>
              </w:rPr>
              <w:t xml:space="preserve"> should be mindful of the limitations of acute hyperventilation re</w:t>
            </w:r>
            <w:r w:rsidR="00CB6AB4">
              <w:rPr>
                <w:sz w:val="20"/>
                <w:szCs w:val="20"/>
              </w:rPr>
              <w:t>lated to cerebral blood flow &amp;</w:t>
            </w:r>
            <w:r w:rsidR="00CB6AB4" w:rsidRPr="00CB6AB4">
              <w:rPr>
                <w:sz w:val="20"/>
                <w:szCs w:val="20"/>
              </w:rPr>
              <w:t xml:space="preserve"> the extent of PaCO</w:t>
            </w:r>
            <w:r w:rsidR="00CB6AB4" w:rsidRPr="00CB6AB4">
              <w:rPr>
                <w:sz w:val="20"/>
                <w:szCs w:val="20"/>
                <w:vertAlign w:val="subscript"/>
              </w:rPr>
              <w:t>2</w:t>
            </w:r>
            <w:r w:rsidR="00CB6AB4">
              <w:rPr>
                <w:sz w:val="20"/>
                <w:szCs w:val="20"/>
              </w:rPr>
              <w:t xml:space="preserve"> reduction</w:t>
            </w:r>
          </w:p>
        </w:tc>
      </w:tr>
      <w:tr w:rsidR="00F436A6" w:rsidRPr="006E1336" w14:paraId="551EA47F" w14:textId="77777777" w:rsidTr="00073E7A">
        <w:trPr>
          <w:trHeight w:val="471"/>
        </w:trPr>
        <w:tc>
          <w:tcPr>
            <w:tcW w:w="1615" w:type="dxa"/>
            <w:vAlign w:val="center"/>
          </w:tcPr>
          <w:p w14:paraId="39DC4FE4" w14:textId="3582130D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Non-pharmacologic therapy</w:t>
            </w:r>
          </w:p>
        </w:tc>
        <w:tc>
          <w:tcPr>
            <w:tcW w:w="1710" w:type="dxa"/>
            <w:vAlign w:val="center"/>
          </w:tcPr>
          <w:p w14:paraId="53F19EF1" w14:textId="577CA7FE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Cerebrospinal fluid drainage</w:t>
            </w:r>
          </w:p>
        </w:tc>
        <w:tc>
          <w:tcPr>
            <w:tcW w:w="1440" w:type="dxa"/>
            <w:vAlign w:val="center"/>
          </w:tcPr>
          <w:p w14:paraId="776B5778" w14:textId="1BA98CFD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Standard of care, historical controls</w:t>
            </w:r>
          </w:p>
        </w:tc>
        <w:tc>
          <w:tcPr>
            <w:tcW w:w="1260" w:type="dxa"/>
            <w:vAlign w:val="center"/>
          </w:tcPr>
          <w:p w14:paraId="6C078137" w14:textId="1F4F3FAD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ICP/CE control</w:t>
            </w:r>
          </w:p>
        </w:tc>
        <w:tc>
          <w:tcPr>
            <w:tcW w:w="900" w:type="dxa"/>
            <w:vAlign w:val="center"/>
          </w:tcPr>
          <w:p w14:paraId="76F50719" w14:textId="3E4A947B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350" w:type="dxa"/>
            <w:vAlign w:val="center"/>
          </w:tcPr>
          <w:p w14:paraId="311E4E7B" w14:textId="4E2F1B35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Not serious</w:t>
            </w:r>
          </w:p>
        </w:tc>
        <w:tc>
          <w:tcPr>
            <w:tcW w:w="1260" w:type="dxa"/>
            <w:vAlign w:val="center"/>
          </w:tcPr>
          <w:p w14:paraId="72B59D05" w14:textId="0033A902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3C55CEF0" w14:textId="58E762A7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CB6AB4">
              <w:rPr>
                <w:sz w:val="20"/>
                <w:szCs w:val="20"/>
              </w:rPr>
              <w:t>Serious</w:t>
            </w:r>
          </w:p>
        </w:tc>
        <w:tc>
          <w:tcPr>
            <w:tcW w:w="1170" w:type="dxa"/>
            <w:vAlign w:val="center"/>
          </w:tcPr>
          <w:p w14:paraId="42F0AC6C" w14:textId="3FC091F6" w:rsidR="00D10317" w:rsidRPr="00CB6AB4" w:rsidRDefault="00D10317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>Very low</w:t>
            </w:r>
          </w:p>
        </w:tc>
        <w:tc>
          <w:tcPr>
            <w:tcW w:w="2486" w:type="dxa"/>
            <w:vAlign w:val="center"/>
          </w:tcPr>
          <w:p w14:paraId="26137FE8" w14:textId="4A4007B8" w:rsidR="00D10317" w:rsidRPr="006E1336" w:rsidRDefault="00CB6AB4" w:rsidP="00D10317">
            <w:pPr>
              <w:jc w:val="center"/>
              <w:rPr>
                <w:sz w:val="20"/>
                <w:szCs w:val="20"/>
              </w:rPr>
            </w:pPr>
            <w:r w:rsidRPr="00CB6AB4">
              <w:rPr>
                <w:sz w:val="20"/>
                <w:szCs w:val="20"/>
              </w:rPr>
              <w:t xml:space="preserve">Clinicians should assess the risks </w:t>
            </w:r>
            <w:r w:rsidR="0023024F">
              <w:rPr>
                <w:sz w:val="20"/>
                <w:szCs w:val="20"/>
              </w:rPr>
              <w:t>&amp;</w:t>
            </w:r>
            <w:r w:rsidRPr="00CB6AB4">
              <w:rPr>
                <w:sz w:val="20"/>
                <w:szCs w:val="20"/>
              </w:rPr>
              <w:t xml:space="preserve"> benefits of CSF diversion using patient-specific factors</w:t>
            </w:r>
          </w:p>
        </w:tc>
      </w:tr>
    </w:tbl>
    <w:p w14:paraId="2C716FDD" w14:textId="77777777" w:rsidR="004937EF" w:rsidRDefault="00FD732D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A</w:t>
      </w:r>
      <w:r>
        <w:rPr>
          <w:sz w:val="20"/>
          <w:szCs w:val="20"/>
        </w:rPr>
        <w:t xml:space="preserve">No reasons for upgrade were identified for any studied evaluated; </w:t>
      </w:r>
      <w:r>
        <w:rPr>
          <w:sz w:val="20"/>
          <w:szCs w:val="20"/>
          <w:vertAlign w:val="superscript"/>
        </w:rPr>
        <w:t xml:space="preserve"> </w:t>
      </w:r>
    </w:p>
    <w:p w14:paraId="0A2D2032" w14:textId="77777777" w:rsidR="00567E70" w:rsidRDefault="00567E70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lastRenderedPageBreak/>
        <w:t>B</w:t>
      </w:r>
      <w:r w:rsidR="00073E7A">
        <w:rPr>
          <w:sz w:val="20"/>
          <w:szCs w:val="20"/>
        </w:rPr>
        <w:t xml:space="preserve"> </w:t>
      </w:r>
      <w:r w:rsidR="00D80F4B">
        <w:rPr>
          <w:sz w:val="20"/>
          <w:szCs w:val="20"/>
        </w:rPr>
        <w:t xml:space="preserve">Symptom-based, bolus dosing of the following: </w:t>
      </w:r>
      <w:r w:rsidR="00AA1984">
        <w:rPr>
          <w:sz w:val="20"/>
          <w:szCs w:val="20"/>
        </w:rPr>
        <w:t xml:space="preserve">1.6% NaCl, </w:t>
      </w:r>
      <w:r>
        <w:rPr>
          <w:sz w:val="20"/>
          <w:szCs w:val="20"/>
        </w:rPr>
        <w:t xml:space="preserve">3% NaCl, </w:t>
      </w:r>
      <w:r w:rsidR="00AA1984">
        <w:rPr>
          <w:sz w:val="20"/>
          <w:szCs w:val="20"/>
        </w:rPr>
        <w:t xml:space="preserve">7.2% NaCl, </w:t>
      </w:r>
      <w:r>
        <w:rPr>
          <w:sz w:val="20"/>
          <w:szCs w:val="20"/>
        </w:rPr>
        <w:t xml:space="preserve">7.45% NaCl, </w:t>
      </w:r>
      <w:r w:rsidR="00AA1984">
        <w:rPr>
          <w:sz w:val="20"/>
          <w:szCs w:val="20"/>
        </w:rPr>
        <w:t xml:space="preserve">7.5% NaCl, </w:t>
      </w:r>
      <w:r>
        <w:rPr>
          <w:sz w:val="20"/>
          <w:szCs w:val="20"/>
        </w:rPr>
        <w:t xml:space="preserve">10% NaCl, 15% NaCl, </w:t>
      </w:r>
      <w:r w:rsidR="00AA1984">
        <w:rPr>
          <w:sz w:val="20"/>
          <w:szCs w:val="20"/>
        </w:rPr>
        <w:t>20% NaCl, 23.4% NaCl, Na Lactate, 8.4% NaHCO</w:t>
      </w:r>
      <w:r w:rsidR="00AA1984" w:rsidRPr="00AA1984">
        <w:rPr>
          <w:sz w:val="20"/>
          <w:szCs w:val="20"/>
          <w:vertAlign w:val="subscript"/>
        </w:rPr>
        <w:t>3</w:t>
      </w:r>
      <w:r w:rsidR="00AA1984">
        <w:rPr>
          <w:sz w:val="20"/>
          <w:szCs w:val="20"/>
        </w:rPr>
        <w:t xml:space="preserve">, 7.5% NaCl / 6% HES, </w:t>
      </w:r>
      <w:r w:rsidR="00073E7A">
        <w:rPr>
          <w:sz w:val="20"/>
          <w:szCs w:val="20"/>
        </w:rPr>
        <w:t xml:space="preserve">7.5% NaCl / 6% Dextran-70, </w:t>
      </w:r>
      <w:r w:rsidR="00AA1984">
        <w:rPr>
          <w:sz w:val="20"/>
          <w:szCs w:val="20"/>
        </w:rPr>
        <w:t>Mannitol 15 &amp; 20%</w:t>
      </w:r>
      <w:r w:rsidR="00073E7A">
        <w:rPr>
          <w:sz w:val="20"/>
          <w:szCs w:val="20"/>
        </w:rPr>
        <w:t xml:space="preserve">; </w:t>
      </w:r>
      <w:r w:rsidR="00AA1984">
        <w:rPr>
          <w:sz w:val="20"/>
          <w:szCs w:val="20"/>
        </w:rPr>
        <w:t xml:space="preserve">Continuous infusions of the following: 7.2% NaCl / HES 200/0.5 without a sodium target, 2-3% NaCl / Acetate </w:t>
      </w:r>
      <w:r>
        <w:rPr>
          <w:sz w:val="20"/>
          <w:szCs w:val="20"/>
        </w:rPr>
        <w:t>with target</w:t>
      </w:r>
      <w:r w:rsidR="00AA1984">
        <w:rPr>
          <w:sz w:val="20"/>
          <w:szCs w:val="20"/>
        </w:rPr>
        <w:t xml:space="preserve"> sodium 1</w:t>
      </w:r>
      <w:r>
        <w:rPr>
          <w:sz w:val="20"/>
          <w:szCs w:val="20"/>
        </w:rPr>
        <w:t>45-155 mEq/L; 20% NaCl with target</w:t>
      </w:r>
      <w:r w:rsidR="00AA1984">
        <w:rPr>
          <w:sz w:val="20"/>
          <w:szCs w:val="20"/>
        </w:rPr>
        <w:t xml:space="preserve"> sodium determined by treating physician, 3% NaCl without a sodium target, 3% NaCl with </w:t>
      </w:r>
      <w:r>
        <w:rPr>
          <w:sz w:val="20"/>
          <w:szCs w:val="20"/>
        </w:rPr>
        <w:t>target</w:t>
      </w:r>
      <w:r w:rsidR="00AA1984">
        <w:rPr>
          <w:sz w:val="20"/>
          <w:szCs w:val="20"/>
        </w:rPr>
        <w:t xml:space="preserve"> sodium 145-155 mEq/L</w:t>
      </w:r>
      <w:r w:rsidR="00073E7A">
        <w:rPr>
          <w:sz w:val="20"/>
          <w:szCs w:val="20"/>
        </w:rPr>
        <w:t xml:space="preserve">; </w:t>
      </w:r>
    </w:p>
    <w:p w14:paraId="1E0CD338" w14:textId="77777777" w:rsidR="00630F4B" w:rsidRDefault="00567E70" w:rsidP="00630F4B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C</w:t>
      </w:r>
      <w:r w:rsidR="00073E7A" w:rsidRPr="00073E7A">
        <w:rPr>
          <w:sz w:val="20"/>
          <w:szCs w:val="20"/>
        </w:rPr>
        <w:t xml:space="preserve"> </w:t>
      </w:r>
      <w:r w:rsidR="00073E7A">
        <w:rPr>
          <w:sz w:val="20"/>
          <w:szCs w:val="20"/>
        </w:rPr>
        <w:t xml:space="preserve">Symptom-based, bolus dosing of the following: </w:t>
      </w:r>
      <w:r>
        <w:rPr>
          <w:sz w:val="20"/>
          <w:szCs w:val="20"/>
        </w:rPr>
        <w:t>3% NaCl,</w:t>
      </w:r>
      <w:r w:rsidRPr="00073E7A">
        <w:rPr>
          <w:sz w:val="20"/>
          <w:szCs w:val="20"/>
        </w:rPr>
        <w:t xml:space="preserve"> </w:t>
      </w:r>
      <w:r w:rsidR="00073E7A">
        <w:rPr>
          <w:sz w:val="20"/>
          <w:szCs w:val="20"/>
        </w:rPr>
        <w:t xml:space="preserve">5% NaCl, </w:t>
      </w:r>
      <w:r>
        <w:rPr>
          <w:sz w:val="20"/>
          <w:szCs w:val="20"/>
        </w:rPr>
        <w:t xml:space="preserve">7.5% NaCl, 23.4% NaCl, </w:t>
      </w:r>
      <w:r w:rsidR="00073E7A">
        <w:rPr>
          <w:sz w:val="20"/>
          <w:szCs w:val="20"/>
        </w:rPr>
        <w:t>mannitol 20%; s</w:t>
      </w:r>
      <w:r w:rsidR="00D80F4B">
        <w:rPr>
          <w:sz w:val="20"/>
          <w:szCs w:val="20"/>
        </w:rPr>
        <w:t xml:space="preserve">cheduled mannitol 20% every 2 hr; </w:t>
      </w:r>
      <w:r>
        <w:rPr>
          <w:sz w:val="20"/>
          <w:szCs w:val="20"/>
        </w:rPr>
        <w:t xml:space="preserve">bolus dosing of </w:t>
      </w:r>
      <w:r w:rsidR="00073E7A">
        <w:rPr>
          <w:sz w:val="20"/>
          <w:szCs w:val="20"/>
        </w:rPr>
        <w:t>lactated ringers</w:t>
      </w:r>
      <w:r w:rsidR="00AA1984">
        <w:rPr>
          <w:sz w:val="20"/>
          <w:szCs w:val="20"/>
        </w:rPr>
        <w:t xml:space="preserve"> with 0.45% NaCl continuous infusion; ma</w:t>
      </w:r>
      <w:r w:rsidR="00073E7A">
        <w:rPr>
          <w:sz w:val="20"/>
          <w:szCs w:val="20"/>
        </w:rPr>
        <w:t>nnitol 15% continuous infusion</w:t>
      </w:r>
      <w:r w:rsidR="00630F4B">
        <w:rPr>
          <w:sz w:val="20"/>
          <w:szCs w:val="20"/>
        </w:rPr>
        <w:t xml:space="preserve">; </w:t>
      </w:r>
    </w:p>
    <w:p w14:paraId="27D8D776" w14:textId="4C240CD3" w:rsidR="00630F4B" w:rsidRDefault="00630F4B" w:rsidP="00630F4B">
      <w:pPr>
        <w:rPr>
          <w:sz w:val="20"/>
          <w:szCs w:val="20"/>
        </w:rPr>
      </w:pPr>
      <w:r w:rsidRPr="00630F4B">
        <w:rPr>
          <w:sz w:val="20"/>
          <w:szCs w:val="20"/>
          <w:vertAlign w:val="superscript"/>
        </w:rPr>
        <w:t>D</w:t>
      </w:r>
      <w:r w:rsidR="00D80F4B" w:rsidRPr="00630F4B">
        <w:rPr>
          <w:sz w:val="20"/>
          <w:szCs w:val="20"/>
          <w:vertAlign w:val="superscript"/>
        </w:rPr>
        <w:t xml:space="preserve"> </w:t>
      </w:r>
      <w:r w:rsidR="005416CD">
        <w:rPr>
          <w:sz w:val="20"/>
          <w:szCs w:val="20"/>
        </w:rPr>
        <w:t xml:space="preserve">Symptom-based, bolus dosing of the following: </w:t>
      </w:r>
      <w:r>
        <w:rPr>
          <w:sz w:val="20"/>
          <w:szCs w:val="20"/>
        </w:rPr>
        <w:t>1.6% NaCl,</w:t>
      </w:r>
      <w:r w:rsidRPr="00630F4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3% NaCl, 7.2% NaCl, </w:t>
      </w:r>
      <w:r w:rsidR="009F5BD6">
        <w:rPr>
          <w:sz w:val="20"/>
          <w:szCs w:val="20"/>
        </w:rPr>
        <w:t>7.5% NaCl, 23.4% NaCl; Na lactate; 8.4% NaHCO</w:t>
      </w:r>
      <w:r w:rsidR="009F5BD6" w:rsidRPr="00AA1984">
        <w:rPr>
          <w:sz w:val="20"/>
          <w:szCs w:val="20"/>
          <w:vertAlign w:val="subscript"/>
        </w:rPr>
        <w:t>3</w:t>
      </w:r>
      <w:r w:rsidR="009F5BD6" w:rsidRPr="009F5BD6">
        <w:rPr>
          <w:sz w:val="20"/>
          <w:szCs w:val="20"/>
        </w:rPr>
        <w:t xml:space="preserve">; </w:t>
      </w:r>
      <w:r>
        <w:rPr>
          <w:sz w:val="20"/>
          <w:szCs w:val="20"/>
        </w:rPr>
        <w:t>7.5% NaCl / 6% HES, mannitol 20%; C</w:t>
      </w:r>
      <w:r w:rsidR="005416CD">
        <w:rPr>
          <w:sz w:val="20"/>
          <w:szCs w:val="20"/>
        </w:rPr>
        <w:t>ontinuous infusions of the following:</w:t>
      </w:r>
      <w:r w:rsidR="009F5BD6" w:rsidRPr="009F5BD6">
        <w:rPr>
          <w:sz w:val="20"/>
          <w:szCs w:val="20"/>
        </w:rPr>
        <w:t xml:space="preserve"> </w:t>
      </w:r>
      <w:r>
        <w:rPr>
          <w:sz w:val="20"/>
          <w:szCs w:val="20"/>
        </w:rPr>
        <w:t>2-3% NaCl / Acetate</w:t>
      </w:r>
      <w:r w:rsidR="009F5BD6">
        <w:rPr>
          <w:sz w:val="20"/>
          <w:szCs w:val="20"/>
        </w:rPr>
        <w:t xml:space="preserve"> with </w:t>
      </w:r>
      <w:r>
        <w:rPr>
          <w:sz w:val="20"/>
          <w:szCs w:val="20"/>
        </w:rPr>
        <w:t xml:space="preserve">target </w:t>
      </w:r>
      <w:r w:rsidR="009F5BD6">
        <w:rPr>
          <w:sz w:val="20"/>
          <w:szCs w:val="20"/>
        </w:rPr>
        <w:t xml:space="preserve">sodium 145-155 mEq/L; 7.2% NaCl / HES 200/0.5 without a sodium target; 20% NaCl with </w:t>
      </w:r>
      <w:r>
        <w:rPr>
          <w:sz w:val="20"/>
          <w:szCs w:val="20"/>
        </w:rPr>
        <w:t xml:space="preserve">target </w:t>
      </w:r>
      <w:r w:rsidR="009F5BD6">
        <w:rPr>
          <w:sz w:val="20"/>
          <w:szCs w:val="20"/>
        </w:rPr>
        <w:t>sodium determined by treating physician; 3</w:t>
      </w:r>
      <w:r>
        <w:rPr>
          <w:sz w:val="20"/>
          <w:szCs w:val="20"/>
        </w:rPr>
        <w:t>% NaCl without a sodium target; Prehospital bolus dosing of the following: 7.5% NaCl, 7.5% NaCl/ 6% Dextran-70, mannitol 20%</w:t>
      </w:r>
    </w:p>
    <w:p w14:paraId="449EF03C" w14:textId="6F7043ED" w:rsidR="00D80F4B" w:rsidRDefault="00630F4B">
      <w:pPr>
        <w:rPr>
          <w:sz w:val="20"/>
          <w:szCs w:val="20"/>
        </w:rPr>
      </w:pPr>
      <w:r w:rsidRPr="0059768C">
        <w:rPr>
          <w:sz w:val="20"/>
          <w:szCs w:val="20"/>
          <w:vertAlign w:val="superscript"/>
        </w:rPr>
        <w:t>E</w:t>
      </w:r>
      <w:r w:rsidR="0059768C" w:rsidRPr="0059768C">
        <w:rPr>
          <w:sz w:val="20"/>
          <w:szCs w:val="20"/>
        </w:rPr>
        <w:t xml:space="preserve"> </w:t>
      </w:r>
      <w:r w:rsidR="0059768C">
        <w:rPr>
          <w:sz w:val="20"/>
          <w:szCs w:val="20"/>
        </w:rPr>
        <w:t>Symptom-based, bolus dosing of mannitol 20%; Continuous infusion of mannitol 15%; scheduled mannitol 20% every 2 hr; 0.9% NaCl continuous infusion;</w:t>
      </w:r>
      <w:r w:rsidR="0059768C" w:rsidRPr="0059768C">
        <w:rPr>
          <w:sz w:val="20"/>
          <w:szCs w:val="20"/>
        </w:rPr>
        <w:t xml:space="preserve"> </w:t>
      </w:r>
      <w:r w:rsidR="0059768C">
        <w:rPr>
          <w:sz w:val="20"/>
          <w:szCs w:val="20"/>
        </w:rPr>
        <w:t xml:space="preserve">lactated ringers bolus dosing with 0.45% NaCl continuous infusion, </w:t>
      </w:r>
      <w:r w:rsidR="00D80F4B">
        <w:rPr>
          <w:sz w:val="20"/>
          <w:szCs w:val="20"/>
        </w:rPr>
        <w:t>Prehospital bolus dosing of 0.9% NaCl</w:t>
      </w:r>
      <w:r w:rsidR="0059768C">
        <w:rPr>
          <w:sz w:val="20"/>
          <w:szCs w:val="20"/>
        </w:rPr>
        <w:t xml:space="preserve"> &amp;</w:t>
      </w:r>
      <w:r w:rsidR="009F5BD6">
        <w:rPr>
          <w:sz w:val="20"/>
          <w:szCs w:val="20"/>
        </w:rPr>
        <w:t xml:space="preserve"> lactated ringers</w:t>
      </w:r>
      <w:r w:rsidR="00B7436D">
        <w:rPr>
          <w:sz w:val="20"/>
          <w:szCs w:val="20"/>
        </w:rPr>
        <w:t>;</w:t>
      </w:r>
    </w:p>
    <w:p w14:paraId="7255249B" w14:textId="77777777" w:rsidR="00A72A3E" w:rsidRDefault="0059768C" w:rsidP="001744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F</w:t>
      </w:r>
      <w:r w:rsidR="00B3056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Symptom-based, dosing of the following: 14.1% NaCl, 23.4% NaCl, </w:t>
      </w:r>
      <w:r w:rsidRPr="00B3056F">
        <w:rPr>
          <w:sz w:val="20"/>
          <w:szCs w:val="20"/>
        </w:rPr>
        <w:t xml:space="preserve">10% NaCl </w:t>
      </w:r>
      <w:r>
        <w:rPr>
          <w:sz w:val="20"/>
          <w:szCs w:val="20"/>
        </w:rPr>
        <w:t xml:space="preserve">as rescue therapy in patients unresponsive to mannitol, </w:t>
      </w:r>
      <w:r w:rsidRPr="00B3056F">
        <w:rPr>
          <w:sz w:val="20"/>
          <w:szCs w:val="20"/>
        </w:rPr>
        <w:t>7.5%</w:t>
      </w:r>
      <w:r>
        <w:rPr>
          <w:sz w:val="20"/>
          <w:szCs w:val="20"/>
        </w:rPr>
        <w:t xml:space="preserve"> NaCl / 6% HES; Continuous infusion of the following: </w:t>
      </w:r>
      <w:r w:rsidR="00B3056F" w:rsidRPr="00B3056F">
        <w:rPr>
          <w:sz w:val="20"/>
          <w:szCs w:val="20"/>
        </w:rPr>
        <w:t>3% NaCl/</w:t>
      </w:r>
      <w:r w:rsidR="00B3056F">
        <w:rPr>
          <w:sz w:val="20"/>
          <w:szCs w:val="20"/>
        </w:rPr>
        <w:t xml:space="preserve">Acetate or 3% NaCl </w:t>
      </w:r>
      <w:r>
        <w:rPr>
          <w:sz w:val="20"/>
          <w:szCs w:val="20"/>
        </w:rPr>
        <w:t>to target</w:t>
      </w:r>
      <w:r w:rsidR="00B3056F" w:rsidRPr="00B3056F">
        <w:rPr>
          <w:sz w:val="20"/>
          <w:szCs w:val="20"/>
        </w:rPr>
        <w:t xml:space="preserve"> sodium</w:t>
      </w:r>
      <w:r w:rsidR="00B3056F">
        <w:rPr>
          <w:sz w:val="20"/>
          <w:szCs w:val="20"/>
        </w:rPr>
        <w:t xml:space="preserve"> of 145-155 mEq/L; 7.2% NaCl/HES </w:t>
      </w:r>
      <w:r>
        <w:rPr>
          <w:sz w:val="20"/>
          <w:szCs w:val="20"/>
        </w:rPr>
        <w:t>without a sodium target</w:t>
      </w:r>
      <w:r w:rsidR="00B81CEE">
        <w:rPr>
          <w:sz w:val="20"/>
          <w:szCs w:val="20"/>
        </w:rPr>
        <w:t xml:space="preserve">; </w:t>
      </w:r>
    </w:p>
    <w:p w14:paraId="27B3A5CC" w14:textId="15D08243" w:rsidR="004937EF" w:rsidRDefault="0059768C" w:rsidP="001744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G</w:t>
      </w:r>
      <w:r w:rsidR="00B3056F">
        <w:rPr>
          <w:sz w:val="20"/>
          <w:szCs w:val="20"/>
        </w:rPr>
        <w:t xml:space="preserve"> Symptom-based</w:t>
      </w:r>
      <w:r w:rsidR="00A72A3E">
        <w:rPr>
          <w:sz w:val="20"/>
          <w:szCs w:val="20"/>
        </w:rPr>
        <w:t>, bolus</w:t>
      </w:r>
      <w:r w:rsidR="00B3056F">
        <w:rPr>
          <w:sz w:val="20"/>
          <w:szCs w:val="20"/>
        </w:rPr>
        <w:t xml:space="preserve"> dosing of mann</w:t>
      </w:r>
      <w:r w:rsidR="00B81CEE">
        <w:rPr>
          <w:sz w:val="20"/>
          <w:szCs w:val="20"/>
        </w:rPr>
        <w:t>itol 20%; Continuous infusion of mannitol 15%</w:t>
      </w:r>
    </w:p>
    <w:p w14:paraId="52F330BE" w14:textId="4782845B" w:rsidR="004937EF" w:rsidRDefault="00A72A3E" w:rsidP="001744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H</w:t>
      </w:r>
      <w:r w:rsidR="00B3056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Symptom-based, bolus dosing of the following:  5.1-7.6% NaCl, 23.4% NaCl; Continuous infusion of the following: </w:t>
      </w:r>
      <w:r w:rsidRPr="001744AF">
        <w:rPr>
          <w:sz w:val="20"/>
          <w:szCs w:val="20"/>
        </w:rPr>
        <w:t>7.2% NaCl/HES continuous i</w:t>
      </w:r>
      <w:r>
        <w:rPr>
          <w:sz w:val="20"/>
          <w:szCs w:val="20"/>
        </w:rPr>
        <w:t xml:space="preserve">nfusion without a sodium target, </w:t>
      </w:r>
      <w:r w:rsidR="00B3056F">
        <w:rPr>
          <w:sz w:val="20"/>
          <w:szCs w:val="20"/>
        </w:rPr>
        <w:t xml:space="preserve">3% NaCl continuous infusion to </w:t>
      </w:r>
      <w:r>
        <w:rPr>
          <w:sz w:val="20"/>
          <w:szCs w:val="20"/>
        </w:rPr>
        <w:t>a goal sodium of 145-155 mEq/L</w:t>
      </w:r>
    </w:p>
    <w:p w14:paraId="186C9690" w14:textId="77F44C85" w:rsidR="004937EF" w:rsidRDefault="00A72A3E" w:rsidP="001744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I</w:t>
      </w:r>
      <w:r w:rsidR="001744AF">
        <w:rPr>
          <w:sz w:val="20"/>
          <w:szCs w:val="20"/>
        </w:rPr>
        <w:t xml:space="preserve"> Symptom-based dosing of mannitol 18% or sche</w:t>
      </w:r>
      <w:r w:rsidR="00E71083">
        <w:rPr>
          <w:sz w:val="20"/>
          <w:szCs w:val="20"/>
        </w:rPr>
        <w:t>duled bolus dosing every 6 hr</w:t>
      </w:r>
      <w:r w:rsidR="001744AF">
        <w:rPr>
          <w:sz w:val="20"/>
          <w:szCs w:val="20"/>
        </w:rPr>
        <w:t xml:space="preserve"> of mannitol 20%</w:t>
      </w:r>
      <w:r w:rsidR="00D80F4B">
        <w:rPr>
          <w:sz w:val="20"/>
          <w:szCs w:val="20"/>
        </w:rPr>
        <w:t xml:space="preserve">; </w:t>
      </w:r>
    </w:p>
    <w:p w14:paraId="5EF4590D" w14:textId="5959DFD4" w:rsidR="00461DEB" w:rsidRDefault="00461DEB" w:rsidP="001744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J</w:t>
      </w:r>
      <w:r w:rsidR="00FE4471" w:rsidRPr="00532B6B">
        <w:rPr>
          <w:sz w:val="20"/>
          <w:szCs w:val="20"/>
        </w:rPr>
        <w:t xml:space="preserve"> A small number of studies evaluated hydrocortisone, prednisone, or prednisolone </w:t>
      </w:r>
      <w:r w:rsidR="0023024F">
        <w:rPr>
          <w:sz w:val="20"/>
          <w:szCs w:val="20"/>
        </w:rPr>
        <w:t>&amp;</w:t>
      </w:r>
      <w:r w:rsidR="00FE4471" w:rsidRPr="00532B6B">
        <w:rPr>
          <w:sz w:val="20"/>
          <w:szCs w:val="20"/>
        </w:rPr>
        <w:t xml:space="preserve"> demonstrated no improvements in the outcomes of interest</w:t>
      </w:r>
      <w:r>
        <w:rPr>
          <w:sz w:val="20"/>
          <w:szCs w:val="20"/>
        </w:rPr>
        <w:t>;</w:t>
      </w:r>
    </w:p>
    <w:p w14:paraId="4E70B055" w14:textId="3C843118" w:rsidR="004937EF" w:rsidRDefault="00461DEB" w:rsidP="001744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K</w:t>
      </w:r>
      <w:r w:rsidR="00CE0E90">
        <w:rPr>
          <w:sz w:val="20"/>
          <w:szCs w:val="20"/>
        </w:rPr>
        <w:t xml:space="preserve"> </w:t>
      </w:r>
      <w:r>
        <w:rPr>
          <w:sz w:val="20"/>
          <w:szCs w:val="20"/>
        </w:rPr>
        <w:t>Corticosteroids studied included the following: d</w:t>
      </w:r>
      <w:r w:rsidR="00CE0E90">
        <w:rPr>
          <w:sz w:val="20"/>
          <w:szCs w:val="20"/>
        </w:rPr>
        <w:t>examethasone, hydrocortisone, prednisone, or methylprednisolone</w:t>
      </w:r>
      <w:r w:rsidR="00D80F4B">
        <w:rPr>
          <w:sz w:val="20"/>
          <w:szCs w:val="20"/>
        </w:rPr>
        <w:t>;</w:t>
      </w:r>
    </w:p>
    <w:p w14:paraId="3DC2078A" w14:textId="5D3BF074" w:rsidR="00461DEB" w:rsidRDefault="00461DEB" w:rsidP="001744AF">
      <w:pPr>
        <w:rPr>
          <w:sz w:val="20"/>
          <w:szCs w:val="20"/>
        </w:rPr>
      </w:pPr>
      <w:r w:rsidRPr="00461DEB">
        <w:rPr>
          <w:sz w:val="20"/>
          <w:szCs w:val="20"/>
          <w:vertAlign w:val="superscript"/>
        </w:rPr>
        <w:t>L</w:t>
      </w:r>
      <w:r>
        <w:rPr>
          <w:sz w:val="20"/>
          <w:szCs w:val="20"/>
        </w:rPr>
        <w:t xml:space="preserve"> Formation of HTS and mannitol not listed; </w:t>
      </w:r>
    </w:p>
    <w:p w14:paraId="5758DB91" w14:textId="5F848C32" w:rsidR="004937EF" w:rsidRDefault="00D80F4B" w:rsidP="001744AF">
      <w:pPr>
        <w:rPr>
          <w:sz w:val="20"/>
          <w:szCs w:val="20"/>
        </w:rPr>
      </w:pPr>
      <w:r w:rsidRPr="00D80F4B">
        <w:rPr>
          <w:sz w:val="20"/>
          <w:szCs w:val="20"/>
          <w:vertAlign w:val="superscript"/>
        </w:rPr>
        <w:t>M</w:t>
      </w:r>
      <w:r w:rsidR="00DA3CAA">
        <w:rPr>
          <w:sz w:val="20"/>
          <w:szCs w:val="20"/>
        </w:rPr>
        <w:t xml:space="preserve"> </w:t>
      </w:r>
      <w:r w:rsidR="00461DEB">
        <w:rPr>
          <w:sz w:val="20"/>
          <w:szCs w:val="20"/>
        </w:rPr>
        <w:t>Symptom-based, bolus dosing of the following: 23.5% NaCl, mannitol 20%; Continuous infusion of the following: 30% NaCl infusion with a target sodium 145-155 mEq/L, mannitol 20%;</w:t>
      </w:r>
    </w:p>
    <w:p w14:paraId="0B0FAA0B" w14:textId="50DF1BAC" w:rsidR="000B0BB2" w:rsidRDefault="00D80F4B" w:rsidP="001744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N</w:t>
      </w:r>
      <w:r w:rsidR="000B0BB2">
        <w:rPr>
          <w:sz w:val="20"/>
          <w:szCs w:val="20"/>
        </w:rPr>
        <w:t xml:space="preserve"> Symptom-based</w:t>
      </w:r>
      <w:r w:rsidR="00461DEB">
        <w:rPr>
          <w:sz w:val="20"/>
          <w:szCs w:val="20"/>
        </w:rPr>
        <w:t>, bolus</w:t>
      </w:r>
      <w:r w:rsidR="000B0BB2">
        <w:rPr>
          <w:sz w:val="20"/>
          <w:szCs w:val="20"/>
        </w:rPr>
        <w:t xml:space="preserve"> dosing of the following: </w:t>
      </w:r>
      <w:r w:rsidR="007A19E4">
        <w:rPr>
          <w:sz w:val="20"/>
          <w:szCs w:val="20"/>
        </w:rPr>
        <w:t xml:space="preserve">3% NaCl, 3% NaCl / Acetate, </w:t>
      </w:r>
      <w:r w:rsidR="000B0BB2">
        <w:rPr>
          <w:sz w:val="20"/>
          <w:szCs w:val="20"/>
        </w:rPr>
        <w:t>7.2% NaCl,</w:t>
      </w:r>
      <w:r w:rsidR="00461DEB">
        <w:rPr>
          <w:sz w:val="20"/>
          <w:szCs w:val="20"/>
        </w:rPr>
        <w:t xml:space="preserve"> </w:t>
      </w:r>
      <w:r w:rsidR="000B0BB2">
        <w:rPr>
          <w:sz w:val="20"/>
          <w:szCs w:val="20"/>
        </w:rPr>
        <w:t>7.5% NaCl, 23.4% NaCl</w:t>
      </w:r>
      <w:r w:rsidR="007A19E4">
        <w:rPr>
          <w:sz w:val="20"/>
          <w:szCs w:val="20"/>
        </w:rPr>
        <w:t xml:space="preserve">; </w:t>
      </w:r>
      <w:r w:rsidR="000B0BB2">
        <w:rPr>
          <w:sz w:val="20"/>
          <w:szCs w:val="20"/>
        </w:rPr>
        <w:t>Continuous infusion of the following without</w:t>
      </w:r>
      <w:r w:rsidR="007A19E4">
        <w:rPr>
          <w:sz w:val="20"/>
          <w:szCs w:val="20"/>
        </w:rPr>
        <w:t xml:space="preserve"> </w:t>
      </w:r>
      <w:r w:rsidR="000B0BB2">
        <w:rPr>
          <w:sz w:val="20"/>
          <w:szCs w:val="20"/>
        </w:rPr>
        <w:t>a goal sodium: 3% NaCl / Acetate</w:t>
      </w:r>
      <w:r w:rsidR="007A19E4">
        <w:rPr>
          <w:sz w:val="20"/>
          <w:szCs w:val="20"/>
        </w:rPr>
        <w:t xml:space="preserve">, 2-3% NaCl; </w:t>
      </w:r>
      <w:r w:rsidR="000B0BB2">
        <w:rPr>
          <w:sz w:val="20"/>
          <w:szCs w:val="20"/>
        </w:rPr>
        <w:t>Continuous infusion of the following with a goal sodium of 145-155 mEq/L: 2-3% NaCl / Acetate</w:t>
      </w:r>
      <w:r w:rsidR="007A19E4">
        <w:rPr>
          <w:sz w:val="20"/>
          <w:szCs w:val="20"/>
        </w:rPr>
        <w:t xml:space="preserve">, 3% NaCl; </w:t>
      </w:r>
      <w:r w:rsidR="000B0BB2">
        <w:rPr>
          <w:sz w:val="20"/>
          <w:szCs w:val="20"/>
        </w:rPr>
        <w:t>Bolus dosing of 23.5% NaCl with a goal sodium of 145-155 mEq/L;</w:t>
      </w:r>
    </w:p>
    <w:p w14:paraId="3EC14CCB" w14:textId="27EAFBBA" w:rsidR="009263E6" w:rsidRPr="00B3056F" w:rsidRDefault="005043DC">
      <w:pPr>
        <w:rPr>
          <w:sz w:val="20"/>
          <w:szCs w:val="20"/>
        </w:rPr>
      </w:pPr>
      <w:r w:rsidRPr="005043DC">
        <w:rPr>
          <w:sz w:val="20"/>
          <w:szCs w:val="20"/>
          <w:vertAlign w:val="superscript"/>
        </w:rPr>
        <w:t>O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Symptom-based, bolus dosing of 3% NaCl, 7.5% NaCl, mannitol 20%;  0.9% NaCl bolus or infusion</w:t>
      </w:r>
      <w:r w:rsidR="002F586A">
        <w:br/>
      </w:r>
    </w:p>
    <w:p w14:paraId="3878C83F" w14:textId="4CC92A93" w:rsidR="0091028C" w:rsidRDefault="0091028C" w:rsidP="0091028C"/>
    <w:sectPr w:rsidR="0091028C" w:rsidSect="00D43EB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6D5125" w16cid:durableId="20D7556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902B8"/>
    <w:multiLevelType w:val="hybridMultilevel"/>
    <w:tmpl w:val="F3EC5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5F7"/>
    <w:rsid w:val="00072B38"/>
    <w:rsid w:val="00073E7A"/>
    <w:rsid w:val="000B0BB2"/>
    <w:rsid w:val="000D1CC0"/>
    <w:rsid w:val="00130D61"/>
    <w:rsid w:val="00154D5D"/>
    <w:rsid w:val="001744AF"/>
    <w:rsid w:val="00194B7E"/>
    <w:rsid w:val="001C10BB"/>
    <w:rsid w:val="001E6915"/>
    <w:rsid w:val="00213CAB"/>
    <w:rsid w:val="0023024F"/>
    <w:rsid w:val="00280BBA"/>
    <w:rsid w:val="002F586A"/>
    <w:rsid w:val="00361803"/>
    <w:rsid w:val="00372DD7"/>
    <w:rsid w:val="003B310C"/>
    <w:rsid w:val="00401D90"/>
    <w:rsid w:val="004079EA"/>
    <w:rsid w:val="00457B34"/>
    <w:rsid w:val="00461DEB"/>
    <w:rsid w:val="00484F6C"/>
    <w:rsid w:val="004937EF"/>
    <w:rsid w:val="004C2B23"/>
    <w:rsid w:val="004F0EC3"/>
    <w:rsid w:val="005043DC"/>
    <w:rsid w:val="00532B6B"/>
    <w:rsid w:val="005416CD"/>
    <w:rsid w:val="00567E70"/>
    <w:rsid w:val="0059768C"/>
    <w:rsid w:val="005B6D26"/>
    <w:rsid w:val="005B7166"/>
    <w:rsid w:val="005E3822"/>
    <w:rsid w:val="006213D6"/>
    <w:rsid w:val="00625799"/>
    <w:rsid w:val="00630F4B"/>
    <w:rsid w:val="006E1336"/>
    <w:rsid w:val="007A19E4"/>
    <w:rsid w:val="007D1FC8"/>
    <w:rsid w:val="00805B49"/>
    <w:rsid w:val="0082704C"/>
    <w:rsid w:val="008E5CA0"/>
    <w:rsid w:val="0091028C"/>
    <w:rsid w:val="009263E6"/>
    <w:rsid w:val="00951229"/>
    <w:rsid w:val="009573F3"/>
    <w:rsid w:val="0098465D"/>
    <w:rsid w:val="009A3D0A"/>
    <w:rsid w:val="009F5BD6"/>
    <w:rsid w:val="00A55D3F"/>
    <w:rsid w:val="00A57F04"/>
    <w:rsid w:val="00A72A3E"/>
    <w:rsid w:val="00AA1984"/>
    <w:rsid w:val="00B024BD"/>
    <w:rsid w:val="00B05A87"/>
    <w:rsid w:val="00B22010"/>
    <w:rsid w:val="00B3056F"/>
    <w:rsid w:val="00B37A34"/>
    <w:rsid w:val="00B468DF"/>
    <w:rsid w:val="00B7436D"/>
    <w:rsid w:val="00B81CEE"/>
    <w:rsid w:val="00BC669D"/>
    <w:rsid w:val="00C250A7"/>
    <w:rsid w:val="00CB6AB4"/>
    <w:rsid w:val="00CC4404"/>
    <w:rsid w:val="00CE0E90"/>
    <w:rsid w:val="00D10317"/>
    <w:rsid w:val="00D143B1"/>
    <w:rsid w:val="00D2535C"/>
    <w:rsid w:val="00D43EB1"/>
    <w:rsid w:val="00D44AE4"/>
    <w:rsid w:val="00D775F7"/>
    <w:rsid w:val="00D80F4B"/>
    <w:rsid w:val="00D90A03"/>
    <w:rsid w:val="00D923D7"/>
    <w:rsid w:val="00DA3CAA"/>
    <w:rsid w:val="00DA4730"/>
    <w:rsid w:val="00DF0C43"/>
    <w:rsid w:val="00E05786"/>
    <w:rsid w:val="00E71083"/>
    <w:rsid w:val="00E73380"/>
    <w:rsid w:val="00E7515F"/>
    <w:rsid w:val="00E75C24"/>
    <w:rsid w:val="00EB0842"/>
    <w:rsid w:val="00EB4A94"/>
    <w:rsid w:val="00ED2F9B"/>
    <w:rsid w:val="00F07441"/>
    <w:rsid w:val="00F436A6"/>
    <w:rsid w:val="00F663B6"/>
    <w:rsid w:val="00FA07BB"/>
    <w:rsid w:val="00FB7A76"/>
    <w:rsid w:val="00FC6C56"/>
    <w:rsid w:val="00FD732D"/>
    <w:rsid w:val="00FE3F97"/>
    <w:rsid w:val="00FE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01842"/>
  <w15:chartTrackingRefBased/>
  <w15:docId w15:val="{E9FC6DB7-CBB6-428A-8F4A-24A44743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58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7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A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A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A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A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A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</Company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Cook, Aaron</dc:creator>
  <cp:keywords/>
  <dc:description/>
  <cp:lastModifiedBy>Cook, Aaron M.</cp:lastModifiedBy>
  <cp:revision>54</cp:revision>
  <dcterms:created xsi:type="dcterms:W3CDTF">2019-07-10T15:51:00Z</dcterms:created>
  <dcterms:modified xsi:type="dcterms:W3CDTF">2020-02-25T16:27:00Z</dcterms:modified>
</cp:coreProperties>
</file>