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F10" w:rsidRPr="00EB2695" w:rsidRDefault="00EB2695">
      <w:pPr>
        <w:rPr>
          <w:rFonts w:ascii="Calibri" w:hAnsi="Calibri" w:cs="Calibri"/>
          <w:sz w:val="22"/>
          <w:szCs w:val="22"/>
          <w:lang w:val="en-US"/>
        </w:rPr>
      </w:pPr>
      <w:r w:rsidRPr="00B36CA7">
        <w:rPr>
          <w:rFonts w:ascii="Calibri" w:hAnsi="Calibri" w:cs="Calibri"/>
          <w:sz w:val="22"/>
          <w:szCs w:val="22"/>
          <w:lang w:val="en-US"/>
        </w:rPr>
        <w:t>Supplementary Table 2. Overview of statements</w:t>
      </w:r>
      <w:r>
        <w:rPr>
          <w:rFonts w:ascii="Calibri" w:hAnsi="Calibri" w:cs="Calibri"/>
          <w:sz w:val="22"/>
          <w:szCs w:val="22"/>
          <w:lang w:val="en-US"/>
        </w:rPr>
        <w:t xml:space="preserve"> that were rephrased at the September 8 2019 consensus meeting and the</w:t>
      </w:r>
      <w:r w:rsidRPr="00B36CA7">
        <w:rPr>
          <w:rFonts w:ascii="Calibri" w:hAnsi="Calibri" w:cs="Calibri"/>
          <w:sz w:val="22"/>
          <w:szCs w:val="22"/>
          <w:lang w:val="en-US"/>
        </w:rPr>
        <w:t xml:space="preserve"> rationale</w:t>
      </w:r>
      <w:r>
        <w:rPr>
          <w:rFonts w:ascii="Calibri" w:hAnsi="Calibri" w:cs="Calibri"/>
          <w:sz w:val="22"/>
          <w:szCs w:val="22"/>
          <w:lang w:val="en-US"/>
        </w:rPr>
        <w:t xml:space="preserve"> for rephrasing.</w:t>
      </w:r>
    </w:p>
    <w:tbl>
      <w:tblPr>
        <w:tblStyle w:val="Tabelraster"/>
        <w:tblpPr w:leftFromText="141" w:rightFromText="141" w:tblpY="720"/>
        <w:tblW w:w="0" w:type="auto"/>
        <w:tblLook w:val="04A0" w:firstRow="1" w:lastRow="0" w:firstColumn="1" w:lastColumn="0" w:noHBand="0" w:noVBand="1"/>
      </w:tblPr>
      <w:tblGrid>
        <w:gridCol w:w="924"/>
        <w:gridCol w:w="3749"/>
        <w:gridCol w:w="4389"/>
      </w:tblGrid>
      <w:tr w:rsidR="00EB2695" w:rsidTr="000F6027">
        <w:tc>
          <w:tcPr>
            <w:tcW w:w="924" w:type="dxa"/>
          </w:tcPr>
          <w:p w:rsidR="00EB2695" w:rsidRPr="00B36CA7" w:rsidRDefault="00EB2695" w:rsidP="000F6027">
            <w:pPr>
              <w:jc w:val="center"/>
              <w:rPr>
                <w:rFonts w:ascii="Calibri" w:hAnsi="Calibri" w:cs="Calibri"/>
                <w:sz w:val="20"/>
                <w:szCs w:val="20"/>
              </w:rPr>
            </w:pPr>
            <w:r w:rsidRPr="00B36CA7">
              <w:rPr>
                <w:rFonts w:ascii="Calibri" w:hAnsi="Calibri" w:cs="Calibri"/>
                <w:sz w:val="20"/>
                <w:szCs w:val="20"/>
              </w:rPr>
              <w:t>No (</w:t>
            </w:r>
            <w:proofErr w:type="spellStart"/>
            <w:r w:rsidRPr="00B36CA7">
              <w:rPr>
                <w:rFonts w:ascii="Calibri" w:hAnsi="Calibri" w:cs="Calibri"/>
                <w:sz w:val="20"/>
                <w:szCs w:val="20"/>
              </w:rPr>
              <w:t>section</w:t>
            </w:r>
            <w:proofErr w:type="spellEnd"/>
            <w:r w:rsidRPr="00B36CA7">
              <w:rPr>
                <w:rFonts w:ascii="Calibri" w:hAnsi="Calibri" w:cs="Calibri"/>
                <w:sz w:val="20"/>
                <w:szCs w:val="20"/>
              </w:rPr>
              <w:t>)</w:t>
            </w:r>
          </w:p>
        </w:tc>
        <w:tc>
          <w:tcPr>
            <w:tcW w:w="3749" w:type="dxa"/>
          </w:tcPr>
          <w:p w:rsidR="00EB2695" w:rsidRPr="00122425" w:rsidRDefault="00EB2695" w:rsidP="000F6027">
            <w:pPr>
              <w:rPr>
                <w:rFonts w:ascii="Calibri" w:hAnsi="Calibri" w:cs="Calibri"/>
                <w:sz w:val="20"/>
                <w:szCs w:val="20"/>
                <w:lang w:val="en-US"/>
              </w:rPr>
            </w:pPr>
            <w:r w:rsidRPr="00122425">
              <w:rPr>
                <w:rFonts w:ascii="Calibri" w:hAnsi="Calibri" w:cs="Calibri"/>
                <w:sz w:val="20"/>
                <w:szCs w:val="20"/>
                <w:lang w:val="en-US"/>
              </w:rPr>
              <w:t>Original statement / multiple choice question</w:t>
            </w:r>
          </w:p>
        </w:tc>
        <w:tc>
          <w:tcPr>
            <w:tcW w:w="4389" w:type="dxa"/>
          </w:tcPr>
          <w:p w:rsidR="00EB2695" w:rsidRPr="00B36CA7" w:rsidRDefault="00EB2695" w:rsidP="000F6027">
            <w:pPr>
              <w:rPr>
                <w:rFonts w:ascii="Calibri" w:hAnsi="Calibri" w:cs="Calibri"/>
                <w:sz w:val="20"/>
                <w:szCs w:val="20"/>
              </w:rPr>
            </w:pPr>
            <w:proofErr w:type="spellStart"/>
            <w:r>
              <w:rPr>
                <w:rFonts w:ascii="Calibri" w:hAnsi="Calibri" w:cs="Calibri"/>
                <w:sz w:val="20"/>
                <w:szCs w:val="20"/>
              </w:rPr>
              <w:t>Final</w:t>
            </w:r>
            <w:proofErr w:type="spellEnd"/>
            <w:r>
              <w:rPr>
                <w:rFonts w:ascii="Calibri" w:hAnsi="Calibri" w:cs="Calibri"/>
                <w:sz w:val="20"/>
                <w:szCs w:val="20"/>
              </w:rPr>
              <w:t xml:space="preserve"> statement</w:t>
            </w:r>
          </w:p>
        </w:tc>
      </w:tr>
      <w:tr w:rsidR="00EB2695" w:rsidRPr="00FB1487" w:rsidTr="000F6027">
        <w:tc>
          <w:tcPr>
            <w:tcW w:w="924" w:type="dxa"/>
            <w:vMerge w:val="restart"/>
          </w:tcPr>
          <w:p w:rsidR="00EB2695" w:rsidRPr="00B36CA7" w:rsidRDefault="00EB2695" w:rsidP="000F6027">
            <w:pPr>
              <w:jc w:val="center"/>
              <w:rPr>
                <w:rFonts w:ascii="Calibri" w:hAnsi="Calibri" w:cs="Calibri"/>
                <w:sz w:val="20"/>
                <w:szCs w:val="20"/>
              </w:rPr>
            </w:pPr>
            <w:r>
              <w:rPr>
                <w:rFonts w:ascii="Calibri" w:hAnsi="Calibri" w:cs="Calibri"/>
                <w:sz w:val="20"/>
                <w:szCs w:val="20"/>
              </w:rPr>
              <w:t>1 (1)</w:t>
            </w:r>
          </w:p>
        </w:tc>
        <w:tc>
          <w:tcPr>
            <w:tcW w:w="3749" w:type="dxa"/>
          </w:tcPr>
          <w:p w:rsidR="00EB2695" w:rsidRPr="00CF508F" w:rsidRDefault="00EB2695" w:rsidP="000F6027">
            <w:pPr>
              <w:rPr>
                <w:rFonts w:ascii="Calibri" w:hAnsi="Calibri" w:cs="Calibri"/>
                <w:color w:val="333E48"/>
                <w:sz w:val="20"/>
                <w:szCs w:val="20"/>
                <w:shd w:val="clear" w:color="auto" w:fill="FFFFFF"/>
                <w:lang w:val="en-US"/>
              </w:rPr>
            </w:pPr>
            <w:r w:rsidRPr="00CF508F">
              <w:rPr>
                <w:rFonts w:ascii="Calibri" w:hAnsi="Calibri" w:cs="Calibri"/>
                <w:color w:val="333E48"/>
                <w:sz w:val="20"/>
                <w:szCs w:val="20"/>
                <w:shd w:val="clear" w:color="auto" w:fill="FFFFFF"/>
                <w:lang w:val="en-US"/>
              </w:rPr>
              <w:t>Below you find 3 different clinical definitions of CA. Please indicate which definition you find most accurate. In case neither of the definitions conforms to your opinion, you can propose an alternative one.</w:t>
            </w:r>
          </w:p>
          <w:p w:rsidR="00EB2695" w:rsidRPr="00CF508F" w:rsidRDefault="00EB2695" w:rsidP="000F6027">
            <w:pPr>
              <w:pStyle w:val="Lijstalinea"/>
              <w:numPr>
                <w:ilvl w:val="0"/>
                <w:numId w:val="1"/>
              </w:numPr>
              <w:rPr>
                <w:rFonts w:ascii="Calibri" w:hAnsi="Calibri" w:cs="Calibri"/>
                <w:sz w:val="20"/>
                <w:szCs w:val="20"/>
                <w:lang w:val="en-US"/>
              </w:rPr>
            </w:pPr>
            <w:r w:rsidRPr="00CF508F">
              <w:rPr>
                <w:rFonts w:ascii="Calibri" w:hAnsi="Calibri" w:cs="Calibri"/>
                <w:color w:val="333333"/>
                <w:sz w:val="20"/>
                <w:szCs w:val="20"/>
                <w:shd w:val="clear" w:color="auto" w:fill="FFFFFF"/>
                <w:lang w:val="en-US"/>
              </w:rPr>
              <w:t>CA as defined in clinical practice refers to the components of the cerebrovascular regulatory complex, which constitute the ability to maintain stable average CBF under varying conditions of CPP and under constant PaCO2.</w:t>
            </w:r>
          </w:p>
          <w:p w:rsidR="00EB2695" w:rsidRPr="00CF508F" w:rsidRDefault="00EB2695" w:rsidP="000F6027">
            <w:pPr>
              <w:pStyle w:val="Lijstalinea"/>
              <w:numPr>
                <w:ilvl w:val="0"/>
                <w:numId w:val="1"/>
              </w:numPr>
              <w:rPr>
                <w:rFonts w:ascii="Calibri" w:hAnsi="Calibri" w:cs="Calibri"/>
                <w:sz w:val="20"/>
                <w:szCs w:val="20"/>
                <w:lang w:val="en-US"/>
              </w:rPr>
            </w:pPr>
            <w:r w:rsidRPr="00CF508F">
              <w:rPr>
                <w:rFonts w:ascii="Calibri" w:hAnsi="Calibri" w:cs="Calibri"/>
                <w:color w:val="333333"/>
                <w:sz w:val="20"/>
                <w:szCs w:val="20"/>
                <w:shd w:val="clear" w:color="auto" w:fill="FFFFFF"/>
                <w:lang w:val="en-US"/>
              </w:rPr>
              <w:t>CA as defined in clinical practice refers to the components of the cerebrovascular regulatory complex, which constitute the ability to maintain stable average CBF under varying conditions of CPP and under varying PaCO2.</w:t>
            </w:r>
          </w:p>
          <w:p w:rsidR="00EB2695" w:rsidRPr="00CF508F" w:rsidRDefault="00EB2695" w:rsidP="000F6027">
            <w:pPr>
              <w:pStyle w:val="Lijstalinea"/>
              <w:numPr>
                <w:ilvl w:val="0"/>
                <w:numId w:val="1"/>
              </w:numPr>
              <w:rPr>
                <w:rFonts w:ascii="Calibri" w:hAnsi="Calibri" w:cs="Calibri"/>
                <w:sz w:val="20"/>
                <w:szCs w:val="20"/>
                <w:lang w:val="en-US"/>
              </w:rPr>
            </w:pPr>
            <w:r w:rsidRPr="00CF508F">
              <w:rPr>
                <w:rFonts w:ascii="Calibri" w:hAnsi="Calibri" w:cs="Calibri"/>
                <w:color w:val="333333"/>
                <w:sz w:val="20"/>
                <w:szCs w:val="20"/>
                <w:shd w:val="clear" w:color="auto" w:fill="FFFFFF"/>
                <w:lang w:val="en-US"/>
              </w:rPr>
              <w:t>CA as defined in clinical practice refers to the complete cerebrovascular regulatory complex, which constitutes the ability to adjust and fine tune CBF.</w:t>
            </w:r>
          </w:p>
        </w:tc>
        <w:tc>
          <w:tcPr>
            <w:tcW w:w="4389" w:type="dxa"/>
          </w:tcPr>
          <w:p w:rsidR="00EB2695" w:rsidRPr="00122425" w:rsidRDefault="00EB2695" w:rsidP="000F6027">
            <w:pPr>
              <w:rPr>
                <w:rFonts w:ascii="Calibri" w:hAnsi="Calibri" w:cs="Calibri"/>
                <w:sz w:val="20"/>
                <w:szCs w:val="20"/>
                <w:lang w:val="en-US"/>
              </w:rPr>
            </w:pPr>
            <w:r w:rsidRPr="00A71018">
              <w:rPr>
                <w:rFonts w:ascii="Calibri" w:hAnsi="Calibri" w:cs="Calibri"/>
                <w:color w:val="000000" w:themeColor="text1"/>
                <w:sz w:val="20"/>
                <w:szCs w:val="20"/>
                <w:lang w:val="en-US"/>
              </w:rPr>
              <w:t>CA covers several physiological mechanisms aiming at adequate nutrient supply to the brain according to its needs. The current Delphi consensus process focuses on the clinical assessment of the ability to maintain constant global CBF in response to different external stimuli.</w:t>
            </w:r>
          </w:p>
        </w:tc>
      </w:tr>
      <w:tr w:rsidR="00EB2695" w:rsidRPr="00FB1487" w:rsidTr="000F6027">
        <w:tc>
          <w:tcPr>
            <w:tcW w:w="924" w:type="dxa"/>
            <w:vMerge/>
          </w:tcPr>
          <w:p w:rsidR="00EB2695" w:rsidRPr="00CF508F" w:rsidRDefault="00EB2695" w:rsidP="000F6027">
            <w:pPr>
              <w:jc w:val="center"/>
              <w:rPr>
                <w:rFonts w:ascii="Calibri" w:hAnsi="Calibri" w:cs="Calibri"/>
                <w:sz w:val="20"/>
                <w:szCs w:val="20"/>
                <w:lang w:val="en-US"/>
              </w:rPr>
            </w:pPr>
          </w:p>
        </w:tc>
        <w:tc>
          <w:tcPr>
            <w:tcW w:w="8138" w:type="dxa"/>
            <w:gridSpan w:val="2"/>
          </w:tcPr>
          <w:p w:rsidR="00EB2695" w:rsidRPr="00263401" w:rsidRDefault="00EB2695" w:rsidP="000F6027">
            <w:pPr>
              <w:jc w:val="both"/>
              <w:rPr>
                <w:rFonts w:ascii="Calibri" w:hAnsi="Calibri" w:cs="Calibri"/>
                <w:color w:val="000000" w:themeColor="text1"/>
                <w:sz w:val="20"/>
                <w:szCs w:val="20"/>
                <w:lang w:val="en-US"/>
              </w:rPr>
            </w:pPr>
            <w:r w:rsidRPr="00263401">
              <w:rPr>
                <w:rFonts w:ascii="Calibri" w:hAnsi="Calibri" w:cs="Calibri"/>
                <w:sz w:val="20"/>
                <w:szCs w:val="20"/>
                <w:lang w:val="en-US"/>
              </w:rPr>
              <w:t xml:space="preserve">Rationale: </w:t>
            </w:r>
            <w:r w:rsidRPr="00263401">
              <w:rPr>
                <w:rFonts w:ascii="Calibri" w:hAnsi="Calibri" w:cs="Calibri"/>
                <w:color w:val="000000" w:themeColor="text1"/>
                <w:sz w:val="20"/>
                <w:szCs w:val="20"/>
                <w:lang w:val="en-US"/>
              </w:rPr>
              <w:t xml:space="preserve"> There was confusion about the use of the term ‘clinical definition’ in these statements. CA physiology covers several mechanisms and is extensive and complex, including but not limited to changes in respons</w:t>
            </w:r>
            <w:r w:rsidR="00FB1487">
              <w:rPr>
                <w:rFonts w:ascii="Calibri" w:hAnsi="Calibri" w:cs="Calibri"/>
                <w:color w:val="000000" w:themeColor="text1"/>
                <w:sz w:val="20"/>
                <w:szCs w:val="20"/>
                <w:lang w:val="en-US"/>
              </w:rPr>
              <w:t>e to activity, pressure, CO2, …</w:t>
            </w:r>
            <w:r w:rsidRPr="00263401">
              <w:rPr>
                <w:rFonts w:ascii="Calibri" w:hAnsi="Calibri" w:cs="Calibri"/>
                <w:color w:val="000000" w:themeColor="text1"/>
                <w:sz w:val="20"/>
                <w:szCs w:val="20"/>
                <w:lang w:val="en-US"/>
              </w:rPr>
              <w:t>. Defining or describing the physiological phenomenon of cerebrovascular a</w:t>
            </w:r>
            <w:r w:rsidR="00FB1487">
              <w:rPr>
                <w:rFonts w:ascii="Calibri" w:hAnsi="Calibri" w:cs="Calibri"/>
                <w:color w:val="000000" w:themeColor="text1"/>
                <w:sz w:val="20"/>
                <w:szCs w:val="20"/>
                <w:lang w:val="en-US"/>
              </w:rPr>
              <w:t>utoregulation or dysregulation wa</w:t>
            </w:r>
            <w:r w:rsidRPr="00263401">
              <w:rPr>
                <w:rFonts w:ascii="Calibri" w:hAnsi="Calibri" w:cs="Calibri"/>
                <w:color w:val="000000" w:themeColor="text1"/>
                <w:sz w:val="20"/>
                <w:szCs w:val="20"/>
                <w:lang w:val="en-US"/>
              </w:rPr>
              <w:t xml:space="preserve">s not </w:t>
            </w:r>
            <w:r w:rsidR="00FB1487">
              <w:rPr>
                <w:rFonts w:ascii="Calibri" w:hAnsi="Calibri" w:cs="Calibri"/>
                <w:color w:val="000000" w:themeColor="text1"/>
                <w:sz w:val="20"/>
                <w:szCs w:val="20"/>
                <w:lang w:val="en-US"/>
              </w:rPr>
              <w:t>considered as a</w:t>
            </w:r>
            <w:r w:rsidRPr="00263401">
              <w:rPr>
                <w:rFonts w:ascii="Calibri" w:hAnsi="Calibri" w:cs="Calibri"/>
                <w:color w:val="000000" w:themeColor="text1"/>
                <w:sz w:val="20"/>
                <w:szCs w:val="20"/>
                <w:lang w:val="en-US"/>
              </w:rPr>
              <w:t xml:space="preserve"> goal of this consensus exercise amongst c</w:t>
            </w:r>
            <w:r w:rsidR="00FB1487">
              <w:rPr>
                <w:rFonts w:ascii="Calibri" w:hAnsi="Calibri" w:cs="Calibri"/>
                <w:color w:val="000000" w:themeColor="text1"/>
                <w:sz w:val="20"/>
                <w:szCs w:val="20"/>
                <w:lang w:val="en-US"/>
              </w:rPr>
              <w:t>linical experts. Therefore, it wa</w:t>
            </w:r>
            <w:r w:rsidRPr="00263401">
              <w:rPr>
                <w:rFonts w:ascii="Calibri" w:hAnsi="Calibri" w:cs="Calibri"/>
                <w:color w:val="000000" w:themeColor="text1"/>
                <w:sz w:val="20"/>
                <w:szCs w:val="20"/>
                <w:lang w:val="en-US"/>
              </w:rPr>
              <w:t xml:space="preserve">s decided that there </w:t>
            </w:r>
            <w:r w:rsidR="00FB1487">
              <w:rPr>
                <w:rFonts w:ascii="Calibri" w:hAnsi="Calibri" w:cs="Calibri"/>
                <w:color w:val="000000" w:themeColor="text1"/>
                <w:sz w:val="20"/>
                <w:szCs w:val="20"/>
                <w:lang w:val="en-US"/>
              </w:rPr>
              <w:t>would</w:t>
            </w:r>
            <w:r w:rsidRPr="00263401">
              <w:rPr>
                <w:rFonts w:ascii="Calibri" w:hAnsi="Calibri" w:cs="Calibri"/>
                <w:color w:val="000000" w:themeColor="text1"/>
                <w:sz w:val="20"/>
                <w:szCs w:val="20"/>
                <w:lang w:val="en-US"/>
              </w:rPr>
              <w:t xml:space="preserve"> be no attempt to arrive at a (clinical) definition of what CA is. However, in order to delineate the subject of the consensus effort,</w:t>
            </w:r>
            <w:r w:rsidR="00FB1487">
              <w:rPr>
                <w:rFonts w:ascii="Calibri" w:hAnsi="Calibri" w:cs="Calibri"/>
                <w:color w:val="000000" w:themeColor="text1"/>
                <w:sz w:val="20"/>
                <w:szCs w:val="20"/>
                <w:lang w:val="en-US"/>
              </w:rPr>
              <w:t xml:space="preserve"> the following statement was</w:t>
            </w:r>
            <w:r w:rsidRPr="00263401">
              <w:rPr>
                <w:rFonts w:ascii="Calibri" w:hAnsi="Calibri" w:cs="Calibri"/>
                <w:color w:val="000000" w:themeColor="text1"/>
                <w:sz w:val="20"/>
                <w:szCs w:val="20"/>
                <w:lang w:val="en-US"/>
              </w:rPr>
              <w:t xml:space="preserve"> put forward:</w:t>
            </w:r>
          </w:p>
          <w:p w:rsidR="00EB2695" w:rsidRPr="00263401" w:rsidRDefault="00EB2695" w:rsidP="000F6027">
            <w:pPr>
              <w:jc w:val="both"/>
              <w:rPr>
                <w:rFonts w:ascii="Calibri" w:hAnsi="Calibri" w:cs="Calibri"/>
                <w:color w:val="000000" w:themeColor="text1"/>
                <w:sz w:val="20"/>
                <w:szCs w:val="20"/>
                <w:lang w:val="en-US"/>
              </w:rPr>
            </w:pPr>
            <w:r w:rsidRPr="00263401">
              <w:rPr>
                <w:rFonts w:ascii="Calibri" w:hAnsi="Calibri" w:cs="Calibri"/>
                <w:color w:val="000000" w:themeColor="text1"/>
                <w:sz w:val="20"/>
                <w:szCs w:val="20"/>
                <w:lang w:val="en-US"/>
              </w:rPr>
              <w:t>“CA covers several physiological mechanisms aiming at adequate nutrient supply to the brain according to its needs. The current Delphi consensus process focuses on the clinical assessment of the ability to maintain constant global CBF in response to different external stimuli.”</w:t>
            </w:r>
          </w:p>
          <w:p w:rsidR="00EB2695" w:rsidRPr="00263401" w:rsidRDefault="00FB1487" w:rsidP="000F6027">
            <w:pPr>
              <w:jc w:val="both"/>
              <w:rPr>
                <w:rFonts w:ascii="Calibri" w:hAnsi="Calibri" w:cs="Calibri"/>
                <w:color w:val="000000" w:themeColor="text1"/>
                <w:sz w:val="20"/>
                <w:szCs w:val="20"/>
                <w:lang w:val="en-US"/>
              </w:rPr>
            </w:pPr>
            <w:r>
              <w:rPr>
                <w:rFonts w:ascii="Calibri" w:hAnsi="Calibri" w:cs="Calibri"/>
                <w:color w:val="000000" w:themeColor="text1"/>
                <w:sz w:val="20"/>
                <w:szCs w:val="20"/>
                <w:lang w:val="en-US"/>
              </w:rPr>
              <w:t>It wa</w:t>
            </w:r>
            <w:r w:rsidR="00EB2695" w:rsidRPr="00263401">
              <w:rPr>
                <w:rFonts w:ascii="Calibri" w:hAnsi="Calibri" w:cs="Calibri"/>
                <w:color w:val="000000" w:themeColor="text1"/>
                <w:sz w:val="20"/>
                <w:szCs w:val="20"/>
                <w:lang w:val="en-US"/>
              </w:rPr>
              <w:t xml:space="preserve">s proposed not to change the terminology from ‘cerebrovascular autoregulation’ to ‘cerebrovascular pressure autoregulation’, as ‘pressure’ again arouses the discussion on the physiological phenomena by referring exclusively to changes in vascular tone in response to intraluminal pressure. In the online survey round 3, the above statement </w:t>
            </w:r>
            <w:r w:rsidR="00EB2695">
              <w:rPr>
                <w:rFonts w:ascii="Calibri" w:hAnsi="Calibri" w:cs="Calibri"/>
                <w:color w:val="000000" w:themeColor="text1"/>
                <w:sz w:val="20"/>
                <w:szCs w:val="20"/>
                <w:lang w:val="en-US"/>
              </w:rPr>
              <w:t>was</w:t>
            </w:r>
            <w:r w:rsidR="00EB2695" w:rsidRPr="00263401">
              <w:rPr>
                <w:rFonts w:ascii="Calibri" w:hAnsi="Calibri" w:cs="Calibri"/>
                <w:color w:val="000000" w:themeColor="text1"/>
                <w:sz w:val="20"/>
                <w:szCs w:val="20"/>
                <w:lang w:val="en-US"/>
              </w:rPr>
              <w:t xml:space="preserve"> presented together with a request to repl</w:t>
            </w:r>
            <w:r>
              <w:rPr>
                <w:rFonts w:ascii="Calibri" w:hAnsi="Calibri" w:cs="Calibri"/>
                <w:color w:val="000000" w:themeColor="text1"/>
                <w:sz w:val="20"/>
                <w:szCs w:val="20"/>
                <w:lang w:val="en-US"/>
              </w:rPr>
              <w:t>y whether or not the statement wa</w:t>
            </w:r>
            <w:r w:rsidR="00EB2695" w:rsidRPr="00263401">
              <w:rPr>
                <w:rFonts w:ascii="Calibri" w:hAnsi="Calibri" w:cs="Calibri"/>
                <w:color w:val="000000" w:themeColor="text1"/>
                <w:sz w:val="20"/>
                <w:szCs w:val="20"/>
                <w:lang w:val="en-US"/>
              </w:rPr>
              <w:t>s acceptable for the clinical experts</w:t>
            </w:r>
            <w:r w:rsidR="00EB2695" w:rsidRPr="00CF508F">
              <w:rPr>
                <w:rFonts w:ascii="Calibri" w:hAnsi="Calibri" w:cs="Calibri"/>
                <w:color w:val="000000" w:themeColor="text1"/>
                <w:sz w:val="20"/>
                <w:szCs w:val="20"/>
                <w:lang w:val="en-US"/>
              </w:rPr>
              <w:t>.</w:t>
            </w:r>
          </w:p>
        </w:tc>
      </w:tr>
      <w:tr w:rsidR="00EB2695" w:rsidRPr="00FB1487" w:rsidTr="000F6027">
        <w:tc>
          <w:tcPr>
            <w:tcW w:w="924" w:type="dxa"/>
            <w:vMerge w:val="restart"/>
          </w:tcPr>
          <w:p w:rsidR="00EB2695" w:rsidRPr="00122425" w:rsidRDefault="00EB2695" w:rsidP="000F6027">
            <w:pPr>
              <w:jc w:val="center"/>
              <w:rPr>
                <w:rFonts w:ascii="Calibri" w:hAnsi="Calibri" w:cs="Calibri"/>
                <w:sz w:val="20"/>
                <w:szCs w:val="20"/>
                <w:lang w:val="en-US"/>
              </w:rPr>
            </w:pPr>
            <w:r>
              <w:rPr>
                <w:rFonts w:ascii="Calibri" w:hAnsi="Calibri" w:cs="Calibri"/>
                <w:sz w:val="20"/>
                <w:szCs w:val="20"/>
                <w:lang w:val="en-US"/>
              </w:rPr>
              <w:t>2 (1)</w:t>
            </w:r>
          </w:p>
        </w:tc>
        <w:tc>
          <w:tcPr>
            <w:tcW w:w="3749" w:type="dxa"/>
          </w:tcPr>
          <w:p w:rsidR="00EB2695" w:rsidRPr="00122425" w:rsidRDefault="00EB2695" w:rsidP="000F6027">
            <w:pPr>
              <w:rPr>
                <w:rFonts w:ascii="Calibri" w:hAnsi="Calibri" w:cs="Calibri"/>
                <w:sz w:val="20"/>
                <w:szCs w:val="20"/>
                <w:lang w:val="en-US"/>
              </w:rPr>
            </w:pPr>
            <w:r>
              <w:rPr>
                <w:rFonts w:ascii="Calibri" w:hAnsi="Calibri" w:cs="Calibri"/>
                <w:sz w:val="20"/>
                <w:szCs w:val="20"/>
                <w:lang w:val="en-US"/>
              </w:rPr>
              <w:t>N/A</w:t>
            </w:r>
          </w:p>
        </w:tc>
        <w:tc>
          <w:tcPr>
            <w:tcW w:w="4389" w:type="dxa"/>
          </w:tcPr>
          <w:p w:rsidR="00EB2695" w:rsidRPr="00122425" w:rsidRDefault="00EB2695" w:rsidP="000F6027">
            <w:pPr>
              <w:rPr>
                <w:rFonts w:ascii="Calibri" w:hAnsi="Calibri" w:cs="Calibri"/>
                <w:sz w:val="20"/>
                <w:szCs w:val="20"/>
                <w:lang w:val="en-US"/>
              </w:rPr>
            </w:pPr>
            <w:r>
              <w:rPr>
                <w:rFonts w:ascii="Calibri" w:hAnsi="Calibri" w:cs="Calibri"/>
                <w:sz w:val="20"/>
                <w:szCs w:val="20"/>
                <w:lang w:val="en-US"/>
              </w:rPr>
              <w:t xml:space="preserve">New statement: </w:t>
            </w:r>
            <w:r w:rsidRPr="00A71018">
              <w:rPr>
                <w:rFonts w:ascii="Calibri" w:hAnsi="Calibri" w:cs="Calibri"/>
                <w:color w:val="000000" w:themeColor="text1"/>
                <w:sz w:val="20"/>
                <w:szCs w:val="20"/>
                <w:lang w:val="en-US"/>
              </w:rPr>
              <w:t xml:space="preserve"> CA impairment is not binary, but a process that results in dynamic narrowing of the CBF plateau between the lower and upper limit of CA and probably also in dynamic shifts in the location of the plateau on the CPP axis.</w:t>
            </w:r>
          </w:p>
        </w:tc>
      </w:tr>
      <w:tr w:rsidR="00EB2695" w:rsidRPr="00FB1487" w:rsidTr="000F6027">
        <w:tc>
          <w:tcPr>
            <w:tcW w:w="924" w:type="dxa"/>
            <w:vMerge/>
          </w:tcPr>
          <w:p w:rsidR="00EB2695" w:rsidRPr="00122425" w:rsidRDefault="00EB2695" w:rsidP="000F6027">
            <w:pPr>
              <w:jc w:val="center"/>
              <w:rPr>
                <w:rFonts w:ascii="Calibri" w:hAnsi="Calibri" w:cs="Calibri"/>
                <w:sz w:val="20"/>
                <w:szCs w:val="20"/>
                <w:lang w:val="en-US"/>
              </w:rPr>
            </w:pPr>
          </w:p>
        </w:tc>
        <w:tc>
          <w:tcPr>
            <w:tcW w:w="8138" w:type="dxa"/>
            <w:gridSpan w:val="2"/>
          </w:tcPr>
          <w:p w:rsidR="00EB2695" w:rsidRPr="009E6FF4" w:rsidRDefault="00EB2695" w:rsidP="00FB1487">
            <w:pPr>
              <w:rPr>
                <w:rFonts w:ascii="Calibri" w:hAnsi="Calibri" w:cs="Calibri"/>
                <w:sz w:val="20"/>
                <w:szCs w:val="20"/>
                <w:lang w:val="en-US"/>
              </w:rPr>
            </w:pPr>
            <w:r w:rsidRPr="009E6FF4">
              <w:rPr>
                <w:rFonts w:ascii="Calibri" w:hAnsi="Calibri" w:cs="Calibri"/>
                <w:sz w:val="20"/>
                <w:szCs w:val="20"/>
                <w:lang w:val="en-US"/>
              </w:rPr>
              <w:t xml:space="preserve">Rationale: The experts agreed that it is important to emphasize to the non-expert community that CA impairment does not work as an on/off phenomenon and that it has a dynamic nature, meaning that both the width of the plateau can be altered as well as the location of the plateau on the CPP axis. </w:t>
            </w:r>
            <w:r w:rsidRPr="009E6FF4">
              <w:rPr>
                <w:rFonts w:ascii="Calibri" w:hAnsi="Calibri" w:cs="Calibri"/>
                <w:color w:val="000000" w:themeColor="text1"/>
                <w:sz w:val="20"/>
                <w:szCs w:val="20"/>
                <w:lang w:val="en-US"/>
              </w:rPr>
              <w:t xml:space="preserve"> In the online survey round 3, the statement </w:t>
            </w:r>
            <w:r>
              <w:rPr>
                <w:rFonts w:ascii="Calibri" w:hAnsi="Calibri" w:cs="Calibri"/>
                <w:color w:val="000000" w:themeColor="text1"/>
                <w:sz w:val="20"/>
                <w:szCs w:val="20"/>
                <w:lang w:val="en-US"/>
              </w:rPr>
              <w:t>was</w:t>
            </w:r>
            <w:r w:rsidRPr="009E6FF4">
              <w:rPr>
                <w:rFonts w:ascii="Calibri" w:hAnsi="Calibri" w:cs="Calibri"/>
                <w:color w:val="000000" w:themeColor="text1"/>
                <w:sz w:val="20"/>
                <w:szCs w:val="20"/>
                <w:lang w:val="en-US"/>
              </w:rPr>
              <w:t xml:space="preserve"> presented together with a request to reply whether or not the expert agree</w:t>
            </w:r>
            <w:r w:rsidR="00FB1487">
              <w:rPr>
                <w:rFonts w:ascii="Calibri" w:hAnsi="Calibri" w:cs="Calibri"/>
                <w:color w:val="000000" w:themeColor="text1"/>
                <w:sz w:val="20"/>
                <w:szCs w:val="20"/>
                <w:lang w:val="en-US"/>
              </w:rPr>
              <w:t>d</w:t>
            </w:r>
            <w:r w:rsidRPr="009E6FF4">
              <w:rPr>
                <w:rFonts w:ascii="Calibri" w:hAnsi="Calibri" w:cs="Calibri"/>
                <w:color w:val="000000" w:themeColor="text1"/>
                <w:sz w:val="20"/>
                <w:szCs w:val="20"/>
                <w:lang w:val="en-US"/>
              </w:rPr>
              <w:t xml:space="preserve"> with it.</w:t>
            </w:r>
          </w:p>
        </w:tc>
      </w:tr>
      <w:tr w:rsidR="00EB2695" w:rsidRPr="00FB1487" w:rsidTr="000F6027">
        <w:tc>
          <w:tcPr>
            <w:tcW w:w="924" w:type="dxa"/>
            <w:vMerge w:val="restart"/>
          </w:tcPr>
          <w:p w:rsidR="00EB2695" w:rsidRPr="00122425" w:rsidRDefault="00EB2695" w:rsidP="000F6027">
            <w:pPr>
              <w:jc w:val="center"/>
              <w:rPr>
                <w:rFonts w:ascii="Calibri" w:hAnsi="Calibri" w:cs="Calibri"/>
                <w:sz w:val="20"/>
                <w:szCs w:val="20"/>
                <w:lang w:val="en-US"/>
              </w:rPr>
            </w:pPr>
            <w:r>
              <w:rPr>
                <w:rFonts w:ascii="Calibri" w:hAnsi="Calibri" w:cs="Calibri"/>
                <w:sz w:val="20"/>
                <w:szCs w:val="20"/>
                <w:lang w:val="en-US"/>
              </w:rPr>
              <w:t>3 (2)</w:t>
            </w:r>
          </w:p>
        </w:tc>
        <w:tc>
          <w:tcPr>
            <w:tcW w:w="3749" w:type="dxa"/>
          </w:tcPr>
          <w:p w:rsidR="00EB2695" w:rsidRPr="00136039" w:rsidRDefault="00EB2695" w:rsidP="000F6027">
            <w:pPr>
              <w:rPr>
                <w:rFonts w:ascii="Calibri" w:hAnsi="Calibri" w:cs="Calibri"/>
                <w:color w:val="333E48"/>
                <w:sz w:val="20"/>
                <w:szCs w:val="20"/>
                <w:shd w:val="clear" w:color="auto" w:fill="FFFFFF"/>
                <w:lang w:val="en-US"/>
              </w:rPr>
            </w:pPr>
            <w:r w:rsidRPr="00136039">
              <w:rPr>
                <w:rFonts w:ascii="Calibri" w:hAnsi="Calibri" w:cs="Calibri"/>
                <w:color w:val="333E48"/>
                <w:sz w:val="20"/>
                <w:szCs w:val="20"/>
                <w:shd w:val="clear" w:color="auto" w:fill="FFFFFF"/>
                <w:lang w:val="en-US"/>
              </w:rPr>
              <w:t>CPP should be kept </w:t>
            </w:r>
            <w:r w:rsidRPr="00136039">
              <w:rPr>
                <w:rStyle w:val="Zwaar"/>
                <w:rFonts w:ascii="Calibri" w:hAnsi="Calibri" w:cs="Calibri"/>
                <w:b w:val="0"/>
                <w:bCs w:val="0"/>
                <w:color w:val="333E48"/>
                <w:sz w:val="20"/>
                <w:szCs w:val="20"/>
                <w:lang w:val="en-US"/>
              </w:rPr>
              <w:t>above </w:t>
            </w:r>
            <w:r w:rsidRPr="00136039">
              <w:rPr>
                <w:rFonts w:ascii="Calibri" w:hAnsi="Calibri" w:cs="Calibri"/>
                <w:color w:val="333E48"/>
                <w:sz w:val="20"/>
                <w:szCs w:val="20"/>
                <w:shd w:val="clear" w:color="auto" w:fill="FFFFFF"/>
                <w:lang w:val="en-US"/>
              </w:rPr>
              <w:t>... at all times:</w:t>
            </w:r>
          </w:p>
          <w:p w:rsidR="00EB2695" w:rsidRPr="00136039" w:rsidRDefault="00EB2695" w:rsidP="000F6027">
            <w:pPr>
              <w:pStyle w:val="Lijstalinea"/>
              <w:numPr>
                <w:ilvl w:val="0"/>
                <w:numId w:val="1"/>
              </w:numPr>
              <w:rPr>
                <w:rFonts w:ascii="Calibri" w:hAnsi="Calibri" w:cs="Calibri"/>
                <w:sz w:val="20"/>
                <w:szCs w:val="20"/>
                <w:lang w:val="en-US"/>
              </w:rPr>
            </w:pPr>
            <w:r w:rsidRPr="00136039">
              <w:rPr>
                <w:rFonts w:ascii="Calibri" w:hAnsi="Calibri" w:cs="Calibri"/>
                <w:sz w:val="20"/>
                <w:szCs w:val="20"/>
                <w:lang w:val="en-US"/>
              </w:rPr>
              <w:lastRenderedPageBreak/>
              <w:t>40 mmHg</w:t>
            </w:r>
          </w:p>
          <w:p w:rsidR="00EB2695" w:rsidRPr="00136039" w:rsidRDefault="00EB2695" w:rsidP="000F6027">
            <w:pPr>
              <w:pStyle w:val="Lijstalinea"/>
              <w:numPr>
                <w:ilvl w:val="0"/>
                <w:numId w:val="1"/>
              </w:numPr>
              <w:rPr>
                <w:rFonts w:ascii="Calibri" w:hAnsi="Calibri" w:cs="Calibri"/>
                <w:sz w:val="20"/>
                <w:szCs w:val="20"/>
                <w:lang w:val="en-US"/>
              </w:rPr>
            </w:pPr>
            <w:r w:rsidRPr="00136039">
              <w:rPr>
                <w:rFonts w:ascii="Calibri" w:hAnsi="Calibri" w:cs="Calibri"/>
                <w:sz w:val="20"/>
                <w:szCs w:val="20"/>
                <w:lang w:val="en-US"/>
              </w:rPr>
              <w:t>50 mmHg</w:t>
            </w:r>
          </w:p>
          <w:p w:rsidR="00EB2695" w:rsidRPr="00136039" w:rsidRDefault="00EB2695" w:rsidP="000F6027">
            <w:pPr>
              <w:pStyle w:val="Lijstalinea"/>
              <w:numPr>
                <w:ilvl w:val="0"/>
                <w:numId w:val="1"/>
              </w:numPr>
              <w:rPr>
                <w:rFonts w:ascii="Calibri" w:hAnsi="Calibri" w:cs="Calibri"/>
                <w:sz w:val="20"/>
                <w:szCs w:val="20"/>
                <w:lang w:val="en-US"/>
              </w:rPr>
            </w:pPr>
            <w:r w:rsidRPr="00136039">
              <w:rPr>
                <w:rFonts w:ascii="Calibri" w:hAnsi="Calibri" w:cs="Calibri"/>
                <w:sz w:val="20"/>
                <w:szCs w:val="20"/>
                <w:lang w:val="en-US"/>
              </w:rPr>
              <w:t>60 mmHg</w:t>
            </w:r>
          </w:p>
          <w:p w:rsidR="00EB2695" w:rsidRPr="00136039" w:rsidRDefault="00EB2695" w:rsidP="000F6027">
            <w:pPr>
              <w:pStyle w:val="Lijstalinea"/>
              <w:numPr>
                <w:ilvl w:val="0"/>
                <w:numId w:val="1"/>
              </w:numPr>
              <w:rPr>
                <w:rFonts w:ascii="Calibri" w:hAnsi="Calibri" w:cs="Calibri"/>
                <w:sz w:val="20"/>
                <w:szCs w:val="20"/>
                <w:lang w:val="en-US"/>
              </w:rPr>
            </w:pPr>
            <w:r w:rsidRPr="00136039">
              <w:rPr>
                <w:rFonts w:ascii="Calibri" w:hAnsi="Calibri" w:cs="Calibri"/>
                <w:sz w:val="20"/>
                <w:szCs w:val="20"/>
                <w:lang w:val="en-US"/>
              </w:rPr>
              <w:t>70 mmHg</w:t>
            </w:r>
          </w:p>
          <w:p w:rsidR="00EB2695" w:rsidRPr="00136039" w:rsidRDefault="00EB2695" w:rsidP="000F6027">
            <w:pPr>
              <w:pStyle w:val="Lijstalinea"/>
              <w:numPr>
                <w:ilvl w:val="0"/>
                <w:numId w:val="1"/>
              </w:numPr>
              <w:rPr>
                <w:rFonts w:ascii="Calibri" w:hAnsi="Calibri" w:cs="Calibri"/>
                <w:sz w:val="20"/>
                <w:szCs w:val="20"/>
                <w:lang w:val="en-US"/>
              </w:rPr>
            </w:pPr>
            <w:r w:rsidRPr="00136039">
              <w:rPr>
                <w:rFonts w:ascii="Calibri" w:hAnsi="Calibri" w:cs="Calibri"/>
                <w:sz w:val="20"/>
                <w:szCs w:val="20"/>
                <w:lang w:val="en-US"/>
              </w:rPr>
              <w:t>other</w:t>
            </w:r>
          </w:p>
        </w:tc>
        <w:tc>
          <w:tcPr>
            <w:tcW w:w="4389" w:type="dxa"/>
          </w:tcPr>
          <w:p w:rsidR="00EB2695" w:rsidRPr="00122425" w:rsidRDefault="00EB2695" w:rsidP="000F6027">
            <w:pPr>
              <w:rPr>
                <w:rFonts w:ascii="Calibri" w:hAnsi="Calibri" w:cs="Calibri"/>
                <w:sz w:val="20"/>
                <w:szCs w:val="20"/>
                <w:lang w:val="en-US"/>
              </w:rPr>
            </w:pPr>
            <w:r w:rsidRPr="00A71018">
              <w:rPr>
                <w:rFonts w:ascii="Calibri" w:hAnsi="Calibri" w:cs="Calibri"/>
                <w:color w:val="000000" w:themeColor="text1"/>
                <w:sz w:val="20"/>
                <w:szCs w:val="20"/>
                <w:lang w:val="en-US"/>
              </w:rPr>
              <w:lastRenderedPageBreak/>
              <w:t>A CPP below 50 mmHg should never be accepted.</w:t>
            </w:r>
          </w:p>
        </w:tc>
      </w:tr>
      <w:tr w:rsidR="00EB2695" w:rsidRPr="00FB1487" w:rsidTr="000F6027">
        <w:tc>
          <w:tcPr>
            <w:tcW w:w="924" w:type="dxa"/>
            <w:vMerge/>
          </w:tcPr>
          <w:p w:rsidR="00EB2695" w:rsidRPr="00122425" w:rsidRDefault="00EB2695" w:rsidP="000F6027">
            <w:pPr>
              <w:jc w:val="center"/>
              <w:rPr>
                <w:rFonts w:ascii="Calibri" w:hAnsi="Calibri" w:cs="Calibri"/>
                <w:sz w:val="20"/>
                <w:szCs w:val="20"/>
                <w:lang w:val="en-US"/>
              </w:rPr>
            </w:pPr>
          </w:p>
        </w:tc>
        <w:tc>
          <w:tcPr>
            <w:tcW w:w="8138" w:type="dxa"/>
            <w:gridSpan w:val="2"/>
          </w:tcPr>
          <w:p w:rsidR="00EB2695" w:rsidRPr="009E6FF4" w:rsidRDefault="00EB2695" w:rsidP="003B041C">
            <w:pPr>
              <w:jc w:val="both"/>
              <w:rPr>
                <w:rFonts w:ascii="Calibri" w:hAnsi="Calibri" w:cs="Calibri"/>
                <w:color w:val="000000" w:themeColor="text1"/>
                <w:sz w:val="20"/>
                <w:szCs w:val="20"/>
                <w:lang w:val="en-US"/>
              </w:rPr>
            </w:pPr>
            <w:r w:rsidRPr="009E6FF4">
              <w:rPr>
                <w:rFonts w:ascii="Calibri" w:hAnsi="Calibri" w:cs="Calibri"/>
                <w:sz w:val="20"/>
                <w:szCs w:val="20"/>
                <w:lang w:val="en-US"/>
              </w:rPr>
              <w:t xml:space="preserve">Rationale: </w:t>
            </w:r>
            <w:r w:rsidRPr="009E6FF4">
              <w:rPr>
                <w:rFonts w:ascii="Calibri" w:hAnsi="Calibri" w:cs="Calibri"/>
                <w:color w:val="000000" w:themeColor="text1"/>
                <w:sz w:val="20"/>
                <w:szCs w:val="20"/>
                <w:lang w:val="en-US"/>
              </w:rPr>
              <w:t xml:space="preserve"> All experts in round 2 agreed that CPP should not go b</w:t>
            </w:r>
            <w:r w:rsidR="003B041C">
              <w:rPr>
                <w:rFonts w:ascii="Calibri" w:hAnsi="Calibri" w:cs="Calibri"/>
                <w:color w:val="000000" w:themeColor="text1"/>
                <w:sz w:val="20"/>
                <w:szCs w:val="20"/>
                <w:lang w:val="en-US"/>
              </w:rPr>
              <w:t>elow 50 mmHg. The statement was</w:t>
            </w:r>
            <w:r w:rsidRPr="009E6FF4">
              <w:rPr>
                <w:rFonts w:ascii="Calibri" w:hAnsi="Calibri" w:cs="Calibri"/>
                <w:color w:val="000000" w:themeColor="text1"/>
                <w:sz w:val="20"/>
                <w:szCs w:val="20"/>
                <w:lang w:val="en-US"/>
              </w:rPr>
              <w:t xml:space="preserve"> therefore reformulated into “</w:t>
            </w:r>
            <w:r w:rsidRPr="009E6FF4">
              <w:rPr>
                <w:rFonts w:ascii="Calibri" w:hAnsi="Calibri" w:cs="Calibri"/>
                <w:color w:val="000000" w:themeColor="text1"/>
                <w:sz w:val="20"/>
                <w:szCs w:val="20"/>
                <w:u w:val="single"/>
                <w:lang w:val="en-US"/>
              </w:rPr>
              <w:t>A CPP below 50 mmHg should never be accepted</w:t>
            </w:r>
            <w:r w:rsidRPr="009E6FF4">
              <w:rPr>
                <w:rFonts w:ascii="Calibri" w:hAnsi="Calibri" w:cs="Calibri"/>
                <w:color w:val="000000" w:themeColor="text1"/>
                <w:sz w:val="20"/>
                <w:szCs w:val="20"/>
                <w:lang w:val="en-US"/>
              </w:rPr>
              <w:t xml:space="preserve">”. In the online survey round 3, the statement was presented together with a request to reply </w:t>
            </w:r>
            <w:r w:rsidR="003B041C">
              <w:rPr>
                <w:rFonts w:ascii="Calibri" w:hAnsi="Calibri" w:cs="Calibri"/>
                <w:color w:val="000000" w:themeColor="text1"/>
                <w:sz w:val="20"/>
                <w:szCs w:val="20"/>
                <w:lang w:val="en-US"/>
              </w:rPr>
              <w:t>whether or not the expert agreed</w:t>
            </w:r>
            <w:r w:rsidRPr="009E6FF4">
              <w:rPr>
                <w:rFonts w:ascii="Calibri" w:hAnsi="Calibri" w:cs="Calibri"/>
                <w:color w:val="000000" w:themeColor="text1"/>
                <w:sz w:val="20"/>
                <w:szCs w:val="20"/>
                <w:lang w:val="en-US"/>
              </w:rPr>
              <w:t xml:space="preserve"> with it. The explanatory notes of the statement clarify that the statement is valid under the assumption that the arterial blood pressure transducer is at the height of the external auditory meatus, as well as that the statement is not in conflict with statement 8, but that it defines the absolute lower border of the zone in which the safest CPP (i.e. target CPP) varies. </w:t>
            </w:r>
          </w:p>
        </w:tc>
      </w:tr>
      <w:tr w:rsidR="00EB2695" w:rsidRPr="00FB1487" w:rsidTr="000F6027">
        <w:tc>
          <w:tcPr>
            <w:tcW w:w="924" w:type="dxa"/>
            <w:vMerge w:val="restart"/>
          </w:tcPr>
          <w:p w:rsidR="00EB2695" w:rsidRPr="00122425" w:rsidRDefault="00EB2695" w:rsidP="000F6027">
            <w:pPr>
              <w:jc w:val="center"/>
              <w:rPr>
                <w:rFonts w:ascii="Calibri" w:hAnsi="Calibri" w:cs="Calibri"/>
                <w:sz w:val="20"/>
                <w:szCs w:val="20"/>
                <w:lang w:val="en-US"/>
              </w:rPr>
            </w:pPr>
            <w:r>
              <w:rPr>
                <w:rFonts w:ascii="Calibri" w:hAnsi="Calibri" w:cs="Calibri"/>
                <w:sz w:val="20"/>
                <w:szCs w:val="20"/>
                <w:lang w:val="en-US"/>
              </w:rPr>
              <w:t>4 (2)</w:t>
            </w:r>
          </w:p>
        </w:tc>
        <w:tc>
          <w:tcPr>
            <w:tcW w:w="3749" w:type="dxa"/>
          </w:tcPr>
          <w:p w:rsidR="00EB2695" w:rsidRPr="0085179C" w:rsidRDefault="00EB2695" w:rsidP="000F6027">
            <w:pPr>
              <w:rPr>
                <w:rFonts w:ascii="Calibri" w:hAnsi="Calibri" w:cs="Calibri"/>
                <w:color w:val="333E48"/>
                <w:sz w:val="20"/>
                <w:szCs w:val="20"/>
                <w:shd w:val="clear" w:color="auto" w:fill="FFFFFF"/>
                <w:lang w:val="en-US"/>
              </w:rPr>
            </w:pPr>
            <w:r w:rsidRPr="0085179C">
              <w:rPr>
                <w:rFonts w:ascii="Calibri" w:hAnsi="Calibri" w:cs="Calibri"/>
                <w:color w:val="333E48"/>
                <w:sz w:val="20"/>
                <w:szCs w:val="20"/>
                <w:shd w:val="clear" w:color="auto" w:fill="FFFFFF"/>
                <w:lang w:val="en-US"/>
              </w:rPr>
              <w:t>CPP should be kept </w:t>
            </w:r>
            <w:r w:rsidRPr="0085179C">
              <w:rPr>
                <w:rStyle w:val="Zwaar"/>
                <w:rFonts w:ascii="Calibri" w:hAnsi="Calibri" w:cs="Calibri"/>
                <w:b w:val="0"/>
                <w:bCs w:val="0"/>
                <w:color w:val="333E48"/>
                <w:sz w:val="20"/>
                <w:szCs w:val="20"/>
                <w:lang w:val="en-US"/>
              </w:rPr>
              <w:t>below </w:t>
            </w:r>
            <w:r w:rsidRPr="0085179C">
              <w:rPr>
                <w:rFonts w:ascii="Calibri" w:hAnsi="Calibri" w:cs="Calibri"/>
                <w:color w:val="333E48"/>
                <w:sz w:val="20"/>
                <w:szCs w:val="20"/>
                <w:shd w:val="clear" w:color="auto" w:fill="FFFFFF"/>
                <w:lang w:val="en-US"/>
              </w:rPr>
              <w:t>... at all times:</w:t>
            </w:r>
          </w:p>
          <w:p w:rsidR="00EB2695" w:rsidRPr="0085179C" w:rsidRDefault="00EB2695" w:rsidP="000F6027">
            <w:pPr>
              <w:pStyle w:val="Lijstalinea"/>
              <w:numPr>
                <w:ilvl w:val="0"/>
                <w:numId w:val="1"/>
              </w:numPr>
              <w:rPr>
                <w:rFonts w:ascii="Calibri" w:hAnsi="Calibri" w:cs="Calibri"/>
                <w:sz w:val="20"/>
                <w:szCs w:val="20"/>
                <w:lang w:val="en-US"/>
              </w:rPr>
            </w:pPr>
            <w:r w:rsidRPr="0085179C">
              <w:rPr>
                <w:rFonts w:ascii="Calibri" w:hAnsi="Calibri" w:cs="Calibri"/>
                <w:sz w:val="20"/>
                <w:szCs w:val="20"/>
                <w:lang w:val="en-US"/>
              </w:rPr>
              <w:t>100 mmHg</w:t>
            </w:r>
          </w:p>
          <w:p w:rsidR="00EB2695" w:rsidRPr="0085179C" w:rsidRDefault="00EB2695" w:rsidP="000F6027">
            <w:pPr>
              <w:pStyle w:val="Lijstalinea"/>
              <w:numPr>
                <w:ilvl w:val="0"/>
                <w:numId w:val="1"/>
              </w:numPr>
              <w:rPr>
                <w:rFonts w:ascii="Calibri" w:hAnsi="Calibri" w:cs="Calibri"/>
                <w:sz w:val="20"/>
                <w:szCs w:val="20"/>
                <w:lang w:val="en-US"/>
              </w:rPr>
            </w:pPr>
            <w:r w:rsidRPr="0085179C">
              <w:rPr>
                <w:rFonts w:ascii="Calibri" w:hAnsi="Calibri" w:cs="Calibri"/>
                <w:sz w:val="20"/>
                <w:szCs w:val="20"/>
                <w:lang w:val="en-US"/>
              </w:rPr>
              <w:t>90 mmHg</w:t>
            </w:r>
          </w:p>
          <w:p w:rsidR="00EB2695" w:rsidRPr="0085179C" w:rsidRDefault="00EB2695" w:rsidP="000F6027">
            <w:pPr>
              <w:pStyle w:val="Lijstalinea"/>
              <w:numPr>
                <w:ilvl w:val="0"/>
                <w:numId w:val="1"/>
              </w:numPr>
              <w:rPr>
                <w:rFonts w:ascii="Calibri" w:hAnsi="Calibri" w:cs="Calibri"/>
                <w:sz w:val="20"/>
                <w:szCs w:val="20"/>
                <w:lang w:val="en-US"/>
              </w:rPr>
            </w:pPr>
            <w:r w:rsidRPr="0085179C">
              <w:rPr>
                <w:rFonts w:ascii="Calibri" w:hAnsi="Calibri" w:cs="Calibri"/>
                <w:sz w:val="20"/>
                <w:szCs w:val="20"/>
                <w:lang w:val="en-US"/>
              </w:rPr>
              <w:t>80 mmHg</w:t>
            </w:r>
          </w:p>
          <w:p w:rsidR="00EB2695" w:rsidRPr="0085179C" w:rsidRDefault="00EB2695" w:rsidP="000F6027">
            <w:pPr>
              <w:pStyle w:val="Lijstalinea"/>
              <w:numPr>
                <w:ilvl w:val="0"/>
                <w:numId w:val="1"/>
              </w:numPr>
              <w:rPr>
                <w:rFonts w:ascii="Calibri" w:hAnsi="Calibri" w:cs="Calibri"/>
                <w:sz w:val="20"/>
                <w:szCs w:val="20"/>
                <w:lang w:val="en-US"/>
              </w:rPr>
            </w:pPr>
            <w:r w:rsidRPr="0085179C">
              <w:rPr>
                <w:rFonts w:ascii="Calibri" w:hAnsi="Calibri" w:cs="Calibri"/>
                <w:sz w:val="20"/>
                <w:szCs w:val="20"/>
                <w:lang w:val="en-US"/>
              </w:rPr>
              <w:t>70 mmHg</w:t>
            </w:r>
          </w:p>
          <w:p w:rsidR="00EB2695" w:rsidRPr="0085179C" w:rsidRDefault="00EB2695" w:rsidP="000F6027">
            <w:pPr>
              <w:pStyle w:val="Lijstalinea"/>
              <w:numPr>
                <w:ilvl w:val="0"/>
                <w:numId w:val="1"/>
              </w:numPr>
              <w:rPr>
                <w:rFonts w:ascii="Calibri" w:hAnsi="Calibri" w:cs="Calibri"/>
                <w:sz w:val="20"/>
                <w:szCs w:val="20"/>
                <w:lang w:val="en-US"/>
              </w:rPr>
            </w:pPr>
            <w:r w:rsidRPr="0085179C">
              <w:rPr>
                <w:rFonts w:ascii="Calibri" w:hAnsi="Calibri" w:cs="Calibri"/>
                <w:sz w:val="20"/>
                <w:szCs w:val="20"/>
                <w:lang w:val="en-US"/>
              </w:rPr>
              <w:t>other</w:t>
            </w:r>
          </w:p>
        </w:tc>
        <w:tc>
          <w:tcPr>
            <w:tcW w:w="4389" w:type="dxa"/>
          </w:tcPr>
          <w:p w:rsidR="00EB2695" w:rsidRPr="00122425" w:rsidRDefault="00EB2695" w:rsidP="000F6027">
            <w:pPr>
              <w:rPr>
                <w:rFonts w:ascii="Calibri" w:hAnsi="Calibri" w:cs="Calibri"/>
                <w:sz w:val="20"/>
                <w:szCs w:val="20"/>
                <w:lang w:val="en-US"/>
              </w:rPr>
            </w:pPr>
            <w:r w:rsidRPr="00A71018">
              <w:rPr>
                <w:rFonts w:ascii="Calibri" w:hAnsi="Calibri" w:cs="Calibri"/>
                <w:color w:val="000000" w:themeColor="text1"/>
                <w:sz w:val="20"/>
                <w:szCs w:val="20"/>
                <w:lang w:val="en-US"/>
              </w:rPr>
              <w:t xml:space="preserve">Potential side effects of elevated CPP, such as cardiopulmonary complications and brain </w:t>
            </w:r>
            <w:proofErr w:type="spellStart"/>
            <w:r w:rsidRPr="00A71018">
              <w:rPr>
                <w:rFonts w:ascii="Calibri" w:hAnsi="Calibri" w:cs="Calibri"/>
                <w:color w:val="000000" w:themeColor="text1"/>
                <w:sz w:val="20"/>
                <w:szCs w:val="20"/>
                <w:lang w:val="en-US"/>
              </w:rPr>
              <w:t>hyperperfusion</w:t>
            </w:r>
            <w:proofErr w:type="spellEnd"/>
            <w:r w:rsidRPr="00A71018">
              <w:rPr>
                <w:rFonts w:ascii="Calibri" w:hAnsi="Calibri" w:cs="Calibri"/>
                <w:color w:val="000000" w:themeColor="text1"/>
                <w:sz w:val="20"/>
                <w:szCs w:val="20"/>
                <w:lang w:val="en-US"/>
              </w:rPr>
              <w:t>,  may occur in the higher ranges of CPP. In these ranges, additional monitoring for such side effects may be considered.</w:t>
            </w:r>
          </w:p>
        </w:tc>
      </w:tr>
      <w:tr w:rsidR="00EB2695" w:rsidRPr="00FB1487" w:rsidTr="000F6027">
        <w:tc>
          <w:tcPr>
            <w:tcW w:w="924" w:type="dxa"/>
            <w:vMerge/>
          </w:tcPr>
          <w:p w:rsidR="00EB2695" w:rsidRDefault="00EB2695" w:rsidP="000F6027">
            <w:pPr>
              <w:jc w:val="center"/>
              <w:rPr>
                <w:rFonts w:ascii="Calibri" w:hAnsi="Calibri" w:cs="Calibri"/>
                <w:sz w:val="20"/>
                <w:szCs w:val="20"/>
                <w:lang w:val="en-US"/>
              </w:rPr>
            </w:pPr>
          </w:p>
        </w:tc>
        <w:tc>
          <w:tcPr>
            <w:tcW w:w="8138" w:type="dxa"/>
            <w:gridSpan w:val="2"/>
          </w:tcPr>
          <w:p w:rsidR="00EB2695" w:rsidRPr="0085179C" w:rsidRDefault="003B041C" w:rsidP="000F6027">
            <w:pPr>
              <w:jc w:val="both"/>
              <w:rPr>
                <w:rFonts w:ascii="Calibri" w:hAnsi="Calibri" w:cs="Calibri"/>
                <w:color w:val="000000" w:themeColor="text1"/>
                <w:sz w:val="20"/>
                <w:szCs w:val="20"/>
                <w:lang w:val="en-US"/>
              </w:rPr>
            </w:pPr>
            <w:r>
              <w:rPr>
                <w:rFonts w:ascii="Calibri" w:hAnsi="Calibri" w:cs="Calibri"/>
                <w:color w:val="000000" w:themeColor="text1"/>
                <w:sz w:val="20"/>
                <w:szCs w:val="20"/>
                <w:lang w:val="en-US"/>
              </w:rPr>
              <w:t>Rationale:  There wa</w:t>
            </w:r>
            <w:r w:rsidR="00EB2695" w:rsidRPr="0085179C">
              <w:rPr>
                <w:rFonts w:ascii="Calibri" w:hAnsi="Calibri" w:cs="Calibri"/>
                <w:color w:val="000000" w:themeColor="text1"/>
                <w:sz w:val="20"/>
                <w:szCs w:val="20"/>
                <w:lang w:val="en-US"/>
              </w:rPr>
              <w:t>s no consensus on the value of the absolute upper border of the zone in which the safest CPP (</w:t>
            </w:r>
            <w:r>
              <w:rPr>
                <w:rFonts w:ascii="Calibri" w:hAnsi="Calibri" w:cs="Calibri"/>
                <w:color w:val="000000" w:themeColor="text1"/>
                <w:sz w:val="20"/>
                <w:szCs w:val="20"/>
                <w:lang w:val="en-US"/>
              </w:rPr>
              <w:t>i.e. target CPP) varies. There wa</w:t>
            </w:r>
            <w:r w:rsidR="00EB2695" w:rsidRPr="0085179C">
              <w:rPr>
                <w:rFonts w:ascii="Calibri" w:hAnsi="Calibri" w:cs="Calibri"/>
                <w:color w:val="000000" w:themeColor="text1"/>
                <w:sz w:val="20"/>
                <w:szCs w:val="20"/>
                <w:lang w:val="en-US"/>
              </w:rPr>
              <w:t>s general consensus that pharmacological measures to lower CPP (by other means than increasing sedatives) are controversial. However, the experts do think that higher ranges of CPP may al</w:t>
            </w:r>
            <w:r>
              <w:rPr>
                <w:rFonts w:ascii="Calibri" w:hAnsi="Calibri" w:cs="Calibri"/>
                <w:color w:val="000000" w:themeColor="text1"/>
                <w:sz w:val="20"/>
                <w:szCs w:val="20"/>
                <w:lang w:val="en-US"/>
              </w:rPr>
              <w:t>so be harmful to the brain. It wa</w:t>
            </w:r>
            <w:r w:rsidR="00EB2695" w:rsidRPr="0085179C">
              <w:rPr>
                <w:rFonts w:ascii="Calibri" w:hAnsi="Calibri" w:cs="Calibri"/>
                <w:color w:val="000000" w:themeColor="text1"/>
                <w:sz w:val="20"/>
                <w:szCs w:val="20"/>
                <w:lang w:val="en-US"/>
              </w:rPr>
              <w:t xml:space="preserve">s decided to reformulate the statement in “Potential side effects of elevated CPP, such as cardiopulmonary complications and brain </w:t>
            </w:r>
            <w:proofErr w:type="spellStart"/>
            <w:r w:rsidR="00EB2695" w:rsidRPr="0085179C">
              <w:rPr>
                <w:rFonts w:ascii="Calibri" w:hAnsi="Calibri" w:cs="Calibri"/>
                <w:color w:val="000000" w:themeColor="text1"/>
                <w:sz w:val="20"/>
                <w:szCs w:val="20"/>
                <w:lang w:val="en-US"/>
              </w:rPr>
              <w:t>hyperperfusion</w:t>
            </w:r>
            <w:proofErr w:type="spellEnd"/>
            <w:r w:rsidR="00EB2695" w:rsidRPr="0085179C">
              <w:rPr>
                <w:rFonts w:ascii="Calibri" w:hAnsi="Calibri" w:cs="Calibri"/>
                <w:color w:val="000000" w:themeColor="text1"/>
                <w:sz w:val="20"/>
                <w:szCs w:val="20"/>
                <w:lang w:val="en-US"/>
              </w:rPr>
              <w:t xml:space="preserve">,  may occur in the higher ranges of CPP. In these ranges, additional monitoring for such side effects may be considered.” In the online survey round 3, the above statement was presented together with a request to reply </w:t>
            </w:r>
            <w:r>
              <w:rPr>
                <w:rFonts w:ascii="Calibri" w:hAnsi="Calibri" w:cs="Calibri"/>
                <w:color w:val="000000" w:themeColor="text1"/>
                <w:sz w:val="20"/>
                <w:szCs w:val="20"/>
                <w:lang w:val="en-US"/>
              </w:rPr>
              <w:t>whether or not the expert agreed</w:t>
            </w:r>
            <w:r w:rsidR="00EB2695" w:rsidRPr="0085179C">
              <w:rPr>
                <w:rFonts w:ascii="Calibri" w:hAnsi="Calibri" w:cs="Calibri"/>
                <w:color w:val="000000" w:themeColor="text1"/>
                <w:sz w:val="20"/>
                <w:szCs w:val="20"/>
                <w:lang w:val="en-US"/>
              </w:rPr>
              <w:t xml:space="preserve"> with it. The explanato</w:t>
            </w:r>
            <w:r>
              <w:rPr>
                <w:rFonts w:ascii="Calibri" w:hAnsi="Calibri" w:cs="Calibri"/>
                <w:color w:val="000000" w:themeColor="text1"/>
                <w:sz w:val="20"/>
                <w:szCs w:val="20"/>
                <w:lang w:val="en-US"/>
              </w:rPr>
              <w:t xml:space="preserve">ry notes of this statement </w:t>
            </w:r>
            <w:r w:rsidR="00EB2695" w:rsidRPr="0085179C">
              <w:rPr>
                <w:rFonts w:ascii="Calibri" w:hAnsi="Calibri" w:cs="Calibri"/>
                <w:color w:val="000000" w:themeColor="text1"/>
                <w:sz w:val="20"/>
                <w:szCs w:val="20"/>
                <w:lang w:val="en-US"/>
              </w:rPr>
              <w:t xml:space="preserve">clarify that this statement is in line with statement 3 (lower border), but that there are insufficient data available to define an absolute upper border of the zone in which the safest CPP (i.e. target CPP) varies. </w:t>
            </w:r>
          </w:p>
        </w:tc>
      </w:tr>
      <w:tr w:rsidR="00EB2695" w:rsidRPr="00FB1487" w:rsidTr="000F6027">
        <w:tc>
          <w:tcPr>
            <w:tcW w:w="924" w:type="dxa"/>
            <w:vMerge w:val="restart"/>
          </w:tcPr>
          <w:p w:rsidR="00EB2695" w:rsidRDefault="00EB2695" w:rsidP="000F6027">
            <w:pPr>
              <w:jc w:val="center"/>
              <w:rPr>
                <w:rFonts w:ascii="Calibri" w:hAnsi="Calibri" w:cs="Calibri"/>
                <w:sz w:val="20"/>
                <w:szCs w:val="20"/>
                <w:lang w:val="en-US"/>
              </w:rPr>
            </w:pPr>
            <w:r>
              <w:rPr>
                <w:rFonts w:ascii="Calibri" w:hAnsi="Calibri" w:cs="Calibri"/>
                <w:sz w:val="20"/>
                <w:szCs w:val="20"/>
                <w:lang w:val="en-US"/>
              </w:rPr>
              <w:t>5 (2)</w:t>
            </w:r>
          </w:p>
        </w:tc>
        <w:tc>
          <w:tcPr>
            <w:tcW w:w="3749" w:type="dxa"/>
          </w:tcPr>
          <w:p w:rsidR="00EB2695" w:rsidRPr="00353B0E" w:rsidRDefault="00EB2695" w:rsidP="000F6027">
            <w:pPr>
              <w:rPr>
                <w:rFonts w:ascii="Calibri" w:hAnsi="Calibri" w:cs="Calibri"/>
                <w:color w:val="333E48"/>
                <w:sz w:val="20"/>
                <w:szCs w:val="20"/>
                <w:shd w:val="clear" w:color="auto" w:fill="FFFFFF"/>
                <w:lang w:val="en-US"/>
              </w:rPr>
            </w:pPr>
            <w:r w:rsidRPr="00353B0E">
              <w:rPr>
                <w:rFonts w:ascii="Calibri" w:hAnsi="Calibri" w:cs="Calibri"/>
                <w:color w:val="333333"/>
                <w:sz w:val="20"/>
                <w:szCs w:val="20"/>
                <w:shd w:val="clear" w:color="auto" w:fill="FFFFFF"/>
                <w:lang w:val="en-US"/>
              </w:rPr>
              <w:t>For episodes of low CPP, the intensity (depth) </w:t>
            </w:r>
            <w:r w:rsidRPr="00353B0E">
              <w:rPr>
                <w:rStyle w:val="Zwaar"/>
                <w:rFonts w:ascii="Calibri" w:hAnsi="Calibri" w:cs="Calibri"/>
                <w:b w:val="0"/>
                <w:bCs w:val="0"/>
                <w:color w:val="333333"/>
                <w:sz w:val="20"/>
                <w:szCs w:val="20"/>
                <w:lang w:val="en-US"/>
              </w:rPr>
              <w:t>AND</w:t>
            </w:r>
            <w:r w:rsidRPr="00353B0E">
              <w:rPr>
                <w:rFonts w:ascii="Calibri" w:hAnsi="Calibri" w:cs="Calibri"/>
                <w:color w:val="333333"/>
                <w:sz w:val="20"/>
                <w:szCs w:val="20"/>
                <w:shd w:val="clear" w:color="auto" w:fill="FFFFFF"/>
                <w:lang w:val="en-US"/>
              </w:rPr>
              <w:t> duration are equally determinant in terms of association with poor outcome.</w:t>
            </w:r>
          </w:p>
        </w:tc>
        <w:tc>
          <w:tcPr>
            <w:tcW w:w="4389" w:type="dxa"/>
          </w:tcPr>
          <w:p w:rsidR="00EB2695" w:rsidRPr="00A71018" w:rsidRDefault="00EB2695" w:rsidP="000F6027">
            <w:pPr>
              <w:rPr>
                <w:rFonts w:ascii="Calibri" w:hAnsi="Calibri" w:cs="Calibri"/>
                <w:color w:val="000000" w:themeColor="text1"/>
                <w:sz w:val="20"/>
                <w:szCs w:val="20"/>
                <w:lang w:val="en-US"/>
              </w:rPr>
            </w:pPr>
            <w:r w:rsidRPr="00A71018">
              <w:rPr>
                <w:rFonts w:ascii="Calibri" w:hAnsi="Calibri" w:cs="Calibri"/>
                <w:color w:val="000000" w:themeColor="text1"/>
                <w:sz w:val="20"/>
                <w:szCs w:val="20"/>
                <w:lang w:val="en-US"/>
              </w:rPr>
              <w:t>Both intensity and duration of low CPP insults are determinant in terms of association with poor outcome.</w:t>
            </w:r>
          </w:p>
        </w:tc>
      </w:tr>
      <w:tr w:rsidR="00EB2695" w:rsidRPr="00FB1487" w:rsidTr="000F6027">
        <w:tc>
          <w:tcPr>
            <w:tcW w:w="924" w:type="dxa"/>
            <w:vMerge/>
          </w:tcPr>
          <w:p w:rsidR="00EB2695" w:rsidRDefault="00EB2695" w:rsidP="000F6027">
            <w:pPr>
              <w:jc w:val="center"/>
              <w:rPr>
                <w:rFonts w:ascii="Calibri" w:hAnsi="Calibri" w:cs="Calibri"/>
                <w:sz w:val="20"/>
                <w:szCs w:val="20"/>
                <w:lang w:val="en-US"/>
              </w:rPr>
            </w:pPr>
          </w:p>
        </w:tc>
        <w:tc>
          <w:tcPr>
            <w:tcW w:w="8138" w:type="dxa"/>
            <w:gridSpan w:val="2"/>
          </w:tcPr>
          <w:p w:rsidR="00EB2695" w:rsidRPr="00F7767A" w:rsidRDefault="00EB2695" w:rsidP="000F6027">
            <w:pPr>
              <w:jc w:val="both"/>
              <w:rPr>
                <w:rFonts w:ascii="Calibri" w:hAnsi="Calibri" w:cs="Calibri"/>
                <w:color w:val="000000" w:themeColor="text1"/>
                <w:sz w:val="20"/>
                <w:szCs w:val="20"/>
                <w:lang w:val="en-US"/>
              </w:rPr>
            </w:pPr>
            <w:r w:rsidRPr="00F7767A">
              <w:rPr>
                <w:rFonts w:ascii="Calibri" w:hAnsi="Calibri" w:cs="Calibri"/>
                <w:color w:val="000000" w:themeColor="text1"/>
                <w:sz w:val="20"/>
                <w:szCs w:val="20"/>
                <w:lang w:val="en-US"/>
              </w:rPr>
              <w:t>Rationale:  There was some discussion on the initial phrasing ‘equally’ and what it is supposed to mean. It does not mean that depth and duration are exactly and precisely equally determinant in terms of association with poor outcome, but that there is no evidence to support that either depth or duration is clearly more determinant. It was decided to rephrase ‘equally’ to ‘both’. There was no question on this statement in online survey round 3, as consensus already existed.</w:t>
            </w:r>
          </w:p>
        </w:tc>
      </w:tr>
      <w:tr w:rsidR="00EB2695" w:rsidRPr="00FB1487" w:rsidTr="000F6027">
        <w:tc>
          <w:tcPr>
            <w:tcW w:w="924" w:type="dxa"/>
            <w:vMerge w:val="restart"/>
          </w:tcPr>
          <w:p w:rsidR="00EB2695" w:rsidRDefault="00EB2695" w:rsidP="000F6027">
            <w:pPr>
              <w:jc w:val="center"/>
              <w:rPr>
                <w:rFonts w:ascii="Calibri" w:hAnsi="Calibri" w:cs="Calibri"/>
                <w:sz w:val="20"/>
                <w:szCs w:val="20"/>
                <w:lang w:val="en-US"/>
              </w:rPr>
            </w:pPr>
            <w:r>
              <w:rPr>
                <w:rFonts w:ascii="Calibri" w:hAnsi="Calibri" w:cs="Calibri"/>
                <w:sz w:val="20"/>
                <w:szCs w:val="20"/>
                <w:lang w:val="en-US"/>
              </w:rPr>
              <w:t xml:space="preserve">6 (2) </w:t>
            </w:r>
          </w:p>
        </w:tc>
        <w:tc>
          <w:tcPr>
            <w:tcW w:w="3749" w:type="dxa"/>
          </w:tcPr>
          <w:p w:rsidR="00EB2695" w:rsidRPr="00353B0E" w:rsidRDefault="00EB2695" w:rsidP="000F6027">
            <w:pPr>
              <w:rPr>
                <w:rFonts w:ascii="Calibri" w:hAnsi="Calibri" w:cs="Calibri"/>
                <w:color w:val="333E48"/>
                <w:sz w:val="20"/>
                <w:szCs w:val="20"/>
                <w:shd w:val="clear" w:color="auto" w:fill="FFFFFF"/>
                <w:lang w:val="en-US"/>
              </w:rPr>
            </w:pPr>
            <w:r w:rsidRPr="00353B0E">
              <w:rPr>
                <w:rFonts w:ascii="Calibri" w:hAnsi="Calibri" w:cs="Calibri"/>
                <w:color w:val="333333"/>
                <w:sz w:val="20"/>
                <w:szCs w:val="20"/>
                <w:shd w:val="clear" w:color="auto" w:fill="FFFFFF"/>
                <w:lang w:val="en-US"/>
              </w:rPr>
              <w:t>For episodes of high CPP, the intensity (level of elevation) </w:t>
            </w:r>
            <w:r w:rsidRPr="00353B0E">
              <w:rPr>
                <w:rStyle w:val="Zwaar"/>
                <w:rFonts w:ascii="Calibri" w:hAnsi="Calibri" w:cs="Calibri"/>
                <w:b w:val="0"/>
                <w:bCs w:val="0"/>
                <w:color w:val="333333"/>
                <w:sz w:val="20"/>
                <w:szCs w:val="20"/>
                <w:lang w:val="en-US"/>
              </w:rPr>
              <w:t>AND</w:t>
            </w:r>
            <w:r w:rsidRPr="00353B0E">
              <w:rPr>
                <w:rFonts w:ascii="Calibri" w:hAnsi="Calibri" w:cs="Calibri"/>
                <w:color w:val="333333"/>
                <w:sz w:val="20"/>
                <w:szCs w:val="20"/>
                <w:shd w:val="clear" w:color="auto" w:fill="FFFFFF"/>
                <w:lang w:val="en-US"/>
              </w:rPr>
              <w:t> duration are equally determinant in terms of association with poor outcome.</w:t>
            </w:r>
          </w:p>
        </w:tc>
        <w:tc>
          <w:tcPr>
            <w:tcW w:w="4389" w:type="dxa"/>
          </w:tcPr>
          <w:p w:rsidR="00EB2695" w:rsidRPr="00A71018" w:rsidRDefault="00EB2695" w:rsidP="000F6027">
            <w:pPr>
              <w:rPr>
                <w:rFonts w:ascii="Calibri" w:hAnsi="Calibri" w:cs="Calibri"/>
                <w:color w:val="000000" w:themeColor="text1"/>
                <w:sz w:val="20"/>
                <w:szCs w:val="20"/>
                <w:lang w:val="en-US"/>
              </w:rPr>
            </w:pPr>
            <w:r w:rsidRPr="00A71018">
              <w:rPr>
                <w:rFonts w:ascii="Calibri" w:hAnsi="Calibri" w:cs="Calibri"/>
                <w:color w:val="000000" w:themeColor="text1"/>
                <w:sz w:val="20"/>
                <w:szCs w:val="20"/>
                <w:lang w:val="en-US"/>
              </w:rPr>
              <w:t>Both intensity and duration of high CPP insults are determinant in terms of association with poor outcome.</w:t>
            </w:r>
          </w:p>
        </w:tc>
      </w:tr>
      <w:tr w:rsidR="00EB2695" w:rsidRPr="00FB1487" w:rsidTr="000F6027">
        <w:tc>
          <w:tcPr>
            <w:tcW w:w="924" w:type="dxa"/>
            <w:vMerge/>
          </w:tcPr>
          <w:p w:rsidR="00EB2695" w:rsidRDefault="00EB2695" w:rsidP="000F6027">
            <w:pPr>
              <w:jc w:val="center"/>
              <w:rPr>
                <w:rFonts w:ascii="Calibri" w:hAnsi="Calibri" w:cs="Calibri"/>
                <w:sz w:val="20"/>
                <w:szCs w:val="20"/>
                <w:lang w:val="en-US"/>
              </w:rPr>
            </w:pPr>
          </w:p>
        </w:tc>
        <w:tc>
          <w:tcPr>
            <w:tcW w:w="8138" w:type="dxa"/>
            <w:gridSpan w:val="2"/>
          </w:tcPr>
          <w:p w:rsidR="00EB2695" w:rsidRPr="007947E2" w:rsidRDefault="00EB2695" w:rsidP="000F6027">
            <w:pPr>
              <w:jc w:val="both"/>
              <w:rPr>
                <w:rFonts w:ascii="Calibri" w:hAnsi="Calibri" w:cs="Calibri"/>
                <w:color w:val="000000" w:themeColor="text1"/>
                <w:sz w:val="20"/>
                <w:szCs w:val="20"/>
                <w:lang w:val="en-US"/>
              </w:rPr>
            </w:pPr>
            <w:r w:rsidRPr="007947E2">
              <w:rPr>
                <w:rFonts w:ascii="Calibri" w:hAnsi="Calibri" w:cs="Calibri"/>
                <w:color w:val="000000" w:themeColor="text1"/>
                <w:sz w:val="20"/>
                <w:szCs w:val="20"/>
                <w:lang w:val="en-US"/>
              </w:rPr>
              <w:t>Rationale:  There was some discussion on the initial phrasing ‘equally’ and what it is supposed to mean. It does not mean that depth and duration are exactly and precisely equally determinant in terms of association with poor outcome, but that there is no evidence to support that either depth or duration is clearly more determinant. It was decided to rephrase ‘equally’ to ‘both’. Also, the relation of statement 6 with statement 4 was discussed. There is no conflict between the acceptance of statement 6 in that insults of elevated CPP exist in terms of both level of elevation and duration on the one hand and there being no consensus on the absolute upper border of the playground in which safe CPP can vary. There was no question on this statement in online survey round 3, as consensus already existed.</w:t>
            </w:r>
          </w:p>
        </w:tc>
      </w:tr>
      <w:tr w:rsidR="00EB2695" w:rsidRPr="00122425" w:rsidTr="000F6027">
        <w:tc>
          <w:tcPr>
            <w:tcW w:w="924" w:type="dxa"/>
            <w:vMerge w:val="restart"/>
          </w:tcPr>
          <w:p w:rsidR="00EB2695" w:rsidRDefault="00EB2695" w:rsidP="000F6027">
            <w:pPr>
              <w:jc w:val="center"/>
              <w:rPr>
                <w:rFonts w:ascii="Calibri" w:hAnsi="Calibri" w:cs="Calibri"/>
                <w:sz w:val="20"/>
                <w:szCs w:val="20"/>
                <w:lang w:val="en-US"/>
              </w:rPr>
            </w:pPr>
            <w:r>
              <w:rPr>
                <w:rFonts w:ascii="Calibri" w:hAnsi="Calibri" w:cs="Calibri"/>
                <w:sz w:val="20"/>
                <w:szCs w:val="20"/>
                <w:lang w:val="en-US"/>
              </w:rPr>
              <w:t>12 (4)</w:t>
            </w:r>
          </w:p>
        </w:tc>
        <w:tc>
          <w:tcPr>
            <w:tcW w:w="3749" w:type="dxa"/>
          </w:tcPr>
          <w:p w:rsidR="00EB2695" w:rsidRPr="00E715B6" w:rsidRDefault="00EB2695" w:rsidP="000F6027">
            <w:pPr>
              <w:rPr>
                <w:rFonts w:ascii="Calibri" w:hAnsi="Calibri" w:cs="Calibri"/>
                <w:color w:val="333333"/>
                <w:sz w:val="20"/>
                <w:szCs w:val="20"/>
                <w:shd w:val="clear" w:color="auto" w:fill="FFFFFF"/>
                <w:lang w:val="en-US"/>
              </w:rPr>
            </w:pPr>
            <w:r w:rsidRPr="00E715B6">
              <w:rPr>
                <w:rFonts w:ascii="Calibri" w:hAnsi="Calibri" w:cs="Calibri"/>
                <w:color w:val="333E48"/>
                <w:sz w:val="20"/>
                <w:szCs w:val="20"/>
                <w:shd w:val="clear" w:color="auto" w:fill="FFFFFF"/>
                <w:lang w:val="en-US"/>
              </w:rPr>
              <w:t xml:space="preserve">Current tools to estimate CA status are insufficiently understood. </w:t>
            </w:r>
            <w:r w:rsidRPr="00E715B6">
              <w:rPr>
                <w:rFonts w:ascii="Calibri" w:hAnsi="Calibri" w:cs="Calibri"/>
                <w:color w:val="333E48"/>
                <w:sz w:val="20"/>
                <w:szCs w:val="20"/>
                <w:shd w:val="clear" w:color="auto" w:fill="FFFFFF"/>
              </w:rPr>
              <w:t>The different indices produce different information.</w:t>
            </w:r>
          </w:p>
        </w:tc>
        <w:tc>
          <w:tcPr>
            <w:tcW w:w="4389" w:type="dxa"/>
          </w:tcPr>
          <w:p w:rsidR="00EB2695" w:rsidRPr="00A71018" w:rsidRDefault="00EB2695" w:rsidP="000F6027">
            <w:pPr>
              <w:rPr>
                <w:rFonts w:ascii="Calibri" w:hAnsi="Calibri" w:cs="Calibri"/>
                <w:color w:val="000000" w:themeColor="text1"/>
                <w:sz w:val="20"/>
                <w:szCs w:val="20"/>
                <w:lang w:val="en-US"/>
              </w:rPr>
            </w:pPr>
            <w:r w:rsidRPr="00A71018">
              <w:rPr>
                <w:rFonts w:ascii="Calibri" w:hAnsi="Calibri" w:cs="Calibri"/>
                <w:color w:val="000000" w:themeColor="text1"/>
                <w:sz w:val="20"/>
                <w:szCs w:val="20"/>
                <w:lang w:val="en-US"/>
              </w:rPr>
              <w:t>Current methods to estimate CA status are insufficiently understood. The different indices produce different information.</w:t>
            </w:r>
          </w:p>
        </w:tc>
      </w:tr>
      <w:tr w:rsidR="00EB2695" w:rsidRPr="00FB1487" w:rsidTr="000F6027">
        <w:tc>
          <w:tcPr>
            <w:tcW w:w="924" w:type="dxa"/>
            <w:vMerge/>
          </w:tcPr>
          <w:p w:rsidR="00EB2695" w:rsidRDefault="00EB2695" w:rsidP="000F6027">
            <w:pPr>
              <w:jc w:val="center"/>
              <w:rPr>
                <w:rFonts w:ascii="Calibri" w:hAnsi="Calibri" w:cs="Calibri"/>
                <w:sz w:val="20"/>
                <w:szCs w:val="20"/>
                <w:lang w:val="en-US"/>
              </w:rPr>
            </w:pPr>
          </w:p>
        </w:tc>
        <w:tc>
          <w:tcPr>
            <w:tcW w:w="8138" w:type="dxa"/>
            <w:gridSpan w:val="2"/>
          </w:tcPr>
          <w:p w:rsidR="00EB2695" w:rsidRPr="00E715B6" w:rsidRDefault="00EB2695" w:rsidP="000F6027">
            <w:pPr>
              <w:rPr>
                <w:rFonts w:ascii="Calibri" w:hAnsi="Calibri" w:cs="Calibri"/>
                <w:color w:val="000000" w:themeColor="text1"/>
                <w:sz w:val="20"/>
                <w:szCs w:val="20"/>
                <w:lang w:val="en-US"/>
              </w:rPr>
            </w:pPr>
            <w:r w:rsidRPr="00E715B6">
              <w:rPr>
                <w:rFonts w:ascii="Calibri" w:hAnsi="Calibri" w:cs="Calibri"/>
                <w:color w:val="000000" w:themeColor="text1"/>
                <w:sz w:val="20"/>
                <w:szCs w:val="20"/>
                <w:lang w:val="en-US"/>
              </w:rPr>
              <w:t xml:space="preserve">Rationale: In the discussion, it was commented that we should replace the word ‘tool’ by ‘method’ and specify what we mean by ‘methods’. The term ‘method’ refers to the combination of at least two measured physiological values or signals, one being a surrogate for CBF and the other reflecting arterial blood pressure and its fluctuations, and the software analyzing the relation between both (either in the time or in the </w:t>
            </w:r>
            <w:r w:rsidR="003A5339">
              <w:rPr>
                <w:rFonts w:ascii="Calibri" w:hAnsi="Calibri" w:cs="Calibri"/>
                <w:color w:val="000000" w:themeColor="text1"/>
                <w:sz w:val="20"/>
                <w:szCs w:val="20"/>
                <w:lang w:val="en-US"/>
              </w:rPr>
              <w:t>frequency domain).  There was</w:t>
            </w:r>
            <w:r w:rsidRPr="00E715B6">
              <w:rPr>
                <w:rFonts w:ascii="Calibri" w:hAnsi="Calibri" w:cs="Calibri"/>
                <w:color w:val="000000" w:themeColor="text1"/>
                <w:sz w:val="20"/>
                <w:szCs w:val="20"/>
                <w:lang w:val="en-US"/>
              </w:rPr>
              <w:t xml:space="preserve"> no question on this statement in online survey roun</w:t>
            </w:r>
            <w:r w:rsidR="003A5339">
              <w:rPr>
                <w:rFonts w:ascii="Calibri" w:hAnsi="Calibri" w:cs="Calibri"/>
                <w:color w:val="000000" w:themeColor="text1"/>
                <w:sz w:val="20"/>
                <w:szCs w:val="20"/>
                <w:lang w:val="en-US"/>
              </w:rPr>
              <w:t>d 3, as consensus already existed</w:t>
            </w:r>
            <w:r w:rsidRPr="00E715B6">
              <w:rPr>
                <w:rFonts w:ascii="Calibri" w:hAnsi="Calibri" w:cs="Calibri"/>
                <w:color w:val="000000" w:themeColor="text1"/>
                <w:sz w:val="20"/>
                <w:szCs w:val="20"/>
                <w:lang w:val="en-US"/>
              </w:rPr>
              <w:t>.</w:t>
            </w:r>
          </w:p>
        </w:tc>
      </w:tr>
      <w:tr w:rsidR="00EB2695" w:rsidRPr="00FB1487" w:rsidTr="000F6027">
        <w:tc>
          <w:tcPr>
            <w:tcW w:w="924" w:type="dxa"/>
            <w:vMerge w:val="restart"/>
          </w:tcPr>
          <w:p w:rsidR="00EB2695" w:rsidRDefault="00EB2695" w:rsidP="000F6027">
            <w:pPr>
              <w:jc w:val="center"/>
              <w:rPr>
                <w:rFonts w:ascii="Calibri" w:hAnsi="Calibri" w:cs="Calibri"/>
                <w:sz w:val="20"/>
                <w:szCs w:val="20"/>
                <w:lang w:val="en-US"/>
              </w:rPr>
            </w:pPr>
            <w:r>
              <w:rPr>
                <w:rFonts w:ascii="Calibri" w:hAnsi="Calibri" w:cs="Calibri"/>
                <w:sz w:val="20"/>
                <w:szCs w:val="20"/>
                <w:lang w:val="en-US"/>
              </w:rPr>
              <w:t>19 &amp; 20 (6)</w:t>
            </w:r>
          </w:p>
        </w:tc>
        <w:tc>
          <w:tcPr>
            <w:tcW w:w="3749" w:type="dxa"/>
          </w:tcPr>
          <w:p w:rsidR="00EB2695" w:rsidRPr="00B7218D" w:rsidRDefault="00EB2695" w:rsidP="000F6027">
            <w:pPr>
              <w:rPr>
                <w:rFonts w:ascii="Calibri" w:hAnsi="Calibri" w:cs="Calibri"/>
                <w:color w:val="333E48"/>
                <w:sz w:val="20"/>
                <w:szCs w:val="20"/>
                <w:shd w:val="clear" w:color="auto" w:fill="FFFFFF"/>
                <w:lang w:val="en-US"/>
              </w:rPr>
            </w:pPr>
            <w:r w:rsidRPr="00B7218D">
              <w:rPr>
                <w:rFonts w:ascii="Calibri" w:hAnsi="Calibri" w:cs="Calibri"/>
                <w:color w:val="333E48"/>
                <w:sz w:val="20"/>
                <w:szCs w:val="20"/>
                <w:shd w:val="clear" w:color="auto" w:fill="FFFFFF"/>
                <w:lang w:val="en-US"/>
              </w:rPr>
              <w:t>For a clinical measurement/monitoring method to represent CA requires:</w:t>
            </w:r>
          </w:p>
          <w:p w:rsidR="00EB2695" w:rsidRPr="00B7218D" w:rsidRDefault="00EB2695" w:rsidP="000F6027">
            <w:pPr>
              <w:pStyle w:val="Lijstalinea"/>
              <w:numPr>
                <w:ilvl w:val="0"/>
                <w:numId w:val="1"/>
              </w:numPr>
              <w:rPr>
                <w:rFonts w:ascii="Calibri" w:hAnsi="Calibri" w:cs="Calibri"/>
                <w:color w:val="333333"/>
                <w:sz w:val="20"/>
                <w:szCs w:val="20"/>
                <w:shd w:val="clear" w:color="auto" w:fill="FFFFFF"/>
                <w:lang w:val="en-US"/>
              </w:rPr>
            </w:pPr>
            <w:r w:rsidRPr="00B7218D">
              <w:rPr>
                <w:rFonts w:ascii="Calibri" w:hAnsi="Calibri" w:cs="Calibri"/>
                <w:color w:val="333333"/>
                <w:sz w:val="20"/>
                <w:szCs w:val="20"/>
                <w:shd w:val="clear" w:color="auto" w:fill="FFFFFF"/>
                <w:lang w:val="en-US"/>
              </w:rPr>
              <w:t xml:space="preserve">validation against </w:t>
            </w:r>
            <w:proofErr w:type="spellStart"/>
            <w:r w:rsidRPr="00B7218D">
              <w:rPr>
                <w:rFonts w:ascii="Calibri" w:hAnsi="Calibri" w:cs="Calibri"/>
                <w:color w:val="333333"/>
                <w:sz w:val="20"/>
                <w:szCs w:val="20"/>
                <w:shd w:val="clear" w:color="auto" w:fill="FFFFFF"/>
                <w:lang w:val="en-US"/>
              </w:rPr>
              <w:t>pial</w:t>
            </w:r>
            <w:proofErr w:type="spellEnd"/>
            <w:r w:rsidRPr="00B7218D">
              <w:rPr>
                <w:rFonts w:ascii="Calibri" w:hAnsi="Calibri" w:cs="Calibri"/>
                <w:color w:val="333333"/>
                <w:sz w:val="20"/>
                <w:szCs w:val="20"/>
                <w:shd w:val="clear" w:color="auto" w:fill="FFFFFF"/>
                <w:lang w:val="en-US"/>
              </w:rPr>
              <w:t xml:space="preserve"> arteriolar diameter and flow velocity changes in an animal model.</w:t>
            </w:r>
          </w:p>
          <w:p w:rsidR="00EB2695" w:rsidRPr="00B7218D" w:rsidRDefault="00EB2695" w:rsidP="000F6027">
            <w:pPr>
              <w:pStyle w:val="Lijstalinea"/>
              <w:numPr>
                <w:ilvl w:val="0"/>
                <w:numId w:val="1"/>
              </w:numPr>
              <w:rPr>
                <w:rFonts w:ascii="Calibri" w:hAnsi="Calibri" w:cs="Calibri"/>
                <w:color w:val="333333"/>
                <w:sz w:val="20"/>
                <w:szCs w:val="20"/>
                <w:shd w:val="clear" w:color="auto" w:fill="FFFFFF"/>
                <w:lang w:val="en-US"/>
              </w:rPr>
            </w:pPr>
            <w:r w:rsidRPr="00B7218D">
              <w:rPr>
                <w:rFonts w:ascii="Calibri" w:hAnsi="Calibri" w:cs="Calibri"/>
                <w:color w:val="333333"/>
                <w:sz w:val="20"/>
                <w:szCs w:val="20"/>
                <w:shd w:val="clear" w:color="auto" w:fill="FFFFFF"/>
                <w:lang w:val="en-US"/>
              </w:rPr>
              <w:t>validation against mathematical models of CA.</w:t>
            </w:r>
          </w:p>
          <w:p w:rsidR="00EB2695" w:rsidRPr="00B7218D" w:rsidRDefault="00EB2695" w:rsidP="000F6027">
            <w:pPr>
              <w:pStyle w:val="Lijstalinea"/>
              <w:numPr>
                <w:ilvl w:val="0"/>
                <w:numId w:val="1"/>
              </w:numPr>
              <w:rPr>
                <w:rFonts w:ascii="Calibri" w:hAnsi="Calibri" w:cs="Calibri"/>
                <w:color w:val="333333"/>
                <w:sz w:val="20"/>
                <w:szCs w:val="20"/>
                <w:shd w:val="clear" w:color="auto" w:fill="FFFFFF"/>
                <w:lang w:val="en-US"/>
              </w:rPr>
            </w:pPr>
            <w:r w:rsidRPr="00B7218D">
              <w:rPr>
                <w:rFonts w:ascii="Calibri" w:hAnsi="Calibri" w:cs="Calibri"/>
                <w:color w:val="333333"/>
                <w:sz w:val="20"/>
                <w:szCs w:val="20"/>
                <w:shd w:val="clear" w:color="auto" w:fill="FFFFFF"/>
                <w:lang w:val="en-US"/>
              </w:rPr>
              <w:t>validation against outcome in prospective patient cohorts.</w:t>
            </w:r>
          </w:p>
        </w:tc>
        <w:tc>
          <w:tcPr>
            <w:tcW w:w="4389" w:type="dxa"/>
          </w:tcPr>
          <w:p w:rsidR="00EB2695" w:rsidRDefault="00EB2695" w:rsidP="000F6027">
            <w:pPr>
              <w:rPr>
                <w:rFonts w:ascii="Calibri" w:hAnsi="Calibri" w:cs="Calibri"/>
                <w:color w:val="000000" w:themeColor="text1"/>
                <w:sz w:val="20"/>
                <w:szCs w:val="20"/>
                <w:lang w:val="en-US"/>
              </w:rPr>
            </w:pPr>
            <w:r>
              <w:rPr>
                <w:rFonts w:ascii="Calibri" w:hAnsi="Calibri" w:cs="Calibri"/>
                <w:color w:val="000000" w:themeColor="text1"/>
                <w:sz w:val="20"/>
                <w:szCs w:val="20"/>
                <w:lang w:val="en-US"/>
              </w:rPr>
              <w:t>This was split into two statements:</w:t>
            </w:r>
          </w:p>
          <w:p w:rsidR="00EB2695" w:rsidRDefault="00EB2695" w:rsidP="000F6027">
            <w:pPr>
              <w:pStyle w:val="Lijstalinea"/>
              <w:numPr>
                <w:ilvl w:val="0"/>
                <w:numId w:val="1"/>
              </w:numPr>
              <w:rPr>
                <w:rFonts w:ascii="Calibri" w:hAnsi="Calibri" w:cs="Calibri"/>
                <w:color w:val="000000" w:themeColor="text1"/>
                <w:sz w:val="20"/>
                <w:szCs w:val="20"/>
                <w:lang w:val="en-US"/>
              </w:rPr>
            </w:pPr>
            <w:r w:rsidRPr="00A71018">
              <w:rPr>
                <w:rFonts w:ascii="Calibri" w:hAnsi="Calibri" w:cs="Calibri"/>
                <w:color w:val="000000" w:themeColor="text1"/>
                <w:sz w:val="20"/>
                <w:szCs w:val="20"/>
                <w:lang w:val="en-US"/>
              </w:rPr>
              <w:t>When a new CA assessment method is developed, it should be validated against a method that includes quantitative CBF analysis in the equation, either in animal research in the lab or in patients.</w:t>
            </w:r>
          </w:p>
          <w:p w:rsidR="00EB2695" w:rsidRPr="00B7218D" w:rsidRDefault="00EB2695" w:rsidP="000F6027">
            <w:pPr>
              <w:pStyle w:val="Lijstalinea"/>
              <w:numPr>
                <w:ilvl w:val="0"/>
                <w:numId w:val="1"/>
              </w:numPr>
              <w:rPr>
                <w:rFonts w:ascii="Calibri" w:hAnsi="Calibri" w:cs="Calibri"/>
                <w:color w:val="000000" w:themeColor="text1"/>
                <w:sz w:val="20"/>
                <w:szCs w:val="20"/>
                <w:lang w:val="en-US"/>
              </w:rPr>
            </w:pPr>
            <w:r w:rsidRPr="00A71018">
              <w:rPr>
                <w:rFonts w:ascii="Calibri" w:hAnsi="Calibri" w:cs="Calibri"/>
                <w:color w:val="000000" w:themeColor="text1"/>
                <w:sz w:val="20"/>
                <w:szCs w:val="20"/>
                <w:lang w:val="en-US"/>
              </w:rPr>
              <w:t>CA research should move to patient studies, investigating whether CA-based protocols are safe and whether they lead to different treatment strategies and different outcomes.</w:t>
            </w:r>
          </w:p>
        </w:tc>
      </w:tr>
      <w:tr w:rsidR="00EB2695" w:rsidRPr="00FB1487" w:rsidTr="000F6027">
        <w:tc>
          <w:tcPr>
            <w:tcW w:w="924" w:type="dxa"/>
            <w:vMerge/>
          </w:tcPr>
          <w:p w:rsidR="00EB2695" w:rsidRDefault="00EB2695" w:rsidP="000F6027">
            <w:pPr>
              <w:jc w:val="center"/>
              <w:rPr>
                <w:rFonts w:ascii="Calibri" w:hAnsi="Calibri" w:cs="Calibri"/>
                <w:sz w:val="20"/>
                <w:szCs w:val="20"/>
                <w:lang w:val="en-US"/>
              </w:rPr>
            </w:pPr>
          </w:p>
        </w:tc>
        <w:tc>
          <w:tcPr>
            <w:tcW w:w="8138" w:type="dxa"/>
            <w:gridSpan w:val="2"/>
          </w:tcPr>
          <w:p w:rsidR="00EB2695" w:rsidRPr="00B7218D" w:rsidRDefault="00EB2695" w:rsidP="000F6027">
            <w:pPr>
              <w:jc w:val="both"/>
              <w:rPr>
                <w:rFonts w:ascii="Calibri" w:hAnsi="Calibri" w:cs="Calibri"/>
                <w:color w:val="000000" w:themeColor="text1"/>
                <w:sz w:val="20"/>
                <w:szCs w:val="20"/>
                <w:lang w:val="en-US"/>
              </w:rPr>
            </w:pPr>
            <w:r w:rsidRPr="00B7218D">
              <w:rPr>
                <w:rFonts w:ascii="Calibri" w:hAnsi="Calibri" w:cs="Calibri"/>
                <w:color w:val="000000" w:themeColor="text1"/>
                <w:sz w:val="20"/>
                <w:szCs w:val="20"/>
                <w:lang w:val="en-US"/>
              </w:rPr>
              <w:t>Rationale:  This question is on the validation of CA assessment methods. As there is no gold standard, the question is against what methods should be compared to validate them as sufficiently representative of CA</w:t>
            </w:r>
            <w:r w:rsidR="0042301E">
              <w:rPr>
                <w:rFonts w:ascii="Calibri" w:hAnsi="Calibri" w:cs="Calibri"/>
                <w:color w:val="000000" w:themeColor="text1"/>
                <w:sz w:val="20"/>
                <w:szCs w:val="20"/>
                <w:lang w:val="en-US"/>
              </w:rPr>
              <w:t>. The answers to the question fe</w:t>
            </w:r>
            <w:r w:rsidRPr="00B7218D">
              <w:rPr>
                <w:rFonts w:ascii="Calibri" w:hAnsi="Calibri" w:cs="Calibri"/>
                <w:color w:val="000000" w:themeColor="text1"/>
                <w:sz w:val="20"/>
                <w:szCs w:val="20"/>
                <w:lang w:val="en-US"/>
              </w:rPr>
              <w:t>ll apart in two categories  (validation against patient outcome and validation against methods including quantitative CBF) and reflect</w:t>
            </w:r>
            <w:r w:rsidR="0042301E">
              <w:rPr>
                <w:rFonts w:ascii="Calibri" w:hAnsi="Calibri" w:cs="Calibri"/>
                <w:color w:val="000000" w:themeColor="text1"/>
                <w:sz w:val="20"/>
                <w:szCs w:val="20"/>
                <w:lang w:val="en-US"/>
              </w:rPr>
              <w:t>ed</w:t>
            </w:r>
            <w:r w:rsidRPr="00B7218D">
              <w:rPr>
                <w:rFonts w:ascii="Calibri" w:hAnsi="Calibri" w:cs="Calibri"/>
                <w:color w:val="000000" w:themeColor="text1"/>
                <w:sz w:val="20"/>
                <w:szCs w:val="20"/>
                <w:lang w:val="en-US"/>
              </w:rPr>
              <w:t xml:space="preserve"> different interpretations of the question rather tha</w:t>
            </w:r>
            <w:r w:rsidR="0042301E">
              <w:rPr>
                <w:rFonts w:ascii="Calibri" w:hAnsi="Calibri" w:cs="Calibri"/>
                <w:color w:val="000000" w:themeColor="text1"/>
                <w:sz w:val="20"/>
                <w:szCs w:val="20"/>
                <w:lang w:val="en-US"/>
              </w:rPr>
              <w:t>n different views. Also, there wa</w:t>
            </w:r>
            <w:r w:rsidRPr="00B7218D">
              <w:rPr>
                <w:rFonts w:ascii="Calibri" w:hAnsi="Calibri" w:cs="Calibri"/>
                <w:color w:val="000000" w:themeColor="text1"/>
                <w:sz w:val="20"/>
                <w:szCs w:val="20"/>
                <w:lang w:val="en-US"/>
              </w:rPr>
              <w:t>s a fear tha</w:t>
            </w:r>
            <w:r w:rsidR="0042301E">
              <w:rPr>
                <w:rFonts w:ascii="Calibri" w:hAnsi="Calibri" w:cs="Calibri"/>
                <w:color w:val="000000" w:themeColor="text1"/>
                <w:sz w:val="20"/>
                <w:szCs w:val="20"/>
                <w:lang w:val="en-US"/>
              </w:rPr>
              <w:t>t admitting validation gaps would</w:t>
            </w:r>
            <w:r w:rsidRPr="00B7218D">
              <w:rPr>
                <w:rFonts w:ascii="Calibri" w:hAnsi="Calibri" w:cs="Calibri"/>
                <w:color w:val="000000" w:themeColor="text1"/>
                <w:sz w:val="20"/>
                <w:szCs w:val="20"/>
                <w:lang w:val="en-US"/>
              </w:rPr>
              <w:t xml:space="preserve"> substantially delay or even stop clinical research, while </w:t>
            </w:r>
            <w:proofErr w:type="spellStart"/>
            <w:r w:rsidRPr="00B7218D">
              <w:rPr>
                <w:rFonts w:ascii="Calibri" w:hAnsi="Calibri" w:cs="Calibri"/>
                <w:color w:val="000000" w:themeColor="text1"/>
                <w:sz w:val="20"/>
                <w:szCs w:val="20"/>
                <w:lang w:val="en-US"/>
              </w:rPr>
              <w:t>PRx</w:t>
            </w:r>
            <w:proofErr w:type="spellEnd"/>
            <w:r w:rsidRPr="00B7218D">
              <w:rPr>
                <w:rFonts w:ascii="Calibri" w:hAnsi="Calibri" w:cs="Calibri"/>
                <w:color w:val="000000" w:themeColor="text1"/>
                <w:sz w:val="20"/>
                <w:szCs w:val="20"/>
                <w:lang w:val="en-US"/>
              </w:rPr>
              <w:t xml:space="preserve"> is available as a promising method. In section 4, </w:t>
            </w:r>
            <w:proofErr w:type="spellStart"/>
            <w:r w:rsidRPr="00B7218D">
              <w:rPr>
                <w:rFonts w:ascii="Calibri" w:hAnsi="Calibri" w:cs="Calibri"/>
                <w:color w:val="000000" w:themeColor="text1"/>
                <w:sz w:val="20"/>
                <w:szCs w:val="20"/>
                <w:lang w:val="en-US"/>
              </w:rPr>
              <w:t>PRx</w:t>
            </w:r>
            <w:proofErr w:type="spellEnd"/>
            <w:r w:rsidRPr="00B7218D">
              <w:rPr>
                <w:rFonts w:ascii="Calibri" w:hAnsi="Calibri" w:cs="Calibri"/>
                <w:color w:val="000000" w:themeColor="text1"/>
                <w:sz w:val="20"/>
                <w:szCs w:val="20"/>
                <w:lang w:val="en-US"/>
              </w:rPr>
              <w:t xml:space="preserve"> was considered insufficiently validated, but still the best studie</w:t>
            </w:r>
            <w:r w:rsidR="0042301E">
              <w:rPr>
                <w:rFonts w:ascii="Calibri" w:hAnsi="Calibri" w:cs="Calibri"/>
                <w:color w:val="000000" w:themeColor="text1"/>
                <w:sz w:val="20"/>
                <w:szCs w:val="20"/>
                <w:lang w:val="en-US"/>
              </w:rPr>
              <w:t>d and most accepted method. It wa</w:t>
            </w:r>
            <w:r w:rsidRPr="00B7218D">
              <w:rPr>
                <w:rFonts w:ascii="Calibri" w:hAnsi="Calibri" w:cs="Calibri"/>
                <w:color w:val="000000" w:themeColor="text1"/>
                <w:sz w:val="20"/>
                <w:szCs w:val="20"/>
                <w:lang w:val="en-US"/>
              </w:rPr>
              <w:t xml:space="preserve">s also mentioned that, suppose that </w:t>
            </w:r>
            <w:proofErr w:type="spellStart"/>
            <w:r w:rsidRPr="00B7218D">
              <w:rPr>
                <w:rFonts w:ascii="Calibri" w:hAnsi="Calibri" w:cs="Calibri"/>
                <w:color w:val="000000" w:themeColor="text1"/>
                <w:sz w:val="20"/>
                <w:szCs w:val="20"/>
                <w:lang w:val="en-US"/>
              </w:rPr>
              <w:t>PRx</w:t>
            </w:r>
            <w:proofErr w:type="spellEnd"/>
            <w:r w:rsidRPr="00B7218D">
              <w:rPr>
                <w:rFonts w:ascii="Calibri" w:hAnsi="Calibri" w:cs="Calibri"/>
                <w:color w:val="000000" w:themeColor="text1"/>
                <w:sz w:val="20"/>
                <w:szCs w:val="20"/>
                <w:lang w:val="en-US"/>
              </w:rPr>
              <w:t xml:space="preserve"> does not reflect CA at all, if </w:t>
            </w:r>
            <w:proofErr w:type="spellStart"/>
            <w:r w:rsidRPr="00B7218D">
              <w:rPr>
                <w:rFonts w:ascii="Calibri" w:hAnsi="Calibri" w:cs="Calibri"/>
                <w:color w:val="000000" w:themeColor="text1"/>
                <w:sz w:val="20"/>
                <w:szCs w:val="20"/>
                <w:lang w:val="en-US"/>
              </w:rPr>
              <w:t>PRx</w:t>
            </w:r>
            <w:proofErr w:type="spellEnd"/>
            <w:r w:rsidRPr="00B7218D">
              <w:rPr>
                <w:rFonts w:ascii="Calibri" w:hAnsi="Calibri" w:cs="Calibri"/>
                <w:color w:val="000000" w:themeColor="text1"/>
                <w:sz w:val="20"/>
                <w:szCs w:val="20"/>
                <w:lang w:val="en-US"/>
              </w:rPr>
              <w:t xml:space="preserve"> changes management in a way that it improves outcome, this is considered valuable progress. At the end of the discussion the experts agree</w:t>
            </w:r>
            <w:r w:rsidR="0042301E">
              <w:rPr>
                <w:rFonts w:ascii="Calibri" w:hAnsi="Calibri" w:cs="Calibri"/>
                <w:color w:val="000000" w:themeColor="text1"/>
                <w:sz w:val="20"/>
                <w:szCs w:val="20"/>
                <w:lang w:val="en-US"/>
              </w:rPr>
              <w:t>d</w:t>
            </w:r>
            <w:r w:rsidRPr="00B7218D">
              <w:rPr>
                <w:rFonts w:ascii="Calibri" w:hAnsi="Calibri" w:cs="Calibri"/>
                <w:color w:val="000000" w:themeColor="text1"/>
                <w:sz w:val="20"/>
                <w:szCs w:val="20"/>
                <w:lang w:val="en-US"/>
              </w:rPr>
              <w:t xml:space="preserve"> that we should proceed with clinical research in the form of patient safety studies and feasibility studies based on </w:t>
            </w:r>
            <w:proofErr w:type="spellStart"/>
            <w:r w:rsidRPr="00B7218D">
              <w:rPr>
                <w:rFonts w:ascii="Calibri" w:hAnsi="Calibri" w:cs="Calibri"/>
                <w:color w:val="000000" w:themeColor="text1"/>
                <w:sz w:val="20"/>
                <w:szCs w:val="20"/>
                <w:lang w:val="en-US"/>
              </w:rPr>
              <w:t>PRx</w:t>
            </w:r>
            <w:proofErr w:type="spellEnd"/>
            <w:r w:rsidRPr="00B7218D">
              <w:rPr>
                <w:rFonts w:ascii="Calibri" w:hAnsi="Calibri" w:cs="Calibri"/>
                <w:color w:val="000000" w:themeColor="text1"/>
                <w:sz w:val="20"/>
                <w:szCs w:val="20"/>
                <w:lang w:val="en-US"/>
              </w:rPr>
              <w:t xml:space="preserve"> as best available method at present. At the same time, the experts agree</w:t>
            </w:r>
            <w:r w:rsidR="0042301E">
              <w:rPr>
                <w:rFonts w:ascii="Calibri" w:hAnsi="Calibri" w:cs="Calibri"/>
                <w:color w:val="000000" w:themeColor="text1"/>
                <w:sz w:val="20"/>
                <w:szCs w:val="20"/>
                <w:lang w:val="en-US"/>
              </w:rPr>
              <w:t>d</w:t>
            </w:r>
            <w:r w:rsidRPr="00B7218D">
              <w:rPr>
                <w:rFonts w:ascii="Calibri" w:hAnsi="Calibri" w:cs="Calibri"/>
                <w:color w:val="000000" w:themeColor="text1"/>
                <w:sz w:val="20"/>
                <w:szCs w:val="20"/>
                <w:lang w:val="en-US"/>
              </w:rPr>
              <w:t xml:space="preserve"> that any new emerging method that claims to assess CA, should be validated against a method that includes quantitative CBF analysis in the equation, either in animal research</w:t>
            </w:r>
            <w:r w:rsidR="0042301E">
              <w:rPr>
                <w:rFonts w:ascii="Calibri" w:hAnsi="Calibri" w:cs="Calibri"/>
                <w:color w:val="000000" w:themeColor="text1"/>
                <w:sz w:val="20"/>
                <w:szCs w:val="20"/>
                <w:lang w:val="en-US"/>
              </w:rPr>
              <w:t xml:space="preserve"> in the lab or in patients. It wa</w:t>
            </w:r>
            <w:r w:rsidRPr="00B7218D">
              <w:rPr>
                <w:rFonts w:ascii="Calibri" w:hAnsi="Calibri" w:cs="Calibri"/>
                <w:color w:val="000000" w:themeColor="text1"/>
                <w:sz w:val="20"/>
                <w:szCs w:val="20"/>
                <w:lang w:val="en-US"/>
              </w:rPr>
              <w:t xml:space="preserve">s agreed that comparison against/correlation with </w:t>
            </w:r>
            <w:proofErr w:type="spellStart"/>
            <w:r w:rsidRPr="00B7218D">
              <w:rPr>
                <w:rFonts w:ascii="Calibri" w:hAnsi="Calibri" w:cs="Calibri"/>
                <w:color w:val="000000" w:themeColor="text1"/>
                <w:sz w:val="20"/>
                <w:szCs w:val="20"/>
                <w:lang w:val="en-US"/>
              </w:rPr>
              <w:t>PRx</w:t>
            </w:r>
            <w:proofErr w:type="spellEnd"/>
            <w:r w:rsidRPr="00B7218D">
              <w:rPr>
                <w:rFonts w:ascii="Calibri" w:hAnsi="Calibri" w:cs="Calibri"/>
                <w:color w:val="000000" w:themeColor="text1"/>
                <w:sz w:val="20"/>
                <w:szCs w:val="20"/>
                <w:lang w:val="en-US"/>
              </w:rPr>
              <w:t xml:space="preserve"> is not sufficient as a validation of newly developed methods (i.e. </w:t>
            </w:r>
            <w:proofErr w:type="spellStart"/>
            <w:r w:rsidRPr="00B7218D">
              <w:rPr>
                <w:rFonts w:ascii="Calibri" w:hAnsi="Calibri" w:cs="Calibri"/>
                <w:color w:val="000000" w:themeColor="text1"/>
                <w:sz w:val="20"/>
                <w:szCs w:val="20"/>
                <w:lang w:val="en-US"/>
              </w:rPr>
              <w:t>PRx</w:t>
            </w:r>
            <w:proofErr w:type="spellEnd"/>
            <w:r w:rsidRPr="00B7218D">
              <w:rPr>
                <w:rFonts w:ascii="Calibri" w:hAnsi="Calibri" w:cs="Calibri"/>
                <w:color w:val="000000" w:themeColor="text1"/>
                <w:sz w:val="20"/>
                <w:szCs w:val="20"/>
                <w:lang w:val="en-US"/>
              </w:rPr>
              <w:t xml:space="preserve"> is not a gold standard). It was proposed to reformulate this question into two new statements, and to request from the experts that they indicate</w:t>
            </w:r>
            <w:r w:rsidR="0042301E">
              <w:rPr>
                <w:rFonts w:ascii="Calibri" w:hAnsi="Calibri" w:cs="Calibri"/>
                <w:color w:val="000000" w:themeColor="text1"/>
                <w:sz w:val="20"/>
                <w:szCs w:val="20"/>
                <w:lang w:val="en-US"/>
              </w:rPr>
              <w:t>d</w:t>
            </w:r>
            <w:r w:rsidRPr="00B7218D">
              <w:rPr>
                <w:rFonts w:ascii="Calibri" w:hAnsi="Calibri" w:cs="Calibri"/>
                <w:color w:val="000000" w:themeColor="text1"/>
                <w:sz w:val="20"/>
                <w:szCs w:val="20"/>
                <w:lang w:val="en-US"/>
              </w:rPr>
              <w:t xml:space="preserve"> whether or not they agree</w:t>
            </w:r>
            <w:r w:rsidR="0042301E">
              <w:rPr>
                <w:rFonts w:ascii="Calibri" w:hAnsi="Calibri" w:cs="Calibri"/>
                <w:color w:val="000000" w:themeColor="text1"/>
                <w:sz w:val="20"/>
                <w:szCs w:val="20"/>
                <w:lang w:val="en-US"/>
              </w:rPr>
              <w:t>d</w:t>
            </w:r>
            <w:bookmarkStart w:id="0" w:name="_GoBack"/>
            <w:bookmarkEnd w:id="0"/>
            <w:r w:rsidRPr="00B7218D">
              <w:rPr>
                <w:rFonts w:ascii="Calibri" w:hAnsi="Calibri" w:cs="Calibri"/>
                <w:color w:val="000000" w:themeColor="text1"/>
                <w:sz w:val="20"/>
                <w:szCs w:val="20"/>
                <w:lang w:val="en-US"/>
              </w:rPr>
              <w:t xml:space="preserve"> with the statements in online round 3.</w:t>
            </w:r>
          </w:p>
        </w:tc>
      </w:tr>
    </w:tbl>
    <w:p w:rsidR="00EB2695" w:rsidRPr="00EB2695" w:rsidRDefault="00EB2695">
      <w:pPr>
        <w:rPr>
          <w:lang w:val="en-US"/>
        </w:rPr>
      </w:pPr>
    </w:p>
    <w:sectPr w:rsidR="00EB2695" w:rsidRPr="00EB26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ational2">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A395E"/>
    <w:multiLevelType w:val="hybridMultilevel"/>
    <w:tmpl w:val="F534902E"/>
    <w:lvl w:ilvl="0" w:tplc="7570CEFA">
      <w:start w:val="1"/>
      <w:numFmt w:val="bullet"/>
      <w:lvlText w:val="-"/>
      <w:lvlJc w:val="left"/>
      <w:pPr>
        <w:ind w:left="720" w:hanging="360"/>
      </w:pPr>
      <w:rPr>
        <w:rFonts w:ascii="National2" w:eastAsia="Times New Roman" w:hAnsi="National2" w:cs="Times New Roman" w:hint="default"/>
        <w:color w:val="333E48"/>
        <w:sz w:val="23"/>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695"/>
    <w:rsid w:val="00186F10"/>
    <w:rsid w:val="003A5339"/>
    <w:rsid w:val="003B041C"/>
    <w:rsid w:val="0042301E"/>
    <w:rsid w:val="00EB2695"/>
    <w:rsid w:val="00F7767A"/>
    <w:rsid w:val="00FB148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872E2"/>
  <w15:chartTrackingRefBased/>
  <w15:docId w15:val="{A0E2392D-7F9F-4D98-96D8-C7B4D0ABB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B2695"/>
    <w:rPr>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B2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B2695"/>
    <w:pPr>
      <w:ind w:left="720"/>
      <w:contextualSpacing/>
    </w:pPr>
  </w:style>
  <w:style w:type="character" w:styleId="Zwaar">
    <w:name w:val="Strong"/>
    <w:basedOn w:val="Standaardalinea-lettertype"/>
    <w:uiPriority w:val="22"/>
    <w:qFormat/>
    <w:rsid w:val="00EB26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3</Pages>
  <Words>1613</Words>
  <Characters>8875</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UZ Leuven</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Depreitere</dc:creator>
  <cp:keywords/>
  <dc:description/>
  <cp:lastModifiedBy>Bart Depreitere</cp:lastModifiedBy>
  <cp:revision>6</cp:revision>
  <dcterms:created xsi:type="dcterms:W3CDTF">2020-11-15T14:12:00Z</dcterms:created>
  <dcterms:modified xsi:type="dcterms:W3CDTF">2020-11-20T10:25:00Z</dcterms:modified>
</cp:coreProperties>
</file>