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953" w:rsidRDefault="00523EF3" w:rsidP="00B87953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</w:t>
      </w:r>
      <w:r w:rsidR="00B87953">
        <w:rPr>
          <w:rFonts w:ascii="Times New Roman" w:hAnsi="Times New Roman" w:cs="Times New Roman"/>
          <w:b/>
          <w:lang w:val="en-US"/>
        </w:rPr>
        <w:t>igure 3A-F. Arterial content in relation to CBF and CDO</w:t>
      </w:r>
      <w:r w:rsidR="00B87953" w:rsidRPr="00EB5DD4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B87953">
        <w:rPr>
          <w:rFonts w:ascii="Times New Roman" w:hAnsi="Times New Roman" w:cs="Times New Roman"/>
          <w:b/>
          <w:lang w:val="en-US"/>
        </w:rPr>
        <w:t xml:space="preserve"> in the early phase</w:t>
      </w:r>
    </w:p>
    <w:p w:rsidR="00B87953" w:rsidRDefault="00B87953" w:rsidP="00B87953">
      <w:pPr>
        <w:spacing w:line="480" w:lineRule="auto"/>
        <w:rPr>
          <w:rFonts w:ascii="Times New Roman" w:hAnsi="Times New Roman" w:cs="Times New Roman"/>
          <w:lang w:val="en-US"/>
        </w:rPr>
      </w:pPr>
      <w:r w:rsidRPr="001F3D00">
        <w:rPr>
          <w:rFonts w:ascii="Times New Roman" w:hAnsi="Times New Roman" w:cs="Times New Roman"/>
          <w:noProof/>
          <w:lang w:eastAsia="sv-SE"/>
        </w:rPr>
        <w:drawing>
          <wp:inline distT="0" distB="0" distL="0" distR="0" wp14:anchorId="1FAB7908" wp14:editId="104EFDB4">
            <wp:extent cx="5760720" cy="5319132"/>
            <wp:effectExtent l="0" t="0" r="0" b="0"/>
            <wp:docPr id="4" name="Bildobjekt 4" descr="C:\Users\teosv951\Documents\Forskning\Projekt\CBF SAH\MS II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osv951\Documents\Forskning\Projekt\CBF SAH\MS II\Figure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953" w:rsidRDefault="00B87953" w:rsidP="00B87953">
      <w:pPr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r>
        <w:rPr>
          <w:rFonts w:ascii="Times New Roman" w:hAnsi="Times New Roman" w:cs="Times New Roman"/>
          <w:lang w:val="en-US"/>
        </w:rPr>
        <w:t>The figure demonstrates the associations among CBF and CDO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with pO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(2A-B), pCO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(2C-D), and hematocrit (2E-F) in the vasospasm phase. Higher pCO</w:t>
      </w:r>
      <w:r w:rsidRPr="00BF675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was significantly associated (Spearman) with higher CBF (r = 0.27, p &lt; 0.05), but not with CDO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. There were no association among pO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and hematocrit with CBF and CDO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.</w:t>
      </w:r>
    </w:p>
    <w:p w:rsidR="00B87953" w:rsidRDefault="00B87953" w:rsidP="00B8795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CBF = Cerebral blood flow. CDO</w:t>
      </w:r>
      <w:r w:rsidRPr="00BF675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= Cerebral delivery of oxygen. </w:t>
      </w:r>
    </w:p>
    <w:bookmarkEnd w:id="0"/>
    <w:p w:rsidR="003D3315" w:rsidRPr="00B87953" w:rsidRDefault="003D3315">
      <w:pPr>
        <w:rPr>
          <w:lang w:val="en-US"/>
        </w:rPr>
      </w:pPr>
    </w:p>
    <w:sectPr w:rsidR="003D3315" w:rsidRPr="00B8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53"/>
    <w:rsid w:val="001337BB"/>
    <w:rsid w:val="003D3315"/>
    <w:rsid w:val="00523EF3"/>
    <w:rsid w:val="00B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C0A7F-1076-4C61-9414-18460BBA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95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Svedung-Wettervik</dc:creator>
  <cp:keywords/>
  <dc:description/>
  <cp:lastModifiedBy>Teodor Svedung-Wettervik</cp:lastModifiedBy>
  <cp:revision>3</cp:revision>
  <dcterms:created xsi:type="dcterms:W3CDTF">2022-02-23T15:47:00Z</dcterms:created>
  <dcterms:modified xsi:type="dcterms:W3CDTF">2022-03-18T14:26:00Z</dcterms:modified>
</cp:coreProperties>
</file>