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36AFC6" w14:textId="48E36508" w:rsidR="00DD7646" w:rsidRPr="001F1839" w:rsidRDefault="00DD7646" w:rsidP="000176C8">
      <w:pPr>
        <w:pStyle w:val="Heading1"/>
        <w:rPr>
          <w:rFonts w:asciiTheme="minorHAnsi" w:hAnsiTheme="minorHAnsi" w:cstheme="minorHAnsi"/>
          <w:b/>
          <w:color w:val="auto"/>
          <w:sz w:val="22"/>
          <w:szCs w:val="22"/>
        </w:rPr>
      </w:pPr>
      <w:r w:rsidRPr="001F1839">
        <w:rPr>
          <w:rFonts w:asciiTheme="minorHAnsi" w:hAnsiTheme="minorHAnsi" w:cstheme="minorHAnsi"/>
          <w:b/>
          <w:color w:val="auto"/>
          <w:sz w:val="22"/>
          <w:szCs w:val="22"/>
        </w:rPr>
        <w:t>Supplementary Appendix</w:t>
      </w:r>
      <w:r w:rsidR="004F160F" w:rsidRPr="001F1839">
        <w:rPr>
          <w:rFonts w:asciiTheme="minorHAnsi" w:hAnsiTheme="minorHAnsi" w:cstheme="minorHAnsi"/>
          <w:b/>
          <w:color w:val="auto"/>
          <w:sz w:val="22"/>
          <w:szCs w:val="22"/>
        </w:rPr>
        <w:t xml:space="preserve"> 4</w:t>
      </w:r>
      <w:r w:rsidR="001F1839" w:rsidRPr="001F1839">
        <w:rPr>
          <w:rFonts w:asciiTheme="minorHAnsi" w:hAnsiTheme="minorHAnsi" w:cstheme="minorHAnsi"/>
          <w:b/>
          <w:color w:val="auto"/>
          <w:sz w:val="22"/>
          <w:szCs w:val="22"/>
        </w:rPr>
        <w:t>.</w:t>
      </w:r>
      <w:r w:rsidRPr="001F1839">
        <w:rPr>
          <w:rFonts w:asciiTheme="minorHAnsi" w:hAnsiTheme="minorHAnsi" w:cstheme="minorHAnsi"/>
          <w:b/>
          <w:color w:val="auto"/>
          <w:sz w:val="22"/>
          <w:szCs w:val="22"/>
        </w:rPr>
        <w:t xml:space="preserve"> Additional </w:t>
      </w:r>
      <w:r w:rsidR="00901029" w:rsidRPr="001F1839">
        <w:rPr>
          <w:rFonts w:asciiTheme="minorHAnsi" w:hAnsiTheme="minorHAnsi" w:cstheme="minorHAnsi"/>
          <w:b/>
          <w:color w:val="auto"/>
          <w:sz w:val="22"/>
          <w:szCs w:val="22"/>
        </w:rPr>
        <w:t>information</w:t>
      </w:r>
      <w:r w:rsidRPr="001F1839">
        <w:rPr>
          <w:rFonts w:asciiTheme="minorHAnsi" w:hAnsiTheme="minorHAnsi" w:cstheme="minorHAnsi"/>
          <w:b/>
          <w:color w:val="auto"/>
          <w:sz w:val="22"/>
          <w:szCs w:val="22"/>
        </w:rPr>
        <w:t xml:space="preserve"> on </w:t>
      </w:r>
      <w:r w:rsidR="00901029" w:rsidRPr="001F1839">
        <w:rPr>
          <w:rFonts w:asciiTheme="minorHAnsi" w:hAnsiTheme="minorHAnsi" w:cstheme="minorHAnsi"/>
          <w:b/>
          <w:color w:val="auto"/>
          <w:sz w:val="22"/>
          <w:szCs w:val="22"/>
        </w:rPr>
        <w:t>predictors of f</w:t>
      </w:r>
      <w:r w:rsidRPr="001F1839">
        <w:rPr>
          <w:rFonts w:asciiTheme="minorHAnsi" w:hAnsiTheme="minorHAnsi" w:cstheme="minorHAnsi"/>
          <w:b/>
          <w:color w:val="auto"/>
          <w:sz w:val="22"/>
          <w:szCs w:val="22"/>
        </w:rPr>
        <w:t xml:space="preserve">unctional </w:t>
      </w:r>
      <w:r w:rsidR="00901029" w:rsidRPr="001F1839">
        <w:rPr>
          <w:rFonts w:asciiTheme="minorHAnsi" w:hAnsiTheme="minorHAnsi" w:cstheme="minorHAnsi"/>
          <w:b/>
          <w:color w:val="auto"/>
          <w:sz w:val="22"/>
          <w:szCs w:val="22"/>
        </w:rPr>
        <w:t>o</w:t>
      </w:r>
      <w:r w:rsidRPr="001F1839">
        <w:rPr>
          <w:rFonts w:asciiTheme="minorHAnsi" w:hAnsiTheme="minorHAnsi" w:cstheme="minorHAnsi"/>
          <w:b/>
          <w:color w:val="auto"/>
          <w:sz w:val="22"/>
          <w:szCs w:val="22"/>
        </w:rPr>
        <w:t>utcome</w:t>
      </w:r>
    </w:p>
    <w:p w14:paraId="29BFD689" w14:textId="3F95FD71" w:rsidR="00DD7646" w:rsidRDefault="00DD7646" w:rsidP="2ED33C26">
      <w:pPr>
        <w:spacing w:line="360" w:lineRule="auto"/>
        <w:rPr>
          <w:b/>
          <w:bCs/>
          <w:sz w:val="22"/>
          <w:szCs w:val="22"/>
          <w:u w:val="single"/>
        </w:rPr>
      </w:pPr>
    </w:p>
    <w:p w14:paraId="6FC88F6D" w14:textId="231647CE" w:rsidR="00465F11" w:rsidRDefault="005D25D5" w:rsidP="004F160F">
      <w:pPr>
        <w:spacing w:line="360" w:lineRule="auto"/>
        <w:rPr>
          <w:sz w:val="22"/>
          <w:szCs w:val="22"/>
        </w:rPr>
      </w:pPr>
      <w:r w:rsidRPr="005D25D5">
        <w:rPr>
          <w:sz w:val="22"/>
          <w:szCs w:val="22"/>
        </w:rPr>
        <w:t xml:space="preserve">Based on </w:t>
      </w:r>
      <w:r>
        <w:rPr>
          <w:sz w:val="22"/>
          <w:szCs w:val="22"/>
        </w:rPr>
        <w:t>the a-priori defined methodology</w:t>
      </w:r>
      <w:r w:rsidR="004F160F">
        <w:rPr>
          <w:sz w:val="22"/>
          <w:szCs w:val="22"/>
        </w:rPr>
        <w:t xml:space="preserve"> for development of these guidelines,</w:t>
      </w:r>
      <w:r>
        <w:rPr>
          <w:sz w:val="22"/>
          <w:szCs w:val="22"/>
        </w:rPr>
        <w:t xml:space="preserve"> </w:t>
      </w:r>
      <w:r w:rsidR="0092607B">
        <w:rPr>
          <w:sz w:val="22"/>
          <w:szCs w:val="22"/>
        </w:rPr>
        <w:t>scientific publications were</w:t>
      </w:r>
      <w:r>
        <w:rPr>
          <w:sz w:val="22"/>
          <w:szCs w:val="22"/>
        </w:rPr>
        <w:t xml:space="preserve"> deemed insufficient to support recommendations if only one </w:t>
      </w:r>
      <w:r w:rsidR="0092607B">
        <w:rPr>
          <w:sz w:val="22"/>
          <w:szCs w:val="22"/>
        </w:rPr>
        <w:t xml:space="preserve">such </w:t>
      </w:r>
      <w:r>
        <w:rPr>
          <w:sz w:val="22"/>
          <w:szCs w:val="22"/>
        </w:rPr>
        <w:t xml:space="preserve">study supported the evidence. </w:t>
      </w:r>
      <w:r w:rsidR="004F160F">
        <w:rPr>
          <w:sz w:val="22"/>
          <w:szCs w:val="22"/>
        </w:rPr>
        <w:t>T</w:t>
      </w:r>
      <w:r>
        <w:rPr>
          <w:sz w:val="22"/>
          <w:szCs w:val="22"/>
        </w:rPr>
        <w:t>hese studies</w:t>
      </w:r>
      <w:r w:rsidR="0092607B">
        <w:rPr>
          <w:sz w:val="22"/>
          <w:szCs w:val="22"/>
        </w:rPr>
        <w:t xml:space="preserve"> </w:t>
      </w:r>
      <w:r w:rsidR="004F160F">
        <w:rPr>
          <w:sz w:val="22"/>
          <w:szCs w:val="22"/>
        </w:rPr>
        <w:t xml:space="preserve">met </w:t>
      </w:r>
      <w:r>
        <w:rPr>
          <w:sz w:val="22"/>
          <w:szCs w:val="22"/>
        </w:rPr>
        <w:t>all other criteria</w:t>
      </w:r>
      <w:r w:rsidR="004F160F">
        <w:rPr>
          <w:sz w:val="22"/>
          <w:szCs w:val="22"/>
        </w:rPr>
        <w:t xml:space="preserve"> for inclusion, </w:t>
      </w:r>
      <w:r w:rsidR="0092607B">
        <w:rPr>
          <w:sz w:val="22"/>
          <w:szCs w:val="22"/>
        </w:rPr>
        <w:t>were judged to be of sufficient quality</w:t>
      </w:r>
      <w:r w:rsidR="004F160F">
        <w:rPr>
          <w:sz w:val="22"/>
          <w:szCs w:val="22"/>
        </w:rPr>
        <w:t>, and a</w:t>
      </w:r>
      <w:r>
        <w:rPr>
          <w:sz w:val="22"/>
          <w:szCs w:val="22"/>
        </w:rPr>
        <w:t xml:space="preserve">re </w:t>
      </w:r>
      <w:r w:rsidR="0092607B">
        <w:rPr>
          <w:sz w:val="22"/>
          <w:szCs w:val="22"/>
        </w:rPr>
        <w:t xml:space="preserve">therefore </w:t>
      </w:r>
      <w:r>
        <w:rPr>
          <w:sz w:val="22"/>
          <w:szCs w:val="22"/>
        </w:rPr>
        <w:t xml:space="preserve">included in the </w:t>
      </w:r>
      <w:r w:rsidR="004F160F">
        <w:rPr>
          <w:sz w:val="22"/>
          <w:szCs w:val="22"/>
        </w:rPr>
        <w:t>E</w:t>
      </w:r>
      <w:r>
        <w:rPr>
          <w:sz w:val="22"/>
          <w:szCs w:val="22"/>
        </w:rPr>
        <w:t xml:space="preserve">videntiary </w:t>
      </w:r>
      <w:r w:rsidR="004F160F">
        <w:rPr>
          <w:sz w:val="22"/>
          <w:szCs w:val="22"/>
        </w:rPr>
        <w:t>T</w:t>
      </w:r>
      <w:r>
        <w:rPr>
          <w:sz w:val="22"/>
          <w:szCs w:val="22"/>
        </w:rPr>
        <w:t>able of th</w:t>
      </w:r>
      <w:r w:rsidR="004F160F">
        <w:rPr>
          <w:sz w:val="22"/>
          <w:szCs w:val="22"/>
        </w:rPr>
        <w:t>ese</w:t>
      </w:r>
      <w:r>
        <w:rPr>
          <w:sz w:val="22"/>
          <w:szCs w:val="22"/>
        </w:rPr>
        <w:t xml:space="preserve"> Guidelines</w:t>
      </w:r>
      <w:r w:rsidR="004F160F">
        <w:rPr>
          <w:sz w:val="22"/>
          <w:szCs w:val="22"/>
        </w:rPr>
        <w:t xml:space="preserve">. These studies are incorporated into this Supplementary Appendix </w:t>
      </w:r>
      <w:r w:rsidR="00C45DC1">
        <w:rPr>
          <w:sz w:val="22"/>
          <w:szCs w:val="22"/>
        </w:rPr>
        <w:t xml:space="preserve">to provide </w:t>
      </w:r>
      <w:r w:rsidR="004F160F">
        <w:rPr>
          <w:sz w:val="22"/>
          <w:szCs w:val="22"/>
        </w:rPr>
        <w:t xml:space="preserve">additional information for the reader. </w:t>
      </w:r>
    </w:p>
    <w:p w14:paraId="547469B4" w14:textId="77777777" w:rsidR="00465F11" w:rsidRDefault="00465F11" w:rsidP="005D25D5">
      <w:pPr>
        <w:rPr>
          <w:sz w:val="22"/>
          <w:szCs w:val="22"/>
        </w:rPr>
      </w:pPr>
    </w:p>
    <w:p w14:paraId="16C96930" w14:textId="68E5C9DC" w:rsidR="0092607B" w:rsidRPr="00465F11" w:rsidRDefault="00465F11" w:rsidP="00465F11">
      <w:pPr>
        <w:spacing w:line="360" w:lineRule="auto"/>
        <w:rPr>
          <w:b/>
          <w:bCs/>
          <w:sz w:val="22"/>
          <w:szCs w:val="22"/>
          <w:u w:val="single"/>
        </w:rPr>
      </w:pPr>
      <w:r w:rsidRPr="6CEC0CD9">
        <w:rPr>
          <w:b/>
          <w:bCs/>
          <w:sz w:val="22"/>
          <w:szCs w:val="22"/>
          <w:u w:val="single"/>
        </w:rPr>
        <w:t>Outcome: Functional outcome (at discharge from rehabilitation or beyond)</w:t>
      </w:r>
    </w:p>
    <w:p w14:paraId="3D16AEE6" w14:textId="689D36FE" w:rsidR="6CEC0CD9" w:rsidRDefault="6CEC0CD9" w:rsidP="6CEC0CD9">
      <w:pPr>
        <w:spacing w:line="360" w:lineRule="auto"/>
        <w:ind w:left="720"/>
        <w:rPr>
          <w:sz w:val="22"/>
          <w:szCs w:val="22"/>
        </w:rPr>
      </w:pPr>
      <w:bookmarkStart w:id="0" w:name="_GoBack"/>
      <w:bookmarkEnd w:id="0"/>
    </w:p>
    <w:p w14:paraId="5F1B31F1" w14:textId="4AA19C9C" w:rsidR="00CC2793" w:rsidRPr="00FB070E" w:rsidRDefault="51E9D244" w:rsidP="51E9D244">
      <w:pPr>
        <w:spacing w:line="360" w:lineRule="auto"/>
        <w:rPr>
          <w:sz w:val="22"/>
          <w:szCs w:val="22"/>
        </w:rPr>
      </w:pPr>
      <w:r w:rsidRPr="51E9D244">
        <w:rPr>
          <w:sz w:val="22"/>
          <w:szCs w:val="22"/>
          <w:u w:val="single"/>
        </w:rPr>
        <w:t>Question</w:t>
      </w:r>
      <w:r w:rsidRPr="51E9D244">
        <w:rPr>
          <w:sz w:val="22"/>
          <w:szCs w:val="22"/>
        </w:rPr>
        <w:t xml:space="preserve">: When counseling patients, family members, and/or surrogates of adults with acute traumatic spinal cord injury, should concomitant injuries be considered a reliable predictor of worse functional outcome at discharge from rehabilitation or beyond? </w:t>
      </w:r>
    </w:p>
    <w:p w14:paraId="5F560A03" w14:textId="154580D6" w:rsidR="6EDF667D" w:rsidRDefault="6CEC0CD9" w:rsidP="6EDF667D">
      <w:pPr>
        <w:spacing w:line="360" w:lineRule="auto"/>
        <w:ind w:left="720"/>
        <w:rPr>
          <w:sz w:val="22"/>
          <w:szCs w:val="22"/>
        </w:rPr>
      </w:pPr>
      <w:r w:rsidRPr="6CEC0CD9">
        <w:rPr>
          <w:sz w:val="22"/>
          <w:szCs w:val="22"/>
          <w:u w:val="single"/>
        </w:rPr>
        <w:t>Recommendation</w:t>
      </w:r>
      <w:r w:rsidRPr="6CEC0CD9">
        <w:rPr>
          <w:sz w:val="22"/>
          <w:szCs w:val="22"/>
        </w:rPr>
        <w:t xml:space="preserve">:  </w:t>
      </w:r>
      <w:r w:rsidR="00B312EF">
        <w:rPr>
          <w:sz w:val="22"/>
          <w:szCs w:val="22"/>
        </w:rPr>
        <w:t>There is insufficient evidence to provide a recommendation</w:t>
      </w:r>
      <w:r w:rsidRPr="6CEC0CD9">
        <w:rPr>
          <w:sz w:val="22"/>
          <w:szCs w:val="22"/>
        </w:rPr>
        <w:t xml:space="preserve">.  </w:t>
      </w:r>
    </w:p>
    <w:p w14:paraId="4EB7E119" w14:textId="5C8CD582" w:rsidR="00CC2793" w:rsidRDefault="6CEC0CD9" w:rsidP="6CEC0CD9">
      <w:pPr>
        <w:spacing w:line="360" w:lineRule="auto"/>
        <w:ind w:left="720"/>
        <w:rPr>
          <w:sz w:val="22"/>
          <w:szCs w:val="22"/>
        </w:rPr>
      </w:pPr>
      <w:r w:rsidRPr="6CEC0CD9">
        <w:rPr>
          <w:sz w:val="22"/>
          <w:szCs w:val="22"/>
          <w:u w:val="single"/>
        </w:rPr>
        <w:t>Rationale</w:t>
      </w:r>
      <w:r w:rsidRPr="6CEC0CD9">
        <w:rPr>
          <w:sz w:val="22"/>
          <w:szCs w:val="22"/>
        </w:rPr>
        <w:t xml:space="preserve">: </w:t>
      </w:r>
      <w:r w:rsidR="00B312EF">
        <w:rPr>
          <w:sz w:val="22"/>
          <w:szCs w:val="22"/>
        </w:rPr>
        <w:t>Only one study met all the a-priori criteria to support a recommendation</w:t>
      </w:r>
      <w:r w:rsidRPr="6CEC0CD9">
        <w:rPr>
          <w:sz w:val="22"/>
          <w:szCs w:val="22"/>
        </w:rPr>
        <w:t xml:space="preserve">. As a result of multivariate outcome analysis from two combined databases with 376 patients with tSCI, the initial GCS, as an indirect measure of concomitant TBI, did not significantly affect later motor recovery (as per FIM motor score) </w:t>
      </w:r>
      <w:r w:rsidR="00CC2793" w:rsidRPr="6CEC0CD9">
        <w:rPr>
          <w:sz w:val="22"/>
          <w:szCs w:val="22"/>
        </w:rPr>
        <w:fldChar w:fldCharType="begin"/>
      </w:r>
      <w:r w:rsidR="00E14A3A">
        <w:rPr>
          <w:sz w:val="22"/>
          <w:szCs w:val="22"/>
        </w:rPr>
        <w:instrText xml:space="preserve"> ADDIN ZOTERO_ITEM CSL_CITATION {"citationID":"K6KSCW2E","properties":{"formattedCitation":"[1]","plainCitation":"[1]","noteIndex":0},"citationItems":[{"id":19033,"uris":["http://zotero.org/groups/4673995/items/5U56ZB4U"],"itemData":{"id":19033,"type":"article-journal","container-title":"The Spine Journal","DOI":"10.1016/j.spinee.2013.08.005","ISSN":"15299430","issue":"7","journalAbbreviation":"The Spine Journal","language":"en","page":"1192-1198","source":"DOI.org (Crossref)","title":"Defining age-related differences in outcome after traumatic spinal cord injury: analysis of a combined, multicenter dataset","title-short":"Defining age-related differences in outcome after traumatic spinal cord injury","volume":"14","author":[{"family":"Wilson","given":"Jefferson R."},{"family":"Davis","given":"Aileen M."},{"family":"Kulkarni","given":"Abhaya V."},{"family":"Kiss","given":"Alex"},{"family":"Frankowski","given":"Ralph F."},{"family":"Grossman","given":"Robert G."},{"family":"Fehlings","given":"Michael G."}],"issued":{"date-parts":[["2014",7]]}}}],"schema":"https://github.com/citation-style-language/schema/raw/master/csl-citation.json"} </w:instrText>
      </w:r>
      <w:r w:rsidR="00CC2793" w:rsidRPr="6CEC0CD9">
        <w:rPr>
          <w:sz w:val="22"/>
          <w:szCs w:val="22"/>
        </w:rPr>
        <w:fldChar w:fldCharType="separate"/>
      </w:r>
      <w:r w:rsidR="00DD7646">
        <w:rPr>
          <w:rFonts w:ascii="Calibri" w:cs="Calibri"/>
          <w:sz w:val="22"/>
          <w:szCs w:val="22"/>
        </w:rPr>
        <w:t>[1]</w:t>
      </w:r>
      <w:r w:rsidR="00CC2793" w:rsidRPr="6CEC0CD9">
        <w:rPr>
          <w:sz w:val="22"/>
          <w:szCs w:val="22"/>
        </w:rPr>
        <w:fldChar w:fldCharType="end"/>
      </w:r>
      <w:r w:rsidRPr="6CEC0CD9">
        <w:rPr>
          <w:sz w:val="22"/>
          <w:szCs w:val="22"/>
        </w:rPr>
        <w:t xml:space="preserve">. </w:t>
      </w:r>
      <w:r w:rsidR="003647EF">
        <w:rPr>
          <w:sz w:val="22"/>
          <w:szCs w:val="22"/>
        </w:rPr>
        <w:t>H</w:t>
      </w:r>
      <w:r w:rsidRPr="6CEC0CD9">
        <w:rPr>
          <w:sz w:val="22"/>
          <w:szCs w:val="22"/>
        </w:rPr>
        <w:t>igh-energy injury mechanisms directly affect spine-related injuries and thus may lead to more severe fracture types</w:t>
      </w:r>
      <w:r w:rsidR="003647EF">
        <w:rPr>
          <w:sz w:val="22"/>
          <w:szCs w:val="22"/>
        </w:rPr>
        <w:t xml:space="preserve"> or </w:t>
      </w:r>
      <w:r w:rsidRPr="6CEC0CD9">
        <w:rPr>
          <w:sz w:val="22"/>
          <w:szCs w:val="22"/>
        </w:rPr>
        <w:t xml:space="preserve">dislocation of the spinal column and therefore more severe tSCI. </w:t>
      </w:r>
      <w:r w:rsidR="003647EF">
        <w:rPr>
          <w:sz w:val="22"/>
          <w:szCs w:val="22"/>
        </w:rPr>
        <w:t xml:space="preserve">Similarly, </w:t>
      </w:r>
      <w:r w:rsidRPr="6CEC0CD9">
        <w:rPr>
          <w:sz w:val="22"/>
          <w:szCs w:val="22"/>
        </w:rPr>
        <w:t>other organ systems are significantly at risk leading to higher degrees of multiple trauma types. The risk of attrition bias is inherent in the study of patients with severe trauma / multiple trauma.</w:t>
      </w:r>
    </w:p>
    <w:p w14:paraId="02C54728" w14:textId="5A2AF546" w:rsidR="6CEC0CD9" w:rsidRDefault="6CEC0CD9" w:rsidP="6CEC0CD9">
      <w:pPr>
        <w:spacing w:line="360" w:lineRule="auto"/>
        <w:ind w:left="720"/>
        <w:rPr>
          <w:sz w:val="22"/>
          <w:szCs w:val="22"/>
        </w:rPr>
      </w:pPr>
    </w:p>
    <w:p w14:paraId="445098D5" w14:textId="36532A09" w:rsidR="00CC2793" w:rsidRPr="00392388" w:rsidRDefault="3F7444A8" w:rsidP="3F7444A8">
      <w:pPr>
        <w:spacing w:line="360" w:lineRule="auto"/>
        <w:rPr>
          <w:sz w:val="22"/>
          <w:szCs w:val="22"/>
        </w:rPr>
      </w:pPr>
      <w:r w:rsidRPr="3F7444A8">
        <w:rPr>
          <w:sz w:val="22"/>
          <w:szCs w:val="22"/>
          <w:u w:val="single"/>
        </w:rPr>
        <w:t>Question</w:t>
      </w:r>
      <w:r w:rsidRPr="3F7444A8">
        <w:rPr>
          <w:sz w:val="22"/>
          <w:szCs w:val="22"/>
        </w:rPr>
        <w:t xml:space="preserve">:  When counseling patients, family members, and/or surrogates of adults with acute traumatic spinal cord injury, should pathological findings on MRI be considered a reliable predictor of worse functional outcome at discharge from rehabilitation or beyond? </w:t>
      </w:r>
    </w:p>
    <w:p w14:paraId="7062F909" w14:textId="65952A9A" w:rsidR="4042748E" w:rsidRDefault="4042748E" w:rsidP="4042748E">
      <w:pPr>
        <w:spacing w:line="360" w:lineRule="auto"/>
        <w:ind w:left="720"/>
        <w:rPr>
          <w:sz w:val="22"/>
          <w:szCs w:val="22"/>
        </w:rPr>
      </w:pPr>
      <w:r w:rsidRPr="4042748E">
        <w:rPr>
          <w:sz w:val="22"/>
          <w:szCs w:val="22"/>
          <w:u w:val="single"/>
        </w:rPr>
        <w:t>Recommendation</w:t>
      </w:r>
      <w:r w:rsidRPr="4042748E">
        <w:rPr>
          <w:sz w:val="22"/>
          <w:szCs w:val="22"/>
        </w:rPr>
        <w:t xml:space="preserve">: </w:t>
      </w:r>
      <w:r w:rsidR="00B312EF">
        <w:rPr>
          <w:sz w:val="22"/>
          <w:szCs w:val="22"/>
        </w:rPr>
        <w:t>There is insufficient evidence to provide a recommendation</w:t>
      </w:r>
      <w:r w:rsidRPr="4042748E">
        <w:rPr>
          <w:sz w:val="22"/>
          <w:szCs w:val="22"/>
        </w:rPr>
        <w:t>.</w:t>
      </w:r>
    </w:p>
    <w:p w14:paraId="1DB6B4D9" w14:textId="7B83DE58" w:rsidR="00CC2793" w:rsidRPr="00CC50C9" w:rsidRDefault="4042748E" w:rsidP="005B6574">
      <w:pPr>
        <w:spacing w:line="360" w:lineRule="auto"/>
        <w:ind w:left="720"/>
        <w:rPr>
          <w:sz w:val="22"/>
          <w:szCs w:val="22"/>
        </w:rPr>
      </w:pPr>
      <w:r w:rsidRPr="4042748E">
        <w:rPr>
          <w:sz w:val="22"/>
          <w:szCs w:val="22"/>
          <w:u w:val="single"/>
        </w:rPr>
        <w:t>Rationale</w:t>
      </w:r>
      <w:r w:rsidRPr="4042748E">
        <w:rPr>
          <w:sz w:val="22"/>
          <w:szCs w:val="22"/>
        </w:rPr>
        <w:t xml:space="preserve">: </w:t>
      </w:r>
      <w:r w:rsidR="00B312EF">
        <w:rPr>
          <w:sz w:val="22"/>
          <w:szCs w:val="22"/>
        </w:rPr>
        <w:t>Only one study met all the a-priori criteria to support a recommendation. P</w:t>
      </w:r>
      <w:r w:rsidRPr="4042748E">
        <w:rPr>
          <w:sz w:val="22"/>
          <w:szCs w:val="22"/>
        </w:rPr>
        <w:t>otential bias</w:t>
      </w:r>
      <w:r w:rsidR="00B312EF">
        <w:rPr>
          <w:sz w:val="22"/>
          <w:szCs w:val="22"/>
        </w:rPr>
        <w:t xml:space="preserve"> was present</w:t>
      </w:r>
      <w:r w:rsidRPr="4042748E">
        <w:rPr>
          <w:sz w:val="22"/>
          <w:szCs w:val="22"/>
        </w:rPr>
        <w:t xml:space="preserve"> in the QUIPS domains of study attrition, outcome measurement, statistical analysis and reporting. This included acute clinical and imaging factors in for the derivation of a prognostic model </w:t>
      </w:r>
      <w:r w:rsidR="6CEC0CD9" w:rsidRPr="4042748E">
        <w:rPr>
          <w:sz w:val="22"/>
          <w:szCs w:val="22"/>
        </w:rPr>
        <w:fldChar w:fldCharType="begin"/>
      </w:r>
      <w:r w:rsidR="00E14A3A">
        <w:rPr>
          <w:sz w:val="22"/>
          <w:szCs w:val="22"/>
        </w:rPr>
        <w:instrText xml:space="preserve"> ADDIN ZOTERO_ITEM CSL_CITATION {"citationID":"z66kM8vA","properties":{"formattedCitation":"[2]","plainCitation":"[2]","noteIndex":0},"citationItems":[{"id":19095,"uris":["http://zotero.org/groups/4673995/items/3RINUXE6"],"itemData":{"id":19095,"type":"article-journal","container-title":"Journal of Neurotrauma","DOI":"10.1089/neu.2012.2417","ISSN":"0897-7151, 1557-9042","issue":"13","journalAbbreviation":"Journal of Neurotrauma","language":"en","page":"2263-2271","source":"DOI.org (Crossref)","title":"A Clinical Prediction Model for Long-Term Functional Outcome after Traumatic Spinal Cord Injury Based on Acute Clinical and Imaging Factors","volume":"29","author":[{"family":"Wilson","given":"Jefferson R."},{"family":"Grossman","given":"Robert G."},{"family":"Frankowski","given":"Ralph F."},{"family":"Kiss","given":"Alexander"},{"family":"Davis","given":"Aileen M."},{"family":"Kulkarni","given":"Abhaya V."},{"family":"Harrop","given":"James S."},{"family":"Aarabi","given":"Bizhan"},{"family":"Vaccaro","given":"Alexander"},{"family":"Tator","given":"Charles H."},{"family":"Dvorak","given":"Marcel"},{"family":"Shaffrey","given":"Christopher I."},{"family":"Harkema","given":"Susan"},{"family":"Guest","given":"James D."},{"family":"Fehlings","given":"Michael G."}],"issued":{"date-parts":[["2012",9]]}}}],"schema":"https://github.com/citation-style-language/schema/raw/master/csl-citation.json"} </w:instrText>
      </w:r>
      <w:r w:rsidR="6CEC0CD9" w:rsidRPr="4042748E">
        <w:rPr>
          <w:sz w:val="22"/>
          <w:szCs w:val="22"/>
        </w:rPr>
        <w:fldChar w:fldCharType="separate"/>
      </w:r>
      <w:r w:rsidR="00DD7646">
        <w:rPr>
          <w:rFonts w:ascii="Calibri" w:cs="Calibri"/>
          <w:sz w:val="22"/>
          <w:szCs w:val="22"/>
        </w:rPr>
        <w:t>[2]</w:t>
      </w:r>
      <w:r w:rsidR="6CEC0CD9" w:rsidRPr="4042748E">
        <w:rPr>
          <w:sz w:val="22"/>
          <w:szCs w:val="22"/>
        </w:rPr>
        <w:fldChar w:fldCharType="end"/>
      </w:r>
      <w:r w:rsidRPr="4042748E">
        <w:rPr>
          <w:sz w:val="22"/>
          <w:szCs w:val="22"/>
        </w:rPr>
        <w:t xml:space="preserve">. Signal characteristics consistent with spinal cord edema or hemorrhage led to stepwise prediction of worse functional outcome in a linear model predicting FIM motor </w:t>
      </w:r>
      <w:r w:rsidRPr="4042748E">
        <w:rPr>
          <w:sz w:val="22"/>
          <w:szCs w:val="22"/>
        </w:rPr>
        <w:lastRenderedPageBreak/>
        <w:t xml:space="preserve">scores at 1 year. The study was eliminated from further analysis in the prediction model section because of lack of external validation. Although improvement in prognostication by clinico-radiological biomarkers appears inherently logical, one must consider that the same findings may ultimately trigger additional treatment such as early spinal canal decompression which will in turn alter neurological outcome. Unless spinal cord </w:t>
      </w:r>
      <w:r w:rsidR="003647EF" w:rsidRPr="4042748E">
        <w:rPr>
          <w:sz w:val="22"/>
          <w:szCs w:val="22"/>
        </w:rPr>
        <w:t>transection</w:t>
      </w:r>
      <w:r w:rsidRPr="4042748E">
        <w:rPr>
          <w:sz w:val="22"/>
          <w:szCs w:val="22"/>
        </w:rPr>
        <w:t xml:space="preserve"> is clearly demonstrated, pathological findings such as spinal canal compromise or intramedullary signal changes are inconsistent in </w:t>
      </w:r>
      <w:r w:rsidR="003647EF">
        <w:rPr>
          <w:sz w:val="22"/>
          <w:szCs w:val="22"/>
        </w:rPr>
        <w:t xml:space="preserve">predicting </w:t>
      </w:r>
      <w:r w:rsidRPr="4042748E">
        <w:rPr>
          <w:sz w:val="22"/>
          <w:szCs w:val="22"/>
        </w:rPr>
        <w:t xml:space="preserve">future functional improvement. </w:t>
      </w:r>
    </w:p>
    <w:p w14:paraId="43034D39" w14:textId="70B669E8" w:rsidR="00465F11" w:rsidRDefault="00465F11" w:rsidP="00A069CD">
      <w:pPr>
        <w:spacing w:line="360" w:lineRule="auto"/>
        <w:ind w:left="720"/>
        <w:rPr>
          <w:rFonts w:cstheme="minorHAnsi"/>
          <w:sz w:val="22"/>
          <w:szCs w:val="22"/>
        </w:rPr>
      </w:pPr>
    </w:p>
    <w:p w14:paraId="1A03FDAC" w14:textId="77777777" w:rsidR="00465F11" w:rsidRPr="00CC50C9" w:rsidRDefault="00465F11" w:rsidP="00465F11">
      <w:pPr>
        <w:spacing w:line="360" w:lineRule="auto"/>
        <w:rPr>
          <w:b/>
          <w:bCs/>
          <w:sz w:val="22"/>
          <w:szCs w:val="22"/>
          <w:u w:val="single"/>
        </w:rPr>
      </w:pPr>
      <w:r w:rsidRPr="5BC29E37">
        <w:rPr>
          <w:b/>
          <w:bCs/>
          <w:sz w:val="22"/>
          <w:szCs w:val="22"/>
          <w:u w:val="single"/>
        </w:rPr>
        <w:t>Outcome: AIS Improvement (conversion) (at discharge from rehabilitation or beyond)</w:t>
      </w:r>
    </w:p>
    <w:p w14:paraId="2109E032" w14:textId="77777777" w:rsidR="00465F11" w:rsidRDefault="00465F11" w:rsidP="00A069CD">
      <w:pPr>
        <w:spacing w:line="360" w:lineRule="auto"/>
        <w:ind w:left="720"/>
        <w:rPr>
          <w:rFonts w:cstheme="minorHAnsi"/>
          <w:sz w:val="22"/>
          <w:szCs w:val="22"/>
        </w:rPr>
      </w:pPr>
    </w:p>
    <w:p w14:paraId="3819E726" w14:textId="7EC73FEA" w:rsidR="4A197EAB" w:rsidRDefault="4E7EBFFB" w:rsidP="4E7EBFFB">
      <w:pPr>
        <w:spacing w:line="360" w:lineRule="auto"/>
      </w:pPr>
      <w:r w:rsidRPr="4E7EBFFB">
        <w:rPr>
          <w:sz w:val="22"/>
          <w:szCs w:val="22"/>
          <w:u w:val="single"/>
        </w:rPr>
        <w:t>Question</w:t>
      </w:r>
      <w:r w:rsidRPr="4E7EBFFB">
        <w:rPr>
          <w:sz w:val="22"/>
          <w:szCs w:val="22"/>
        </w:rPr>
        <w:t>: When counseling patients, family members, and/or surrogates of adults with acute traumatic spinal cord injury, should comorbidities be considered a reliable predictor of AIS conversion at discharge from rehabilitation or beyond?</w:t>
      </w:r>
    </w:p>
    <w:p w14:paraId="08F49ABC" w14:textId="29E8708A" w:rsidR="00150646" w:rsidRDefault="6CEC0CD9" w:rsidP="00150646">
      <w:pPr>
        <w:spacing w:line="360" w:lineRule="auto"/>
        <w:ind w:left="720"/>
        <w:rPr>
          <w:sz w:val="22"/>
          <w:szCs w:val="22"/>
        </w:rPr>
      </w:pPr>
      <w:r w:rsidRPr="6CEC0CD9">
        <w:rPr>
          <w:sz w:val="22"/>
          <w:szCs w:val="22"/>
          <w:u w:val="single"/>
        </w:rPr>
        <w:t>Recommendation</w:t>
      </w:r>
      <w:r w:rsidRPr="6CEC0CD9">
        <w:rPr>
          <w:sz w:val="22"/>
          <w:szCs w:val="22"/>
        </w:rPr>
        <w:t xml:space="preserve">: </w:t>
      </w:r>
      <w:r w:rsidR="00680DA4">
        <w:rPr>
          <w:sz w:val="22"/>
          <w:szCs w:val="22"/>
        </w:rPr>
        <w:t>There is insufficient evidence to provide a recommendation</w:t>
      </w:r>
      <w:r w:rsidR="00680DA4" w:rsidRPr="4042748E">
        <w:rPr>
          <w:sz w:val="22"/>
          <w:szCs w:val="22"/>
        </w:rPr>
        <w:t>.</w:t>
      </w:r>
      <w:r w:rsidRPr="6CEC0CD9">
        <w:rPr>
          <w:sz w:val="22"/>
          <w:szCs w:val="22"/>
        </w:rPr>
        <w:t xml:space="preserve">  </w:t>
      </w:r>
    </w:p>
    <w:p w14:paraId="5BA772A9" w14:textId="3B1C7E5C" w:rsidR="0F68070A" w:rsidRDefault="6CEC0CD9" w:rsidP="2ED33C26">
      <w:pPr>
        <w:spacing w:line="360" w:lineRule="auto"/>
        <w:ind w:left="720"/>
        <w:rPr>
          <w:sz w:val="22"/>
          <w:szCs w:val="22"/>
        </w:rPr>
      </w:pPr>
      <w:r w:rsidRPr="6CEC0CD9">
        <w:rPr>
          <w:sz w:val="22"/>
          <w:szCs w:val="22"/>
          <w:u w:val="single"/>
        </w:rPr>
        <w:t>Rationale</w:t>
      </w:r>
      <w:r w:rsidRPr="6CEC0CD9">
        <w:rPr>
          <w:sz w:val="22"/>
          <w:szCs w:val="22"/>
        </w:rPr>
        <w:t xml:space="preserve">: </w:t>
      </w:r>
      <w:r w:rsidR="00680DA4">
        <w:rPr>
          <w:sz w:val="22"/>
          <w:szCs w:val="22"/>
        </w:rPr>
        <w:t>Only one study met all the a-priori criteria to support a recommendation. P</w:t>
      </w:r>
      <w:r w:rsidR="00680DA4" w:rsidRPr="4042748E">
        <w:rPr>
          <w:sz w:val="22"/>
          <w:szCs w:val="22"/>
        </w:rPr>
        <w:t>otential bias</w:t>
      </w:r>
      <w:r w:rsidR="00680DA4">
        <w:rPr>
          <w:sz w:val="22"/>
          <w:szCs w:val="22"/>
        </w:rPr>
        <w:t xml:space="preserve"> was present</w:t>
      </w:r>
      <w:r w:rsidRPr="6CEC0CD9">
        <w:rPr>
          <w:sz w:val="22"/>
          <w:szCs w:val="22"/>
        </w:rPr>
        <w:t xml:space="preserve"> in the QUIPS domains of study participation, study confounding and self-fulfilling prophecy. The available evidence for the effect of comorbidities on AIS conversion following tSCI is scarce. In a monocentric study of 57 patients that enrolled only patients operated for cervical spine fractures, comorbidities as measured by the CCI had a significantly negative effect in univariate analysis with more comorbidities in the group without functional improvement. Similar associations were seen with higher age and deferred surgical timing (&gt;12hrs). Multivariate analyses, however, revealed no independent predictive value of the CCI for future AIS conversion </w:t>
      </w:r>
      <w:r w:rsidR="2ED33C26" w:rsidRPr="6CEC0CD9">
        <w:rPr>
          <w:sz w:val="22"/>
          <w:szCs w:val="22"/>
        </w:rPr>
        <w:fldChar w:fldCharType="begin"/>
      </w:r>
      <w:r w:rsidR="00E14A3A">
        <w:rPr>
          <w:sz w:val="22"/>
          <w:szCs w:val="22"/>
        </w:rPr>
        <w:instrText xml:space="preserve"> ADDIN ZOTERO_ITEM CSL_CITATION {"citationID":"ZOxj3szN","properties":{"formattedCitation":"[3]","plainCitation":"[3]","noteIndex":0},"citationItems":[{"id":19028,"uris":["http://zotero.org/groups/4673995/items/YGKYWA5M"],"itemData":{"id":19028,"type":"article-journal","container-title":"Asian Journal of Neurosurgery","DOI":"10.4103/1793-5482.161192","ISSN":"1793-5482","issue":"3","journalAbbreviation":"Asian J Neurosurg","language":"en","page":"207","source":"DOI.org (Crossref)","title":"Surgical treatment of cervical spine trauma: Our experience and results","title-short":"Surgical treatment of cervical spine trauma","volume":"10","author":[{"family":"Dobran","given":"Mauro"},{"family":"Iacoangeli","given":"Maurizio"},{"family":"Nocchi","given":"Niccolò"},{"family":"Di Rienzo","given":"Alessandro"},{"family":"Somma","given":"Lucia GiovannaMaria","non-dropping-particle":"di"},{"family":"Nasi","given":"Davide"},{"family":"Colasanti","given":"Roberto"},{"family":"Al-Fay","given":"Mohuammad"},{"family":"Scerrati","given":"Massimo"}],"issued":{"date-parts":[["2015"]]}}}],"schema":"https://github.com/citation-style-language/schema/raw/master/csl-citation.json"} </w:instrText>
      </w:r>
      <w:r w:rsidR="2ED33C26" w:rsidRPr="6CEC0CD9">
        <w:rPr>
          <w:sz w:val="22"/>
          <w:szCs w:val="22"/>
        </w:rPr>
        <w:fldChar w:fldCharType="separate"/>
      </w:r>
      <w:r w:rsidR="00DD7646">
        <w:rPr>
          <w:rFonts w:ascii="Calibri" w:cs="Calibri"/>
          <w:sz w:val="22"/>
          <w:szCs w:val="22"/>
        </w:rPr>
        <w:t>[3]</w:t>
      </w:r>
      <w:r w:rsidR="2ED33C26" w:rsidRPr="6CEC0CD9">
        <w:rPr>
          <w:sz w:val="22"/>
          <w:szCs w:val="22"/>
        </w:rPr>
        <w:fldChar w:fldCharType="end"/>
      </w:r>
      <w:r w:rsidRPr="6CEC0CD9">
        <w:rPr>
          <w:sz w:val="22"/>
          <w:szCs w:val="22"/>
        </w:rPr>
        <w:t>. Given only one study (with small sample size) met all requirements, but only in univariate and not multivariate analysis, the conclusion was drawn not to consider CCI as a reliable predictor.</w:t>
      </w:r>
    </w:p>
    <w:p w14:paraId="7B59AE98" w14:textId="5E4DD44D" w:rsidR="00CC2793" w:rsidRDefault="00CC2793" w:rsidP="0414ACA4">
      <w:pPr>
        <w:spacing w:line="360" w:lineRule="auto"/>
        <w:ind w:left="720"/>
        <w:rPr>
          <w:sz w:val="22"/>
          <w:szCs w:val="22"/>
        </w:rPr>
      </w:pPr>
    </w:p>
    <w:p w14:paraId="2CBEA225" w14:textId="77777777" w:rsidR="00465F11" w:rsidRPr="00CC50C9" w:rsidRDefault="00465F11" w:rsidP="00465F11">
      <w:pPr>
        <w:spacing w:line="360" w:lineRule="auto"/>
        <w:rPr>
          <w:rFonts w:cstheme="minorHAnsi"/>
          <w:b/>
          <w:bCs/>
          <w:sz w:val="22"/>
          <w:szCs w:val="22"/>
          <w:u w:val="single"/>
        </w:rPr>
      </w:pPr>
      <w:r w:rsidRPr="00CC50C9">
        <w:rPr>
          <w:rFonts w:cstheme="minorHAnsi"/>
          <w:b/>
          <w:bCs/>
          <w:sz w:val="22"/>
          <w:szCs w:val="22"/>
          <w:u w:val="single"/>
        </w:rPr>
        <w:t xml:space="preserve">Outcome: </w:t>
      </w:r>
      <w:r>
        <w:rPr>
          <w:rFonts w:cstheme="minorHAnsi"/>
          <w:b/>
          <w:bCs/>
          <w:sz w:val="22"/>
          <w:szCs w:val="22"/>
          <w:u w:val="single"/>
        </w:rPr>
        <w:t>Independent ambulation (at discharge from rehabilitation or beyond)</w:t>
      </w:r>
    </w:p>
    <w:p w14:paraId="6AD6828F" w14:textId="77777777" w:rsidR="00465F11" w:rsidRDefault="00465F11" w:rsidP="0414ACA4">
      <w:pPr>
        <w:spacing w:line="360" w:lineRule="auto"/>
        <w:ind w:left="720"/>
        <w:rPr>
          <w:sz w:val="22"/>
          <w:szCs w:val="22"/>
        </w:rPr>
      </w:pPr>
    </w:p>
    <w:p w14:paraId="1EC642F0" w14:textId="6C00A5C8" w:rsidR="00911B5E" w:rsidRPr="00CC50C9" w:rsidRDefault="6CEC0CD9" w:rsidP="08210CA5">
      <w:pPr>
        <w:spacing w:line="360" w:lineRule="auto"/>
      </w:pPr>
      <w:r w:rsidRPr="6CEC0CD9">
        <w:rPr>
          <w:sz w:val="22"/>
          <w:szCs w:val="22"/>
          <w:u w:val="single"/>
        </w:rPr>
        <w:t>Question</w:t>
      </w:r>
      <w:r w:rsidRPr="6CEC0CD9">
        <w:rPr>
          <w:sz w:val="22"/>
          <w:szCs w:val="22"/>
        </w:rPr>
        <w:t xml:space="preserve">: When counseling patients, family members, and/or surrogates of adults with acute traumatic spinal cord injury, should </w:t>
      </w:r>
      <w:r w:rsidRPr="6CEC0CD9">
        <w:rPr>
          <w:i/>
          <w:iCs/>
          <w:sz w:val="22"/>
          <w:szCs w:val="22"/>
        </w:rPr>
        <w:t xml:space="preserve">age OR neurologic level of injury OR </w:t>
      </w:r>
      <w:r w:rsidRPr="6CEC0CD9">
        <w:rPr>
          <w:rFonts w:ascii="Calibri" w:eastAsia="Calibri" w:hAnsi="Calibri" w:cs="Calibri"/>
          <w:i/>
          <w:iCs/>
        </w:rPr>
        <w:t>severity of injury as measured by the AIS</w:t>
      </w:r>
      <w:r w:rsidRPr="6CEC0CD9">
        <w:rPr>
          <w:sz w:val="22"/>
          <w:szCs w:val="22"/>
        </w:rPr>
        <w:t xml:space="preserve"> at time of injury be considered a reliable predictor of future independent ambulation at discharge from rehabilitation or beyond?</w:t>
      </w:r>
    </w:p>
    <w:p w14:paraId="0C7BCFD8" w14:textId="77777777" w:rsidR="00901029" w:rsidRDefault="6CEC0CD9" w:rsidP="08210CA5">
      <w:pPr>
        <w:spacing w:line="360" w:lineRule="auto"/>
        <w:ind w:left="720"/>
        <w:rPr>
          <w:sz w:val="22"/>
          <w:szCs w:val="22"/>
        </w:rPr>
      </w:pPr>
      <w:r w:rsidRPr="6CEC0CD9">
        <w:rPr>
          <w:sz w:val="22"/>
          <w:szCs w:val="22"/>
          <w:u w:val="single"/>
        </w:rPr>
        <w:lastRenderedPageBreak/>
        <w:t>Recommendation</w:t>
      </w:r>
      <w:r w:rsidRPr="6CEC0CD9">
        <w:rPr>
          <w:sz w:val="22"/>
          <w:szCs w:val="22"/>
        </w:rPr>
        <w:t xml:space="preserve">: </w:t>
      </w:r>
      <w:r w:rsidR="00901029">
        <w:rPr>
          <w:sz w:val="22"/>
          <w:szCs w:val="22"/>
        </w:rPr>
        <w:t>There is insufficient evidence to provide a recommendation</w:t>
      </w:r>
      <w:r w:rsidR="00901029" w:rsidRPr="4042748E">
        <w:rPr>
          <w:sz w:val="22"/>
          <w:szCs w:val="22"/>
        </w:rPr>
        <w:t>.</w:t>
      </w:r>
      <w:r w:rsidR="00901029" w:rsidRPr="6CEC0CD9">
        <w:rPr>
          <w:sz w:val="22"/>
          <w:szCs w:val="22"/>
        </w:rPr>
        <w:t xml:space="preserve">  </w:t>
      </w:r>
    </w:p>
    <w:p w14:paraId="19CB0815" w14:textId="030309C5" w:rsidR="001C1B19" w:rsidRPr="00204D0C" w:rsidRDefault="6CEC0CD9" w:rsidP="08210CA5">
      <w:pPr>
        <w:spacing w:line="360" w:lineRule="auto"/>
        <w:ind w:left="720"/>
        <w:rPr>
          <w:sz w:val="22"/>
          <w:szCs w:val="22"/>
        </w:rPr>
      </w:pPr>
      <w:r w:rsidRPr="6CEC0CD9">
        <w:rPr>
          <w:sz w:val="22"/>
          <w:szCs w:val="22"/>
          <w:u w:val="single"/>
        </w:rPr>
        <w:t>Rationale</w:t>
      </w:r>
      <w:r w:rsidRPr="6CEC0CD9">
        <w:rPr>
          <w:sz w:val="22"/>
          <w:szCs w:val="22"/>
        </w:rPr>
        <w:t xml:space="preserve">: </w:t>
      </w:r>
      <w:r w:rsidR="00C50DF4">
        <w:rPr>
          <w:sz w:val="22"/>
          <w:szCs w:val="22"/>
        </w:rPr>
        <w:t>O</w:t>
      </w:r>
      <w:r w:rsidRPr="6CEC0CD9">
        <w:rPr>
          <w:sz w:val="22"/>
          <w:szCs w:val="22"/>
        </w:rPr>
        <w:t xml:space="preserve">ne study </w:t>
      </w:r>
      <w:r w:rsidR="00C50DF4">
        <w:rPr>
          <w:sz w:val="22"/>
          <w:szCs w:val="22"/>
        </w:rPr>
        <w:t xml:space="preserve">met inclusion criteria and </w:t>
      </w:r>
      <w:r w:rsidRPr="6CEC0CD9">
        <w:rPr>
          <w:sz w:val="22"/>
          <w:szCs w:val="22"/>
        </w:rPr>
        <w:t>demonstrat</w:t>
      </w:r>
      <w:r w:rsidR="00C50DF4">
        <w:rPr>
          <w:sz w:val="22"/>
          <w:szCs w:val="22"/>
        </w:rPr>
        <w:t xml:space="preserve">ed risk of bias </w:t>
      </w:r>
      <w:r w:rsidRPr="6CEC0CD9">
        <w:rPr>
          <w:sz w:val="22"/>
          <w:szCs w:val="22"/>
        </w:rPr>
        <w:t xml:space="preserve">in the QUIPS domains of </w:t>
      </w:r>
      <w:r w:rsidRPr="6CEC0CD9">
        <w:rPr>
          <w:rFonts w:ascii="Calibri" w:eastAsia="Calibri" w:hAnsi="Calibri" w:cs="Calibri"/>
          <w:sz w:val="22"/>
          <w:szCs w:val="22"/>
        </w:rPr>
        <w:t xml:space="preserve">study participation and attrition, confounding, and self-fulfilling prophecy. </w:t>
      </w:r>
      <w:r w:rsidRPr="6CEC0CD9">
        <w:rPr>
          <w:sz w:val="22"/>
          <w:szCs w:val="22"/>
        </w:rPr>
        <w:t xml:space="preserve">Although older age seems to have an impact on the natural course of recovery from neurological injuries such as tSCI, age thresholds (e.g., &gt;65 yrs or &gt;50 yrs) vary across studies and are arbitrary. In a study of 400 patients of patients with thoracic </w:t>
      </w:r>
      <w:r w:rsidR="00C50DF4" w:rsidRPr="6CEC0CD9">
        <w:rPr>
          <w:sz w:val="22"/>
          <w:szCs w:val="22"/>
        </w:rPr>
        <w:t>tSCI</w:t>
      </w:r>
      <w:r w:rsidR="00C50DF4">
        <w:rPr>
          <w:sz w:val="22"/>
          <w:szCs w:val="22"/>
        </w:rPr>
        <w:t>,</w:t>
      </w:r>
      <w:r w:rsidR="00C50DF4" w:rsidRPr="6CEC0CD9">
        <w:rPr>
          <w:sz w:val="22"/>
          <w:szCs w:val="22"/>
        </w:rPr>
        <w:t xml:space="preserve"> the</w:t>
      </w:r>
      <w:r w:rsidRPr="6CEC0CD9">
        <w:rPr>
          <w:sz w:val="22"/>
          <w:szCs w:val="22"/>
        </w:rPr>
        <w:t xml:space="preserve"> odds ratios for walking at </w:t>
      </w:r>
      <w:r w:rsidR="00C50DF4" w:rsidRPr="6CEC0CD9">
        <w:rPr>
          <w:sz w:val="22"/>
          <w:szCs w:val="22"/>
        </w:rPr>
        <w:t>1-year</w:t>
      </w:r>
      <w:r w:rsidRPr="6CEC0CD9">
        <w:rPr>
          <w:sz w:val="22"/>
          <w:szCs w:val="22"/>
        </w:rPr>
        <w:t xml:space="preserve"> post injury were not significantly affected by age (OR 1.8; 0.8-4.0), but </w:t>
      </w:r>
      <w:r w:rsidR="00C50DF4">
        <w:rPr>
          <w:sz w:val="22"/>
          <w:szCs w:val="22"/>
        </w:rPr>
        <w:t xml:space="preserve">were impacted </w:t>
      </w:r>
      <w:r w:rsidRPr="6CEC0CD9">
        <w:rPr>
          <w:sz w:val="22"/>
          <w:szCs w:val="22"/>
        </w:rPr>
        <w:t xml:space="preserve">by the initial AIS grade and whether the </w:t>
      </w:r>
      <w:r w:rsidR="00861A7A">
        <w:rPr>
          <w:sz w:val="22"/>
          <w:szCs w:val="22"/>
        </w:rPr>
        <w:t>NLI</w:t>
      </w:r>
      <w:r w:rsidRPr="6CEC0CD9">
        <w:rPr>
          <w:sz w:val="22"/>
          <w:szCs w:val="22"/>
        </w:rPr>
        <w:t xml:space="preserve"> was in the upper or lower thoracic spinal cord </w:t>
      </w:r>
      <w:r w:rsidR="08210CA5" w:rsidRPr="6CEC0CD9">
        <w:rPr>
          <w:sz w:val="22"/>
          <w:szCs w:val="22"/>
        </w:rPr>
        <w:fldChar w:fldCharType="begin"/>
      </w:r>
      <w:r w:rsidR="00E14A3A">
        <w:rPr>
          <w:sz w:val="22"/>
          <w:szCs w:val="22"/>
        </w:rPr>
        <w:instrText xml:space="preserve"> ADDIN ZOTERO_ITEM CSL_CITATION {"citationID":"k6K9XaCQ","properties":{"formattedCitation":"[4]","plainCitation":"[4]","noteIndex":0},"citationItems":[{"id":19119,"uris":["http://zotero.org/groups/4673995/items/G73HFRQ8"],"itemData":{"id":19119,"type":"article-journal","abstract":"OBJECTIVE: To describe neurological and functional outcomes after traumatic paraplegia.\nDESIGN: Retrospective analysis of longitudinal database.\nSETTING: Spinal Cord Injury Model Systems.\nPARTICIPANTS: Six hundred sixty-one subjects enrolled in the Spinal Cord Injury Model Systems database, injured between 2000 and 2011, with initial neurological level of injury from T2-12. Two hundred sixty-five subjects had second neurological exams and 400 subjects had Functional Independence Measure (FIM) scores ≥6 months after injury.\nOUTCOME MEASURES: American Spinal Injury Association Impairment Scale (AIS) grade, sensory level (SL), lower extremity motor scores (LEMS), and FIM.\nRESULTS: At baseline, 73% of subjects were AIS A, and among them, 15.5% converted to motor incomplete. The mean SL increase for subjects with an AIS A grade was 0.33 ± 0.21; 86% remained within two levels of baseline. Subjects with low thoracic paraplegia (T10-12) demonstrated greater LEMS gain than high paraplegia (T2-9), and also had higher 1-year FIM scores, which had not been noted in earlier reports. Better FIM scores were also correlated with better AIS grades, younger age and increase in AIS grade. Ability to walk at 1 year was associated with low thoracic injury, higher initial LEMS, incomplete injury and increase in AIS grade.\nCONCLUSION: Little neurological recovery is seen in persons with complete thoracic SCI, especially with levels above T10. Persons who are older at the time of injury have poorer functional recovery than younger persons. Conversion to a better AIS grade is associated with improvement in self-care and mobility at 1 year.","container-title":"The Journal of Spinal Cord Medicine","DOI":"10.1179/2045772314Y.0000000280","ISSN":"2045-7723","issue":"1","journalAbbreviation":"J Spinal Cord Med","language":"eng","note":"PMID: 25520184\nPMCID: PMC4725794","page":"67-76","source":"PubMed","title":"Neurological and functional recovery after thoracic spinal cord injury","volume":"39","author":[{"family":"Lee","given":"Brian A."},{"family":"Leiby","given":"Benjamin E."},{"family":"Marino","given":"Ralph J."}],"issued":{"date-parts":[["2016"]]}}}],"schema":"https://github.com/citation-style-language/schema/raw/master/csl-citation.json"} </w:instrText>
      </w:r>
      <w:r w:rsidR="08210CA5" w:rsidRPr="6CEC0CD9">
        <w:rPr>
          <w:sz w:val="22"/>
          <w:szCs w:val="22"/>
        </w:rPr>
        <w:fldChar w:fldCharType="separate"/>
      </w:r>
      <w:r w:rsidR="00DD7646">
        <w:rPr>
          <w:rFonts w:ascii="Calibri" w:cs="Calibri"/>
          <w:sz w:val="22"/>
          <w:szCs w:val="22"/>
        </w:rPr>
        <w:t>[4]</w:t>
      </w:r>
      <w:r w:rsidR="08210CA5" w:rsidRPr="6CEC0CD9">
        <w:rPr>
          <w:sz w:val="22"/>
          <w:szCs w:val="22"/>
        </w:rPr>
        <w:fldChar w:fldCharType="end"/>
      </w:r>
      <w:r w:rsidRPr="6CEC0CD9">
        <w:rPr>
          <w:sz w:val="22"/>
          <w:szCs w:val="22"/>
        </w:rPr>
        <w:t xml:space="preserve">. While in tetraplegic patients motor improvement is typically seen in the upper extremities, improvement in lower extremity strength also occurs. In this study the odds for independent ambulation at 1 year increased for thoracic tSCI below T9 as compared to higher thoracic injuries. Multivariate analysis revealed an odds ratio of 2.4 (1.2-4.9). Only 5.4% of patients with complete (AIS A) thoracic or thoraco-lumbar injuries recovered to independent ambulation. In comparison the odds for independent ambulation at 1 year in patients with AIS B-D injuries increased to an OR 6.0 (2.7- 13.5), OR 30.4 (12.5-74.0), and OR 72.6 (18.5-285.0), respectively </w:t>
      </w:r>
      <w:r w:rsidR="08210CA5" w:rsidRPr="6CEC0CD9">
        <w:rPr>
          <w:sz w:val="22"/>
          <w:szCs w:val="22"/>
        </w:rPr>
        <w:fldChar w:fldCharType="begin"/>
      </w:r>
      <w:r w:rsidR="00E14A3A">
        <w:rPr>
          <w:sz w:val="22"/>
          <w:szCs w:val="22"/>
        </w:rPr>
        <w:instrText xml:space="preserve"> ADDIN ZOTERO_ITEM CSL_CITATION {"citationID":"ghD3g9KK","properties":{"formattedCitation":"[4]","plainCitation":"[4]","noteIndex":0},"citationItems":[{"id":19119,"uris":["http://zotero.org/groups/4673995/items/G73HFRQ8"],"itemData":{"id":19119,"type":"article-journal","abstract":"OBJECTIVE: To describe neurological and functional outcomes after traumatic paraplegia.\nDESIGN: Retrospective analysis of longitudinal database.\nSETTING: Spinal Cord Injury Model Systems.\nPARTICIPANTS: Six hundred sixty-one subjects enrolled in the Spinal Cord Injury Model Systems database, injured between 2000 and 2011, with initial neurological level of injury from T2-12. Two hundred sixty-five subjects had second neurological exams and 400 subjects had Functional Independence Measure (FIM) scores ≥6 months after injury.\nOUTCOME MEASURES: American Spinal Injury Association Impairment Scale (AIS) grade, sensory level (SL), lower extremity motor scores (LEMS), and FIM.\nRESULTS: At baseline, 73% of subjects were AIS A, and among them, 15.5% converted to motor incomplete. The mean SL increase for subjects with an AIS A grade was 0.33 ± 0.21; 86% remained within two levels of baseline. Subjects with low thoracic paraplegia (T10-12) demonstrated greater LEMS gain than high paraplegia (T2-9), and also had higher 1-year FIM scores, which had not been noted in earlier reports. Better FIM scores were also correlated with better AIS grades, younger age and increase in AIS grade. Ability to walk at 1 year was associated with low thoracic injury, higher initial LEMS, incomplete injury and increase in AIS grade.\nCONCLUSION: Little neurological recovery is seen in persons with complete thoracic SCI, especially with levels above T10. Persons who are older at the time of injury have poorer functional recovery than younger persons. Conversion to a better AIS grade is associated with improvement in self-care and mobility at 1 year.","container-title":"The Journal of Spinal Cord Medicine","DOI":"10.1179/2045772314Y.0000000280","ISSN":"2045-7723","issue":"1","journalAbbreviation":"J Spinal Cord Med","language":"eng","note":"PMID: 25520184\nPMCID: PMC4725794","page":"67-76","source":"PubMed","title":"Neurological and functional recovery after thoracic spinal cord injury","volume":"39","author":[{"family":"Lee","given":"Brian A."},{"family":"Leiby","given":"Benjamin E."},{"family":"Marino","given":"Ralph J."}],"issued":{"date-parts":[["2016"]]}}}],"schema":"https://github.com/citation-style-language/schema/raw/master/csl-citation.json"} </w:instrText>
      </w:r>
      <w:r w:rsidR="08210CA5" w:rsidRPr="6CEC0CD9">
        <w:rPr>
          <w:sz w:val="22"/>
          <w:szCs w:val="22"/>
        </w:rPr>
        <w:fldChar w:fldCharType="separate"/>
      </w:r>
      <w:r w:rsidR="00DD7646">
        <w:rPr>
          <w:noProof/>
          <w:sz w:val="22"/>
          <w:szCs w:val="22"/>
        </w:rPr>
        <w:t>[4]</w:t>
      </w:r>
      <w:r w:rsidR="08210CA5" w:rsidRPr="6CEC0CD9">
        <w:rPr>
          <w:sz w:val="22"/>
          <w:szCs w:val="22"/>
        </w:rPr>
        <w:fldChar w:fldCharType="end"/>
      </w:r>
      <w:r w:rsidRPr="6CEC0CD9">
        <w:rPr>
          <w:sz w:val="22"/>
          <w:szCs w:val="22"/>
        </w:rPr>
        <w:t xml:space="preserve">. Thus, in multivariate analysis all three factors were independent predictors of future ambulatory potential. This study may serve as a positive example to guide future study and model development to help support a recommendation. </w:t>
      </w:r>
    </w:p>
    <w:p w14:paraId="7FB94F01" w14:textId="4180ADA4" w:rsidR="0414ACA4" w:rsidRDefault="0414ACA4" w:rsidP="6CEC0CD9">
      <w:pPr>
        <w:spacing w:line="360" w:lineRule="auto"/>
        <w:ind w:left="720"/>
        <w:rPr>
          <w:sz w:val="22"/>
          <w:szCs w:val="22"/>
        </w:rPr>
      </w:pPr>
    </w:p>
    <w:p w14:paraId="7E854293" w14:textId="73441125" w:rsidR="00494525" w:rsidRPr="00CC50C9" w:rsidRDefault="00601824" w:rsidP="00A069CD">
      <w:pPr>
        <w:spacing w:line="360" w:lineRule="auto"/>
        <w:rPr>
          <w:rFonts w:cstheme="minorHAnsi"/>
          <w:sz w:val="22"/>
          <w:szCs w:val="22"/>
        </w:rPr>
      </w:pPr>
      <w:r w:rsidRPr="00CC50C9">
        <w:rPr>
          <w:rFonts w:cstheme="minorHAnsi"/>
          <w:sz w:val="22"/>
          <w:szCs w:val="22"/>
        </w:rPr>
        <w:br w:type="page"/>
      </w:r>
    </w:p>
    <w:p w14:paraId="487C085F" w14:textId="6D1CA224" w:rsidR="00412CDB" w:rsidRPr="00AD5AE3" w:rsidRDefault="00494525">
      <w:pPr>
        <w:rPr>
          <w:rFonts w:cstheme="minorHAnsi"/>
          <w:bCs/>
          <w:sz w:val="22"/>
          <w:szCs w:val="22"/>
        </w:rPr>
      </w:pPr>
      <w:r w:rsidRPr="00AD5AE3">
        <w:rPr>
          <w:rFonts w:cstheme="minorHAnsi"/>
          <w:bCs/>
          <w:sz w:val="22"/>
          <w:szCs w:val="22"/>
        </w:rPr>
        <w:lastRenderedPageBreak/>
        <w:t>REFERENCES</w:t>
      </w:r>
    </w:p>
    <w:p w14:paraId="16AC7316" w14:textId="77777777" w:rsidR="00494525" w:rsidRPr="00AD5AE3" w:rsidRDefault="00494525">
      <w:pPr>
        <w:rPr>
          <w:rFonts w:cstheme="minorHAnsi"/>
          <w:sz w:val="22"/>
          <w:szCs w:val="22"/>
        </w:rPr>
      </w:pPr>
    </w:p>
    <w:p w14:paraId="1E654148" w14:textId="77777777" w:rsidR="00E14A3A" w:rsidRPr="00E14A3A" w:rsidRDefault="009D2F24" w:rsidP="00E14A3A">
      <w:pPr>
        <w:widowControl w:val="0"/>
        <w:autoSpaceDE w:val="0"/>
        <w:autoSpaceDN w:val="0"/>
        <w:adjustRightInd w:val="0"/>
        <w:rPr>
          <w:rFonts w:ascii="Times New Roman" w:hAnsi="Times New Roman" w:cs="Times New Roman"/>
        </w:rPr>
      </w:pPr>
      <w:r w:rsidRPr="00AD5AE3">
        <w:t xml:space="preserve"> </w:t>
      </w:r>
      <w:r w:rsidR="00A230CB" w:rsidRPr="00AD5AE3">
        <w:rPr>
          <w:b/>
          <w:bCs/>
          <w:sz w:val="22"/>
          <w:szCs w:val="22"/>
        </w:rPr>
        <w:fldChar w:fldCharType="begin"/>
      </w:r>
      <w:r w:rsidR="00E14A3A">
        <w:rPr>
          <w:b/>
        </w:rPr>
        <w:instrText xml:space="preserve"> ADDIN ZOTERO_BIBL {"uncited":[],"omitted":[],"custom":[]} CSL_BIBLIOGRAPHY </w:instrText>
      </w:r>
      <w:r w:rsidR="00A230CB" w:rsidRPr="00AD5AE3">
        <w:rPr>
          <w:b/>
          <w:bCs/>
          <w:sz w:val="22"/>
          <w:szCs w:val="22"/>
        </w:rPr>
        <w:fldChar w:fldCharType="separate"/>
      </w:r>
      <w:r w:rsidR="00E14A3A" w:rsidRPr="00E14A3A">
        <w:rPr>
          <w:rFonts w:ascii="Times New Roman" w:hAnsi="Times New Roman" w:cs="Times New Roman"/>
        </w:rPr>
        <w:t>[1]</w:t>
      </w:r>
      <w:r w:rsidR="00E14A3A" w:rsidRPr="00E14A3A">
        <w:rPr>
          <w:rFonts w:ascii="Times New Roman" w:hAnsi="Times New Roman" w:cs="Times New Roman"/>
        </w:rPr>
        <w:tab/>
        <w:t>J.R. Wilson, A.M. Davis, A.V. Kulkarni, A. Kiss, R.F. Frankowski, R.G. Grossman, M.G. Fehlings, Defining age-related differences in outcome after traumatic spinal cord injury: analysis of a combined, multicenter dataset, The Spine Journal. 14 (2014) 1192–1198. https://doi.org/10.1016/j.spinee.2013.08.005.</w:t>
      </w:r>
    </w:p>
    <w:p w14:paraId="2D861ADC" w14:textId="77777777" w:rsidR="00E14A3A" w:rsidRPr="00E14A3A" w:rsidRDefault="00E14A3A" w:rsidP="00E14A3A">
      <w:pPr>
        <w:widowControl w:val="0"/>
        <w:autoSpaceDE w:val="0"/>
        <w:autoSpaceDN w:val="0"/>
        <w:adjustRightInd w:val="0"/>
        <w:rPr>
          <w:rFonts w:ascii="Times New Roman" w:hAnsi="Times New Roman" w:cs="Times New Roman"/>
        </w:rPr>
      </w:pPr>
      <w:r w:rsidRPr="00E14A3A">
        <w:rPr>
          <w:rFonts w:ascii="Times New Roman" w:hAnsi="Times New Roman" w:cs="Times New Roman"/>
        </w:rPr>
        <w:t>[2]</w:t>
      </w:r>
      <w:r w:rsidRPr="00E14A3A">
        <w:rPr>
          <w:rFonts w:ascii="Times New Roman" w:hAnsi="Times New Roman" w:cs="Times New Roman"/>
        </w:rPr>
        <w:tab/>
        <w:t>J.R. Wilson, R.G. Grossman, R.F. Frankowski, A. Kiss, A.M. Davis, A.V. Kulkarni, J.S. Harrop, B. Aarabi, A. Vaccaro, C.H. Tator, M. Dvorak, C.I. Shaffrey, S. Harkema, J.D. Guest, M.G. Fehlings, A Clinical Prediction Model for Long-Term Functional Outcome after Traumatic Spinal Cord Injury Based on Acute Clinical and Imaging Factors, Journal of Neurotrauma. 29 (2012) 2263–2271. https://doi.org/10.1089/neu.2012.2417.</w:t>
      </w:r>
    </w:p>
    <w:p w14:paraId="0CC12A24" w14:textId="77777777" w:rsidR="00E14A3A" w:rsidRPr="00E14A3A" w:rsidRDefault="00E14A3A" w:rsidP="00E14A3A">
      <w:pPr>
        <w:widowControl w:val="0"/>
        <w:autoSpaceDE w:val="0"/>
        <w:autoSpaceDN w:val="0"/>
        <w:adjustRightInd w:val="0"/>
        <w:rPr>
          <w:rFonts w:ascii="Times New Roman" w:hAnsi="Times New Roman" w:cs="Times New Roman"/>
        </w:rPr>
      </w:pPr>
      <w:r w:rsidRPr="00E14A3A">
        <w:rPr>
          <w:rFonts w:ascii="Times New Roman" w:hAnsi="Times New Roman" w:cs="Times New Roman"/>
        </w:rPr>
        <w:t>[3]</w:t>
      </w:r>
      <w:r w:rsidRPr="00E14A3A">
        <w:rPr>
          <w:rFonts w:ascii="Times New Roman" w:hAnsi="Times New Roman" w:cs="Times New Roman"/>
        </w:rPr>
        <w:tab/>
        <w:t>M. Dobran, M. Iacoangeli, N. Nocchi, A. Di Rienzo, L.G. di Somma, D. Nasi, R. Colasanti, M. Al-Fay, M. Scerrati, Surgical treatment of cervical spine trauma: Our experience and results, Asian J Neurosurg. 10 (2015) 207. https://doi.org/10.4103/1793-5482.161192.</w:t>
      </w:r>
    </w:p>
    <w:p w14:paraId="697A4DBD" w14:textId="77777777" w:rsidR="00E14A3A" w:rsidRPr="00E14A3A" w:rsidRDefault="00E14A3A" w:rsidP="00E14A3A">
      <w:pPr>
        <w:widowControl w:val="0"/>
        <w:autoSpaceDE w:val="0"/>
        <w:autoSpaceDN w:val="0"/>
        <w:adjustRightInd w:val="0"/>
        <w:rPr>
          <w:rFonts w:ascii="Times New Roman" w:hAnsi="Times New Roman" w:cs="Times New Roman"/>
        </w:rPr>
      </w:pPr>
      <w:r w:rsidRPr="00E14A3A">
        <w:rPr>
          <w:rFonts w:ascii="Times New Roman" w:hAnsi="Times New Roman" w:cs="Times New Roman"/>
        </w:rPr>
        <w:t>[4]</w:t>
      </w:r>
      <w:r w:rsidRPr="00E14A3A">
        <w:rPr>
          <w:rFonts w:ascii="Times New Roman" w:hAnsi="Times New Roman" w:cs="Times New Roman"/>
        </w:rPr>
        <w:tab/>
        <w:t>B.A. Lee, B.E. Leiby, R.J. Marino, Neurological and functional recovery after thoracic spinal cord injury, J Spinal Cord Med. 39 (2016) 67–76. https://doi.org/10.1179/2045772314Y.0000000280.</w:t>
      </w:r>
    </w:p>
    <w:p w14:paraId="3943495F" w14:textId="5F42E5C6" w:rsidR="00687FD5" w:rsidRDefault="00A230CB">
      <w:pPr>
        <w:rPr>
          <w:rFonts w:ascii="Times New Roman" w:hAnsi="Times New Roman" w:cs="Times New Roman"/>
        </w:rPr>
      </w:pPr>
      <w:r w:rsidRPr="00AD5AE3">
        <w:rPr>
          <w:rFonts w:ascii="Times New Roman" w:hAnsi="Times New Roman" w:cs="Times New Roman"/>
        </w:rPr>
        <w:fldChar w:fldCharType="end"/>
      </w:r>
    </w:p>
    <w:p w14:paraId="4514E678" w14:textId="77777777" w:rsidR="00687FD5" w:rsidRDefault="00687FD5">
      <w:pPr>
        <w:rPr>
          <w:rFonts w:ascii="Times New Roman" w:hAnsi="Times New Roman" w:cs="Times New Roman"/>
        </w:rPr>
      </w:pPr>
      <w:r>
        <w:rPr>
          <w:rFonts w:ascii="Times New Roman" w:hAnsi="Times New Roman" w:cs="Times New Roman"/>
        </w:rPr>
        <w:br w:type="page"/>
      </w:r>
    </w:p>
    <w:p w14:paraId="608FFEF8" w14:textId="77777777" w:rsidR="00687FD5" w:rsidRPr="00687FD5" w:rsidRDefault="00687FD5" w:rsidP="00687FD5">
      <w:pPr>
        <w:rPr>
          <w:rFonts w:cstheme="minorHAnsi"/>
          <w:sz w:val="22"/>
          <w:szCs w:val="22"/>
        </w:rPr>
      </w:pPr>
    </w:p>
    <w:p w14:paraId="0F355985" w14:textId="77777777" w:rsidR="00687FD5" w:rsidRPr="00687FD5" w:rsidRDefault="00687FD5" w:rsidP="00687FD5">
      <w:pPr>
        <w:rPr>
          <w:rFonts w:cstheme="minorHAnsi"/>
          <w:sz w:val="22"/>
          <w:szCs w:val="22"/>
        </w:rPr>
      </w:pPr>
    </w:p>
    <w:p w14:paraId="2B471E89" w14:textId="77777777" w:rsidR="00D40706" w:rsidRPr="00CC50C9" w:rsidRDefault="00D40706">
      <w:pPr>
        <w:rPr>
          <w:rFonts w:cstheme="minorHAnsi"/>
          <w:sz w:val="22"/>
          <w:szCs w:val="22"/>
        </w:rPr>
      </w:pPr>
    </w:p>
    <w:sectPr w:rsidR="00D40706" w:rsidRPr="00CC50C9" w:rsidSect="00B6387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2DFDF" w14:textId="77777777" w:rsidR="008E24B8" w:rsidRDefault="008E24B8" w:rsidP="001F1839">
      <w:r>
        <w:separator/>
      </w:r>
    </w:p>
  </w:endnote>
  <w:endnote w:type="continuationSeparator" w:id="0">
    <w:p w14:paraId="34612DF2" w14:textId="77777777" w:rsidR="008E24B8" w:rsidRDefault="008E24B8" w:rsidP="001F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9595052"/>
      <w:docPartObj>
        <w:docPartGallery w:val="Page Numbers (Bottom of Page)"/>
        <w:docPartUnique/>
      </w:docPartObj>
    </w:sdtPr>
    <w:sdtEndPr>
      <w:rPr>
        <w:noProof/>
      </w:rPr>
    </w:sdtEndPr>
    <w:sdtContent>
      <w:p w14:paraId="5439BED3" w14:textId="6F7D21F3" w:rsidR="001F1839" w:rsidRDefault="001F1839">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60B1A603" w14:textId="77777777" w:rsidR="001F1839" w:rsidRDefault="001F18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68A95E" w14:textId="77777777" w:rsidR="008E24B8" w:rsidRDefault="008E24B8" w:rsidP="001F1839">
      <w:r>
        <w:separator/>
      </w:r>
    </w:p>
  </w:footnote>
  <w:footnote w:type="continuationSeparator" w:id="0">
    <w:p w14:paraId="3C3DFC68" w14:textId="77777777" w:rsidR="008E24B8" w:rsidRDefault="008E24B8" w:rsidP="001F1839">
      <w:r>
        <w:continuationSeparator/>
      </w:r>
    </w:p>
  </w:footnote>
</w:footnotes>
</file>

<file path=word/intelligence.xml><?xml version="1.0" encoding="utf-8"?>
<int:Intelligence xmlns:int="http://schemas.microsoft.com/office/intelligence/2019/intelligence">
  <int:IntelligenceSettings/>
  <int:Manifest>
    <int:WordHash hashCode="vvI4nGzrd4D05k" id="i8JrUCVH"/>
    <int:WordHash hashCode="QgrT4DZlTyMq4o" id="ym2ZZ9sE"/>
    <int:WordHash hashCode="ULmBeJfTWh/bB/" id="8gig9Ozv"/>
    <int:WordHash hashCode="OAs2pYcbhjsdAO" id="MYwqtQeN"/>
    <int:WordHash hashCode="VgpBpPXQWJqfR2" id="IJFpbxzj"/>
    <int:WordHash hashCode="aDmC3gwVo1f1em" id="CSCE5njT"/>
  </int:Manifest>
  <int:Observations>
    <int:Content id="i8JrUCVH">
      <int:Rejection type="LegacyProofing"/>
    </int:Content>
    <int:Content id="ym2ZZ9sE">
      <int:Rejection type="LegacyProofing"/>
    </int:Content>
    <int:Content id="8gig9Ozv">
      <int:Rejection type="LegacyProofing"/>
    </int:Content>
    <int:Content id="MYwqtQeN">
      <int:Rejection type="LegacyProofing"/>
    </int:Content>
    <int:Content id="IJFpbxzj">
      <int:Rejection type="LegacyProofing"/>
    </int:Content>
    <int:Content id="CSCE5nj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77E8"/>
    <w:multiLevelType w:val="hybridMultilevel"/>
    <w:tmpl w:val="7F0C5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92579"/>
    <w:multiLevelType w:val="hybridMultilevel"/>
    <w:tmpl w:val="B42219EA"/>
    <w:lvl w:ilvl="0" w:tplc="98441412">
      <w:start w:val="2"/>
      <w:numFmt w:val="decimal"/>
      <w:lvlText w:val="%1."/>
      <w:lvlJc w:val="left"/>
      <w:pPr>
        <w:ind w:left="720" w:hanging="360"/>
      </w:pPr>
    </w:lvl>
    <w:lvl w:ilvl="1" w:tplc="57ACD744">
      <w:start w:val="1"/>
      <w:numFmt w:val="lowerLetter"/>
      <w:lvlText w:val="%2."/>
      <w:lvlJc w:val="left"/>
      <w:pPr>
        <w:ind w:left="1440" w:hanging="360"/>
      </w:pPr>
    </w:lvl>
    <w:lvl w:ilvl="2" w:tplc="C6B24B86">
      <w:start w:val="1"/>
      <w:numFmt w:val="lowerRoman"/>
      <w:lvlText w:val="%3."/>
      <w:lvlJc w:val="right"/>
      <w:pPr>
        <w:ind w:left="2160" w:hanging="180"/>
      </w:pPr>
    </w:lvl>
    <w:lvl w:ilvl="3" w:tplc="EB943D7C">
      <w:start w:val="1"/>
      <w:numFmt w:val="decimal"/>
      <w:lvlText w:val="%4."/>
      <w:lvlJc w:val="left"/>
      <w:pPr>
        <w:ind w:left="2880" w:hanging="360"/>
      </w:pPr>
    </w:lvl>
    <w:lvl w:ilvl="4" w:tplc="51C0900E">
      <w:start w:val="1"/>
      <w:numFmt w:val="lowerLetter"/>
      <w:lvlText w:val="%5."/>
      <w:lvlJc w:val="left"/>
      <w:pPr>
        <w:ind w:left="3600" w:hanging="360"/>
      </w:pPr>
    </w:lvl>
    <w:lvl w:ilvl="5" w:tplc="CBC262EC">
      <w:start w:val="1"/>
      <w:numFmt w:val="lowerRoman"/>
      <w:lvlText w:val="%6."/>
      <w:lvlJc w:val="right"/>
      <w:pPr>
        <w:ind w:left="4320" w:hanging="180"/>
      </w:pPr>
    </w:lvl>
    <w:lvl w:ilvl="6" w:tplc="548E3D7E">
      <w:start w:val="1"/>
      <w:numFmt w:val="decimal"/>
      <w:lvlText w:val="%7."/>
      <w:lvlJc w:val="left"/>
      <w:pPr>
        <w:ind w:left="5040" w:hanging="360"/>
      </w:pPr>
    </w:lvl>
    <w:lvl w:ilvl="7" w:tplc="793C73C2">
      <w:start w:val="1"/>
      <w:numFmt w:val="lowerLetter"/>
      <w:lvlText w:val="%8."/>
      <w:lvlJc w:val="left"/>
      <w:pPr>
        <w:ind w:left="5760" w:hanging="360"/>
      </w:pPr>
    </w:lvl>
    <w:lvl w:ilvl="8" w:tplc="50AE8272">
      <w:start w:val="1"/>
      <w:numFmt w:val="lowerRoman"/>
      <w:lvlText w:val="%9."/>
      <w:lvlJc w:val="right"/>
      <w:pPr>
        <w:ind w:left="6480" w:hanging="180"/>
      </w:pPr>
    </w:lvl>
  </w:abstractNum>
  <w:abstractNum w:abstractNumId="2" w15:restartNumberingAfterBreak="0">
    <w:nsid w:val="0696640B"/>
    <w:multiLevelType w:val="hybridMultilevel"/>
    <w:tmpl w:val="39F841F8"/>
    <w:lvl w:ilvl="0" w:tplc="3680473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D56F62"/>
    <w:multiLevelType w:val="hybridMultilevel"/>
    <w:tmpl w:val="2B8ACD1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234E72"/>
    <w:multiLevelType w:val="hybridMultilevel"/>
    <w:tmpl w:val="40A0CE7E"/>
    <w:lvl w:ilvl="0" w:tplc="672EB7A2">
      <w:start w:val="1"/>
      <w:numFmt w:val="decimal"/>
      <w:lvlText w:val="%1."/>
      <w:lvlJc w:val="left"/>
      <w:pPr>
        <w:ind w:left="720" w:hanging="360"/>
      </w:pPr>
    </w:lvl>
    <w:lvl w:ilvl="1" w:tplc="7B587D66">
      <w:start w:val="1"/>
      <w:numFmt w:val="lowerLetter"/>
      <w:lvlText w:val="%2."/>
      <w:lvlJc w:val="left"/>
      <w:pPr>
        <w:ind w:left="1440" w:hanging="360"/>
      </w:pPr>
    </w:lvl>
    <w:lvl w:ilvl="2" w:tplc="33141198">
      <w:start w:val="1"/>
      <w:numFmt w:val="lowerRoman"/>
      <w:lvlText w:val="%3."/>
      <w:lvlJc w:val="right"/>
      <w:pPr>
        <w:ind w:left="2160" w:hanging="180"/>
      </w:pPr>
    </w:lvl>
    <w:lvl w:ilvl="3" w:tplc="5C3A782A">
      <w:start w:val="1"/>
      <w:numFmt w:val="decimal"/>
      <w:lvlText w:val="%4."/>
      <w:lvlJc w:val="left"/>
      <w:pPr>
        <w:ind w:left="2880" w:hanging="360"/>
      </w:pPr>
    </w:lvl>
    <w:lvl w:ilvl="4" w:tplc="6F7A081A">
      <w:start w:val="1"/>
      <w:numFmt w:val="lowerLetter"/>
      <w:lvlText w:val="%5."/>
      <w:lvlJc w:val="left"/>
      <w:pPr>
        <w:ind w:left="3600" w:hanging="360"/>
      </w:pPr>
    </w:lvl>
    <w:lvl w:ilvl="5" w:tplc="28DCFB9E">
      <w:start w:val="1"/>
      <w:numFmt w:val="lowerRoman"/>
      <w:lvlText w:val="%6."/>
      <w:lvlJc w:val="right"/>
      <w:pPr>
        <w:ind w:left="4320" w:hanging="180"/>
      </w:pPr>
    </w:lvl>
    <w:lvl w:ilvl="6" w:tplc="6E1205E4">
      <w:start w:val="1"/>
      <w:numFmt w:val="decimal"/>
      <w:lvlText w:val="%7."/>
      <w:lvlJc w:val="left"/>
      <w:pPr>
        <w:ind w:left="5040" w:hanging="360"/>
      </w:pPr>
    </w:lvl>
    <w:lvl w:ilvl="7" w:tplc="5F1E808E">
      <w:start w:val="1"/>
      <w:numFmt w:val="lowerLetter"/>
      <w:lvlText w:val="%8."/>
      <w:lvlJc w:val="left"/>
      <w:pPr>
        <w:ind w:left="5760" w:hanging="360"/>
      </w:pPr>
    </w:lvl>
    <w:lvl w:ilvl="8" w:tplc="59A6A9F6">
      <w:start w:val="1"/>
      <w:numFmt w:val="lowerRoman"/>
      <w:lvlText w:val="%9."/>
      <w:lvlJc w:val="right"/>
      <w:pPr>
        <w:ind w:left="6480" w:hanging="180"/>
      </w:pPr>
    </w:lvl>
  </w:abstractNum>
  <w:abstractNum w:abstractNumId="5" w15:restartNumberingAfterBreak="0">
    <w:nsid w:val="118E2357"/>
    <w:multiLevelType w:val="hybridMultilevel"/>
    <w:tmpl w:val="2B8ACD1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20619C1"/>
    <w:multiLevelType w:val="hybridMultilevel"/>
    <w:tmpl w:val="3E42E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F762B"/>
    <w:multiLevelType w:val="hybridMultilevel"/>
    <w:tmpl w:val="206071A4"/>
    <w:lvl w:ilvl="0" w:tplc="7B1EAF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6CD67F2"/>
    <w:multiLevelType w:val="hybridMultilevel"/>
    <w:tmpl w:val="31AE3DB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7053D20"/>
    <w:multiLevelType w:val="hybridMultilevel"/>
    <w:tmpl w:val="785281EA"/>
    <w:lvl w:ilvl="0" w:tplc="566A99A2">
      <w:start w:val="1"/>
      <w:numFmt w:val="decimal"/>
      <w:lvlText w:val="%1."/>
      <w:lvlJc w:val="left"/>
      <w:pPr>
        <w:ind w:left="720" w:hanging="360"/>
      </w:pPr>
    </w:lvl>
    <w:lvl w:ilvl="1" w:tplc="7EFAE3CC">
      <w:start w:val="1"/>
      <w:numFmt w:val="lowerLetter"/>
      <w:lvlText w:val="%2."/>
      <w:lvlJc w:val="left"/>
      <w:pPr>
        <w:ind w:left="1440" w:hanging="360"/>
      </w:pPr>
    </w:lvl>
    <w:lvl w:ilvl="2" w:tplc="B6CE88A4">
      <w:start w:val="1"/>
      <w:numFmt w:val="lowerRoman"/>
      <w:lvlText w:val="%3."/>
      <w:lvlJc w:val="right"/>
      <w:pPr>
        <w:ind w:left="2160" w:hanging="180"/>
      </w:pPr>
    </w:lvl>
    <w:lvl w:ilvl="3" w:tplc="6374F4D8">
      <w:start w:val="1"/>
      <w:numFmt w:val="decimal"/>
      <w:lvlText w:val="%4."/>
      <w:lvlJc w:val="left"/>
      <w:pPr>
        <w:ind w:left="2880" w:hanging="360"/>
      </w:pPr>
    </w:lvl>
    <w:lvl w:ilvl="4" w:tplc="B6149DCE">
      <w:start w:val="1"/>
      <w:numFmt w:val="lowerLetter"/>
      <w:lvlText w:val="%5."/>
      <w:lvlJc w:val="left"/>
      <w:pPr>
        <w:ind w:left="3600" w:hanging="360"/>
      </w:pPr>
    </w:lvl>
    <w:lvl w:ilvl="5" w:tplc="79E24396">
      <w:start w:val="1"/>
      <w:numFmt w:val="lowerRoman"/>
      <w:lvlText w:val="%6."/>
      <w:lvlJc w:val="right"/>
      <w:pPr>
        <w:ind w:left="4320" w:hanging="180"/>
      </w:pPr>
    </w:lvl>
    <w:lvl w:ilvl="6" w:tplc="628CEDC4">
      <w:start w:val="1"/>
      <w:numFmt w:val="decimal"/>
      <w:lvlText w:val="%7."/>
      <w:lvlJc w:val="left"/>
      <w:pPr>
        <w:ind w:left="5040" w:hanging="360"/>
      </w:pPr>
    </w:lvl>
    <w:lvl w:ilvl="7" w:tplc="2E387124">
      <w:start w:val="1"/>
      <w:numFmt w:val="lowerLetter"/>
      <w:lvlText w:val="%8."/>
      <w:lvlJc w:val="left"/>
      <w:pPr>
        <w:ind w:left="5760" w:hanging="360"/>
      </w:pPr>
    </w:lvl>
    <w:lvl w:ilvl="8" w:tplc="E4229382">
      <w:start w:val="1"/>
      <w:numFmt w:val="lowerRoman"/>
      <w:lvlText w:val="%9."/>
      <w:lvlJc w:val="right"/>
      <w:pPr>
        <w:ind w:left="6480" w:hanging="180"/>
      </w:pPr>
    </w:lvl>
  </w:abstractNum>
  <w:abstractNum w:abstractNumId="10" w15:restartNumberingAfterBreak="0">
    <w:nsid w:val="23721217"/>
    <w:multiLevelType w:val="hybridMultilevel"/>
    <w:tmpl w:val="39F841F8"/>
    <w:lvl w:ilvl="0" w:tplc="FFFFFFFF">
      <w:start w:val="1"/>
      <w:numFmt w:val="decimal"/>
      <w:lvlText w:val="%1."/>
      <w:lvlJc w:val="left"/>
      <w:pPr>
        <w:ind w:left="720"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BC0153"/>
    <w:multiLevelType w:val="hybridMultilevel"/>
    <w:tmpl w:val="12A6B2B4"/>
    <w:lvl w:ilvl="0" w:tplc="552609BC">
      <w:start w:val="1"/>
      <w:numFmt w:val="bullet"/>
      <w:lvlText w:val="•"/>
      <w:lvlJc w:val="left"/>
      <w:pPr>
        <w:tabs>
          <w:tab w:val="num" w:pos="720"/>
        </w:tabs>
        <w:ind w:left="720" w:hanging="360"/>
      </w:pPr>
      <w:rPr>
        <w:rFonts w:ascii="Arial" w:hAnsi="Arial" w:hint="default"/>
      </w:rPr>
    </w:lvl>
    <w:lvl w:ilvl="1" w:tplc="BD7CE1FC" w:tentative="1">
      <w:start w:val="1"/>
      <w:numFmt w:val="bullet"/>
      <w:lvlText w:val="•"/>
      <w:lvlJc w:val="left"/>
      <w:pPr>
        <w:tabs>
          <w:tab w:val="num" w:pos="1440"/>
        </w:tabs>
        <w:ind w:left="1440" w:hanging="360"/>
      </w:pPr>
      <w:rPr>
        <w:rFonts w:ascii="Arial" w:hAnsi="Arial" w:hint="default"/>
      </w:rPr>
    </w:lvl>
    <w:lvl w:ilvl="2" w:tplc="29F8752E" w:tentative="1">
      <w:start w:val="1"/>
      <w:numFmt w:val="bullet"/>
      <w:lvlText w:val="•"/>
      <w:lvlJc w:val="left"/>
      <w:pPr>
        <w:tabs>
          <w:tab w:val="num" w:pos="2160"/>
        </w:tabs>
        <w:ind w:left="2160" w:hanging="360"/>
      </w:pPr>
      <w:rPr>
        <w:rFonts w:ascii="Arial" w:hAnsi="Arial" w:hint="default"/>
      </w:rPr>
    </w:lvl>
    <w:lvl w:ilvl="3" w:tplc="CB2032AA" w:tentative="1">
      <w:start w:val="1"/>
      <w:numFmt w:val="bullet"/>
      <w:lvlText w:val="•"/>
      <w:lvlJc w:val="left"/>
      <w:pPr>
        <w:tabs>
          <w:tab w:val="num" w:pos="2880"/>
        </w:tabs>
        <w:ind w:left="2880" w:hanging="360"/>
      </w:pPr>
      <w:rPr>
        <w:rFonts w:ascii="Arial" w:hAnsi="Arial" w:hint="default"/>
      </w:rPr>
    </w:lvl>
    <w:lvl w:ilvl="4" w:tplc="2A30DAA4" w:tentative="1">
      <w:start w:val="1"/>
      <w:numFmt w:val="bullet"/>
      <w:lvlText w:val="•"/>
      <w:lvlJc w:val="left"/>
      <w:pPr>
        <w:tabs>
          <w:tab w:val="num" w:pos="3600"/>
        </w:tabs>
        <w:ind w:left="3600" w:hanging="360"/>
      </w:pPr>
      <w:rPr>
        <w:rFonts w:ascii="Arial" w:hAnsi="Arial" w:hint="default"/>
      </w:rPr>
    </w:lvl>
    <w:lvl w:ilvl="5" w:tplc="57B08A38" w:tentative="1">
      <w:start w:val="1"/>
      <w:numFmt w:val="bullet"/>
      <w:lvlText w:val="•"/>
      <w:lvlJc w:val="left"/>
      <w:pPr>
        <w:tabs>
          <w:tab w:val="num" w:pos="4320"/>
        </w:tabs>
        <w:ind w:left="4320" w:hanging="360"/>
      </w:pPr>
      <w:rPr>
        <w:rFonts w:ascii="Arial" w:hAnsi="Arial" w:hint="default"/>
      </w:rPr>
    </w:lvl>
    <w:lvl w:ilvl="6" w:tplc="F10604D8" w:tentative="1">
      <w:start w:val="1"/>
      <w:numFmt w:val="bullet"/>
      <w:lvlText w:val="•"/>
      <w:lvlJc w:val="left"/>
      <w:pPr>
        <w:tabs>
          <w:tab w:val="num" w:pos="5040"/>
        </w:tabs>
        <w:ind w:left="5040" w:hanging="360"/>
      </w:pPr>
      <w:rPr>
        <w:rFonts w:ascii="Arial" w:hAnsi="Arial" w:hint="default"/>
      </w:rPr>
    </w:lvl>
    <w:lvl w:ilvl="7" w:tplc="1A30F0AE" w:tentative="1">
      <w:start w:val="1"/>
      <w:numFmt w:val="bullet"/>
      <w:lvlText w:val="•"/>
      <w:lvlJc w:val="left"/>
      <w:pPr>
        <w:tabs>
          <w:tab w:val="num" w:pos="5760"/>
        </w:tabs>
        <w:ind w:left="5760" w:hanging="360"/>
      </w:pPr>
      <w:rPr>
        <w:rFonts w:ascii="Arial" w:hAnsi="Arial" w:hint="default"/>
      </w:rPr>
    </w:lvl>
    <w:lvl w:ilvl="8" w:tplc="D71E220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B0649BC"/>
    <w:multiLevelType w:val="hybridMultilevel"/>
    <w:tmpl w:val="DBC4733A"/>
    <w:lvl w:ilvl="0" w:tplc="F490D9C8">
      <w:start w:val="1"/>
      <w:numFmt w:val="bullet"/>
      <w:lvlText w:val=""/>
      <w:lvlJc w:val="left"/>
      <w:pPr>
        <w:ind w:left="720" w:hanging="360"/>
      </w:pPr>
      <w:rPr>
        <w:rFonts w:ascii="Symbol" w:hAnsi="Symbol" w:hint="default"/>
      </w:rPr>
    </w:lvl>
    <w:lvl w:ilvl="1" w:tplc="7546744C">
      <w:start w:val="1"/>
      <w:numFmt w:val="bullet"/>
      <w:lvlText w:val="o"/>
      <w:lvlJc w:val="left"/>
      <w:pPr>
        <w:ind w:left="1440" w:hanging="360"/>
      </w:pPr>
      <w:rPr>
        <w:rFonts w:ascii="Courier New" w:hAnsi="Courier New" w:hint="default"/>
      </w:rPr>
    </w:lvl>
    <w:lvl w:ilvl="2" w:tplc="E182F354">
      <w:start w:val="1"/>
      <w:numFmt w:val="bullet"/>
      <w:lvlText w:val=""/>
      <w:lvlJc w:val="left"/>
      <w:pPr>
        <w:ind w:left="2160" w:hanging="360"/>
      </w:pPr>
      <w:rPr>
        <w:rFonts w:ascii="Wingdings" w:hAnsi="Wingdings" w:hint="default"/>
      </w:rPr>
    </w:lvl>
    <w:lvl w:ilvl="3" w:tplc="7262BA1A">
      <w:start w:val="1"/>
      <w:numFmt w:val="bullet"/>
      <w:lvlText w:val=""/>
      <w:lvlJc w:val="left"/>
      <w:pPr>
        <w:ind w:left="2880" w:hanging="360"/>
      </w:pPr>
      <w:rPr>
        <w:rFonts w:ascii="Symbol" w:hAnsi="Symbol" w:hint="default"/>
      </w:rPr>
    </w:lvl>
    <w:lvl w:ilvl="4" w:tplc="2BDAB554">
      <w:start w:val="1"/>
      <w:numFmt w:val="bullet"/>
      <w:lvlText w:val="o"/>
      <w:lvlJc w:val="left"/>
      <w:pPr>
        <w:ind w:left="3600" w:hanging="360"/>
      </w:pPr>
      <w:rPr>
        <w:rFonts w:ascii="Courier New" w:hAnsi="Courier New" w:hint="default"/>
      </w:rPr>
    </w:lvl>
    <w:lvl w:ilvl="5" w:tplc="E430B6FA">
      <w:start w:val="1"/>
      <w:numFmt w:val="bullet"/>
      <w:lvlText w:val=""/>
      <w:lvlJc w:val="left"/>
      <w:pPr>
        <w:ind w:left="4320" w:hanging="360"/>
      </w:pPr>
      <w:rPr>
        <w:rFonts w:ascii="Wingdings" w:hAnsi="Wingdings" w:hint="default"/>
      </w:rPr>
    </w:lvl>
    <w:lvl w:ilvl="6" w:tplc="4DDEA8CA">
      <w:start w:val="1"/>
      <w:numFmt w:val="bullet"/>
      <w:lvlText w:val=""/>
      <w:lvlJc w:val="left"/>
      <w:pPr>
        <w:ind w:left="5040" w:hanging="360"/>
      </w:pPr>
      <w:rPr>
        <w:rFonts w:ascii="Symbol" w:hAnsi="Symbol" w:hint="default"/>
      </w:rPr>
    </w:lvl>
    <w:lvl w:ilvl="7" w:tplc="E44E2FA0">
      <w:start w:val="1"/>
      <w:numFmt w:val="bullet"/>
      <w:lvlText w:val="o"/>
      <w:lvlJc w:val="left"/>
      <w:pPr>
        <w:ind w:left="5760" w:hanging="360"/>
      </w:pPr>
      <w:rPr>
        <w:rFonts w:ascii="Courier New" w:hAnsi="Courier New" w:hint="default"/>
      </w:rPr>
    </w:lvl>
    <w:lvl w:ilvl="8" w:tplc="7A34A538">
      <w:start w:val="1"/>
      <w:numFmt w:val="bullet"/>
      <w:lvlText w:val=""/>
      <w:lvlJc w:val="left"/>
      <w:pPr>
        <w:ind w:left="6480" w:hanging="360"/>
      </w:pPr>
      <w:rPr>
        <w:rFonts w:ascii="Wingdings" w:hAnsi="Wingdings" w:hint="default"/>
      </w:rPr>
    </w:lvl>
  </w:abstractNum>
  <w:abstractNum w:abstractNumId="13" w15:restartNumberingAfterBreak="0">
    <w:nsid w:val="2C8D6A00"/>
    <w:multiLevelType w:val="hybridMultilevel"/>
    <w:tmpl w:val="2B8ACD1A"/>
    <w:lvl w:ilvl="0" w:tplc="F320C2C6">
      <w:start w:val="1"/>
      <w:numFmt w:val="decimal"/>
      <w:lvlText w:val="%1."/>
      <w:lvlJc w:val="left"/>
      <w:pPr>
        <w:ind w:left="360" w:hanging="360"/>
      </w:pPr>
    </w:lvl>
    <w:lvl w:ilvl="1" w:tplc="CB900E2E">
      <w:start w:val="1"/>
      <w:numFmt w:val="lowerLetter"/>
      <w:lvlText w:val="%2."/>
      <w:lvlJc w:val="left"/>
      <w:pPr>
        <w:ind w:left="1080" w:hanging="360"/>
      </w:pPr>
    </w:lvl>
    <w:lvl w:ilvl="2" w:tplc="492229DC" w:tentative="1">
      <w:start w:val="1"/>
      <w:numFmt w:val="lowerRoman"/>
      <w:lvlText w:val="%3."/>
      <w:lvlJc w:val="right"/>
      <w:pPr>
        <w:ind w:left="1800" w:hanging="180"/>
      </w:pPr>
    </w:lvl>
    <w:lvl w:ilvl="3" w:tplc="3160A31A" w:tentative="1">
      <w:start w:val="1"/>
      <w:numFmt w:val="decimal"/>
      <w:lvlText w:val="%4."/>
      <w:lvlJc w:val="left"/>
      <w:pPr>
        <w:ind w:left="2520" w:hanging="360"/>
      </w:pPr>
    </w:lvl>
    <w:lvl w:ilvl="4" w:tplc="B2201728" w:tentative="1">
      <w:start w:val="1"/>
      <w:numFmt w:val="lowerLetter"/>
      <w:lvlText w:val="%5."/>
      <w:lvlJc w:val="left"/>
      <w:pPr>
        <w:ind w:left="3240" w:hanging="360"/>
      </w:pPr>
    </w:lvl>
    <w:lvl w:ilvl="5" w:tplc="BF26AB5C" w:tentative="1">
      <w:start w:val="1"/>
      <w:numFmt w:val="lowerRoman"/>
      <w:lvlText w:val="%6."/>
      <w:lvlJc w:val="right"/>
      <w:pPr>
        <w:ind w:left="3960" w:hanging="180"/>
      </w:pPr>
    </w:lvl>
    <w:lvl w:ilvl="6" w:tplc="669A7CBC" w:tentative="1">
      <w:start w:val="1"/>
      <w:numFmt w:val="decimal"/>
      <w:lvlText w:val="%7."/>
      <w:lvlJc w:val="left"/>
      <w:pPr>
        <w:ind w:left="4680" w:hanging="360"/>
      </w:pPr>
    </w:lvl>
    <w:lvl w:ilvl="7" w:tplc="951E16A8" w:tentative="1">
      <w:start w:val="1"/>
      <w:numFmt w:val="lowerLetter"/>
      <w:lvlText w:val="%8."/>
      <w:lvlJc w:val="left"/>
      <w:pPr>
        <w:ind w:left="5400" w:hanging="360"/>
      </w:pPr>
    </w:lvl>
    <w:lvl w:ilvl="8" w:tplc="911EC758" w:tentative="1">
      <w:start w:val="1"/>
      <w:numFmt w:val="lowerRoman"/>
      <w:lvlText w:val="%9."/>
      <w:lvlJc w:val="right"/>
      <w:pPr>
        <w:ind w:left="6120" w:hanging="180"/>
      </w:pPr>
    </w:lvl>
  </w:abstractNum>
  <w:abstractNum w:abstractNumId="14" w15:restartNumberingAfterBreak="0">
    <w:nsid w:val="2EB3521E"/>
    <w:multiLevelType w:val="hybridMultilevel"/>
    <w:tmpl w:val="32D68520"/>
    <w:lvl w:ilvl="0" w:tplc="C630D2E2">
      <w:start w:val="1"/>
      <w:numFmt w:val="decimal"/>
      <w:lvlText w:val="%1."/>
      <w:lvlJc w:val="left"/>
      <w:pPr>
        <w:ind w:left="720" w:hanging="360"/>
      </w:pPr>
    </w:lvl>
    <w:lvl w:ilvl="1" w:tplc="E8EC61F6">
      <w:start w:val="1"/>
      <w:numFmt w:val="lowerLetter"/>
      <w:lvlText w:val="%2."/>
      <w:lvlJc w:val="left"/>
      <w:pPr>
        <w:ind w:left="1440" w:hanging="360"/>
      </w:pPr>
    </w:lvl>
    <w:lvl w:ilvl="2" w:tplc="A2C4A8C2">
      <w:start w:val="1"/>
      <w:numFmt w:val="lowerRoman"/>
      <w:lvlText w:val="%3."/>
      <w:lvlJc w:val="right"/>
      <w:pPr>
        <w:ind w:left="2160" w:hanging="180"/>
      </w:pPr>
    </w:lvl>
    <w:lvl w:ilvl="3" w:tplc="852EBF0A">
      <w:start w:val="1"/>
      <w:numFmt w:val="decimal"/>
      <w:lvlText w:val="%4."/>
      <w:lvlJc w:val="left"/>
      <w:pPr>
        <w:ind w:left="2880" w:hanging="360"/>
      </w:pPr>
    </w:lvl>
    <w:lvl w:ilvl="4" w:tplc="8162F128">
      <w:start w:val="1"/>
      <w:numFmt w:val="lowerLetter"/>
      <w:lvlText w:val="%5."/>
      <w:lvlJc w:val="left"/>
      <w:pPr>
        <w:ind w:left="3600" w:hanging="360"/>
      </w:pPr>
    </w:lvl>
    <w:lvl w:ilvl="5" w:tplc="2A02F484">
      <w:start w:val="1"/>
      <w:numFmt w:val="lowerRoman"/>
      <w:lvlText w:val="%6."/>
      <w:lvlJc w:val="right"/>
      <w:pPr>
        <w:ind w:left="4320" w:hanging="180"/>
      </w:pPr>
    </w:lvl>
    <w:lvl w:ilvl="6" w:tplc="14960C74">
      <w:start w:val="1"/>
      <w:numFmt w:val="decimal"/>
      <w:lvlText w:val="%7."/>
      <w:lvlJc w:val="left"/>
      <w:pPr>
        <w:ind w:left="5040" w:hanging="360"/>
      </w:pPr>
    </w:lvl>
    <w:lvl w:ilvl="7" w:tplc="0FD81EC2">
      <w:start w:val="1"/>
      <w:numFmt w:val="lowerLetter"/>
      <w:lvlText w:val="%8."/>
      <w:lvlJc w:val="left"/>
      <w:pPr>
        <w:ind w:left="5760" w:hanging="360"/>
      </w:pPr>
    </w:lvl>
    <w:lvl w:ilvl="8" w:tplc="43A8EACE">
      <w:start w:val="1"/>
      <w:numFmt w:val="lowerRoman"/>
      <w:lvlText w:val="%9."/>
      <w:lvlJc w:val="right"/>
      <w:pPr>
        <w:ind w:left="6480" w:hanging="180"/>
      </w:pPr>
    </w:lvl>
  </w:abstractNum>
  <w:abstractNum w:abstractNumId="15" w15:restartNumberingAfterBreak="0">
    <w:nsid w:val="32E35E9F"/>
    <w:multiLevelType w:val="hybridMultilevel"/>
    <w:tmpl w:val="55AE58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3545475"/>
    <w:multiLevelType w:val="hybridMultilevel"/>
    <w:tmpl w:val="9AB24DE0"/>
    <w:lvl w:ilvl="0" w:tplc="FFFFFFFF">
      <w:start w:val="1"/>
      <w:numFmt w:val="decimal"/>
      <w:lvlText w:val="%1."/>
      <w:lvlJc w:val="left"/>
      <w:pPr>
        <w:ind w:left="72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E76651"/>
    <w:multiLevelType w:val="hybridMultilevel"/>
    <w:tmpl w:val="5448B2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5793049"/>
    <w:multiLevelType w:val="hybridMultilevel"/>
    <w:tmpl w:val="468E31EE"/>
    <w:lvl w:ilvl="0" w:tplc="EA30B26C">
      <w:start w:val="1"/>
      <w:numFmt w:val="decimal"/>
      <w:lvlText w:val="%1."/>
      <w:lvlJc w:val="left"/>
      <w:pPr>
        <w:ind w:left="720" w:hanging="360"/>
      </w:pPr>
    </w:lvl>
    <w:lvl w:ilvl="1" w:tplc="82602692">
      <w:start w:val="1"/>
      <w:numFmt w:val="lowerLetter"/>
      <w:lvlText w:val="%2."/>
      <w:lvlJc w:val="left"/>
      <w:pPr>
        <w:ind w:left="1440" w:hanging="360"/>
      </w:pPr>
    </w:lvl>
    <w:lvl w:ilvl="2" w:tplc="07C43802">
      <w:start w:val="1"/>
      <w:numFmt w:val="lowerRoman"/>
      <w:lvlText w:val="%3."/>
      <w:lvlJc w:val="right"/>
      <w:pPr>
        <w:ind w:left="2160" w:hanging="180"/>
      </w:pPr>
    </w:lvl>
    <w:lvl w:ilvl="3" w:tplc="384A023C">
      <w:start w:val="1"/>
      <w:numFmt w:val="decimal"/>
      <w:lvlText w:val="%4."/>
      <w:lvlJc w:val="left"/>
      <w:pPr>
        <w:ind w:left="2880" w:hanging="360"/>
      </w:pPr>
    </w:lvl>
    <w:lvl w:ilvl="4" w:tplc="357C3DD0">
      <w:start w:val="1"/>
      <w:numFmt w:val="lowerLetter"/>
      <w:lvlText w:val="%5."/>
      <w:lvlJc w:val="left"/>
      <w:pPr>
        <w:ind w:left="3600" w:hanging="360"/>
      </w:pPr>
    </w:lvl>
    <w:lvl w:ilvl="5" w:tplc="AD38EE6E">
      <w:start w:val="1"/>
      <w:numFmt w:val="lowerRoman"/>
      <w:lvlText w:val="%6."/>
      <w:lvlJc w:val="right"/>
      <w:pPr>
        <w:ind w:left="4320" w:hanging="180"/>
      </w:pPr>
    </w:lvl>
    <w:lvl w:ilvl="6" w:tplc="7B0609DA">
      <w:start w:val="1"/>
      <w:numFmt w:val="decimal"/>
      <w:lvlText w:val="%7."/>
      <w:lvlJc w:val="left"/>
      <w:pPr>
        <w:ind w:left="5040" w:hanging="360"/>
      </w:pPr>
    </w:lvl>
    <w:lvl w:ilvl="7" w:tplc="71FA2662">
      <w:start w:val="1"/>
      <w:numFmt w:val="lowerLetter"/>
      <w:lvlText w:val="%8."/>
      <w:lvlJc w:val="left"/>
      <w:pPr>
        <w:ind w:left="5760" w:hanging="360"/>
      </w:pPr>
    </w:lvl>
    <w:lvl w:ilvl="8" w:tplc="06A8B7C6">
      <w:start w:val="1"/>
      <w:numFmt w:val="lowerRoman"/>
      <w:lvlText w:val="%9."/>
      <w:lvlJc w:val="right"/>
      <w:pPr>
        <w:ind w:left="6480" w:hanging="180"/>
      </w:pPr>
    </w:lvl>
  </w:abstractNum>
  <w:abstractNum w:abstractNumId="19" w15:restartNumberingAfterBreak="0">
    <w:nsid w:val="384F68D6"/>
    <w:multiLevelType w:val="hybridMultilevel"/>
    <w:tmpl w:val="0C22E7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8438C9"/>
    <w:multiLevelType w:val="hybridMultilevel"/>
    <w:tmpl w:val="2B8ACD1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BE27E93"/>
    <w:multiLevelType w:val="hybridMultilevel"/>
    <w:tmpl w:val="704EF2FC"/>
    <w:lvl w:ilvl="0" w:tplc="D3C0E29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BEA46C3"/>
    <w:multiLevelType w:val="hybridMultilevel"/>
    <w:tmpl w:val="F1D41440"/>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242E68"/>
    <w:multiLevelType w:val="hybridMultilevel"/>
    <w:tmpl w:val="F6C80598"/>
    <w:lvl w:ilvl="0" w:tplc="066A80A2">
      <w:start w:val="1"/>
      <w:numFmt w:val="decimal"/>
      <w:lvlText w:val="%1."/>
      <w:lvlJc w:val="left"/>
      <w:pPr>
        <w:ind w:left="720" w:hanging="360"/>
      </w:pPr>
    </w:lvl>
    <w:lvl w:ilvl="1" w:tplc="5608E8B8">
      <w:start w:val="1"/>
      <w:numFmt w:val="lowerLetter"/>
      <w:lvlText w:val="%2."/>
      <w:lvlJc w:val="left"/>
      <w:pPr>
        <w:ind w:left="1440" w:hanging="360"/>
      </w:pPr>
    </w:lvl>
    <w:lvl w:ilvl="2" w:tplc="600E8E0C">
      <w:start w:val="1"/>
      <w:numFmt w:val="lowerRoman"/>
      <w:lvlText w:val="%3."/>
      <w:lvlJc w:val="right"/>
      <w:pPr>
        <w:ind w:left="2160" w:hanging="180"/>
      </w:pPr>
    </w:lvl>
    <w:lvl w:ilvl="3" w:tplc="05CE1558">
      <w:start w:val="1"/>
      <w:numFmt w:val="decimal"/>
      <w:lvlText w:val="%4."/>
      <w:lvlJc w:val="left"/>
      <w:pPr>
        <w:ind w:left="2880" w:hanging="360"/>
      </w:pPr>
    </w:lvl>
    <w:lvl w:ilvl="4" w:tplc="383EF89E">
      <w:start w:val="1"/>
      <w:numFmt w:val="lowerLetter"/>
      <w:lvlText w:val="%5."/>
      <w:lvlJc w:val="left"/>
      <w:pPr>
        <w:ind w:left="3600" w:hanging="360"/>
      </w:pPr>
    </w:lvl>
    <w:lvl w:ilvl="5" w:tplc="6A3CD764">
      <w:start w:val="1"/>
      <w:numFmt w:val="lowerRoman"/>
      <w:lvlText w:val="%6."/>
      <w:lvlJc w:val="right"/>
      <w:pPr>
        <w:ind w:left="4320" w:hanging="180"/>
      </w:pPr>
    </w:lvl>
    <w:lvl w:ilvl="6" w:tplc="B058A64A">
      <w:start w:val="1"/>
      <w:numFmt w:val="decimal"/>
      <w:lvlText w:val="%7."/>
      <w:lvlJc w:val="left"/>
      <w:pPr>
        <w:ind w:left="5040" w:hanging="360"/>
      </w:pPr>
    </w:lvl>
    <w:lvl w:ilvl="7" w:tplc="1646F064">
      <w:start w:val="1"/>
      <w:numFmt w:val="lowerLetter"/>
      <w:lvlText w:val="%8."/>
      <w:lvlJc w:val="left"/>
      <w:pPr>
        <w:ind w:left="5760" w:hanging="360"/>
      </w:pPr>
    </w:lvl>
    <w:lvl w:ilvl="8" w:tplc="CD303526">
      <w:start w:val="1"/>
      <w:numFmt w:val="lowerRoman"/>
      <w:lvlText w:val="%9."/>
      <w:lvlJc w:val="right"/>
      <w:pPr>
        <w:ind w:left="6480" w:hanging="180"/>
      </w:pPr>
    </w:lvl>
  </w:abstractNum>
  <w:abstractNum w:abstractNumId="24" w15:restartNumberingAfterBreak="0">
    <w:nsid w:val="3FE27C93"/>
    <w:multiLevelType w:val="hybridMultilevel"/>
    <w:tmpl w:val="CA5845DE"/>
    <w:lvl w:ilvl="0" w:tplc="D1FC37AE">
      <w:start w:val="1"/>
      <w:numFmt w:val="decimal"/>
      <w:lvlText w:val="%1."/>
      <w:lvlJc w:val="left"/>
      <w:pPr>
        <w:ind w:left="720" w:hanging="360"/>
      </w:pPr>
    </w:lvl>
    <w:lvl w:ilvl="1" w:tplc="7B52836C">
      <w:start w:val="1"/>
      <w:numFmt w:val="lowerLetter"/>
      <w:lvlText w:val="%2."/>
      <w:lvlJc w:val="left"/>
      <w:pPr>
        <w:ind w:left="1440" w:hanging="360"/>
      </w:pPr>
    </w:lvl>
    <w:lvl w:ilvl="2" w:tplc="642662E4">
      <w:start w:val="1"/>
      <w:numFmt w:val="lowerRoman"/>
      <w:lvlText w:val="%3."/>
      <w:lvlJc w:val="right"/>
      <w:pPr>
        <w:ind w:left="2160" w:hanging="180"/>
      </w:pPr>
    </w:lvl>
    <w:lvl w:ilvl="3" w:tplc="3AFE8E76">
      <w:start w:val="1"/>
      <w:numFmt w:val="decimal"/>
      <w:lvlText w:val="%4."/>
      <w:lvlJc w:val="left"/>
      <w:pPr>
        <w:ind w:left="2880" w:hanging="360"/>
      </w:pPr>
    </w:lvl>
    <w:lvl w:ilvl="4" w:tplc="D014429E">
      <w:start w:val="1"/>
      <w:numFmt w:val="lowerLetter"/>
      <w:lvlText w:val="%5."/>
      <w:lvlJc w:val="left"/>
      <w:pPr>
        <w:ind w:left="3600" w:hanging="360"/>
      </w:pPr>
    </w:lvl>
    <w:lvl w:ilvl="5" w:tplc="FE466A32">
      <w:start w:val="1"/>
      <w:numFmt w:val="lowerRoman"/>
      <w:lvlText w:val="%6."/>
      <w:lvlJc w:val="right"/>
      <w:pPr>
        <w:ind w:left="4320" w:hanging="180"/>
      </w:pPr>
    </w:lvl>
    <w:lvl w:ilvl="6" w:tplc="7B8ADE20">
      <w:start w:val="1"/>
      <w:numFmt w:val="decimal"/>
      <w:lvlText w:val="%7."/>
      <w:lvlJc w:val="left"/>
      <w:pPr>
        <w:ind w:left="5040" w:hanging="360"/>
      </w:pPr>
    </w:lvl>
    <w:lvl w:ilvl="7" w:tplc="1CECCFF8">
      <w:start w:val="1"/>
      <w:numFmt w:val="lowerLetter"/>
      <w:lvlText w:val="%8."/>
      <w:lvlJc w:val="left"/>
      <w:pPr>
        <w:ind w:left="5760" w:hanging="360"/>
      </w:pPr>
    </w:lvl>
    <w:lvl w:ilvl="8" w:tplc="FA540724">
      <w:start w:val="1"/>
      <w:numFmt w:val="lowerRoman"/>
      <w:lvlText w:val="%9."/>
      <w:lvlJc w:val="right"/>
      <w:pPr>
        <w:ind w:left="6480" w:hanging="180"/>
      </w:pPr>
    </w:lvl>
  </w:abstractNum>
  <w:abstractNum w:abstractNumId="25" w15:restartNumberingAfterBreak="0">
    <w:nsid w:val="48EC56C4"/>
    <w:multiLevelType w:val="hybridMultilevel"/>
    <w:tmpl w:val="BAD28FEE"/>
    <w:lvl w:ilvl="0" w:tplc="19124F68">
      <w:start w:val="1"/>
      <w:numFmt w:val="decimal"/>
      <w:lvlText w:val="%1."/>
      <w:lvlJc w:val="left"/>
      <w:pPr>
        <w:ind w:left="720" w:hanging="360"/>
      </w:pPr>
    </w:lvl>
    <w:lvl w:ilvl="1" w:tplc="D2BC25F4">
      <w:start w:val="1"/>
      <w:numFmt w:val="lowerLetter"/>
      <w:lvlText w:val="%2."/>
      <w:lvlJc w:val="left"/>
      <w:pPr>
        <w:ind w:left="1440" w:hanging="360"/>
      </w:pPr>
    </w:lvl>
    <w:lvl w:ilvl="2" w:tplc="860AADCA">
      <w:start w:val="1"/>
      <w:numFmt w:val="lowerRoman"/>
      <w:lvlText w:val="%3."/>
      <w:lvlJc w:val="right"/>
      <w:pPr>
        <w:ind w:left="2160" w:hanging="180"/>
      </w:pPr>
    </w:lvl>
    <w:lvl w:ilvl="3" w:tplc="A2E0DC24">
      <w:start w:val="1"/>
      <w:numFmt w:val="decimal"/>
      <w:lvlText w:val="%4."/>
      <w:lvlJc w:val="left"/>
      <w:pPr>
        <w:ind w:left="2880" w:hanging="360"/>
      </w:pPr>
    </w:lvl>
    <w:lvl w:ilvl="4" w:tplc="F30C9AF6">
      <w:start w:val="1"/>
      <w:numFmt w:val="lowerLetter"/>
      <w:lvlText w:val="%5."/>
      <w:lvlJc w:val="left"/>
      <w:pPr>
        <w:ind w:left="3600" w:hanging="360"/>
      </w:pPr>
    </w:lvl>
    <w:lvl w:ilvl="5" w:tplc="75A80AF8">
      <w:start w:val="1"/>
      <w:numFmt w:val="lowerRoman"/>
      <w:lvlText w:val="%6."/>
      <w:lvlJc w:val="right"/>
      <w:pPr>
        <w:ind w:left="4320" w:hanging="180"/>
      </w:pPr>
    </w:lvl>
    <w:lvl w:ilvl="6" w:tplc="4ACC04E2">
      <w:start w:val="1"/>
      <w:numFmt w:val="decimal"/>
      <w:lvlText w:val="%7."/>
      <w:lvlJc w:val="left"/>
      <w:pPr>
        <w:ind w:left="5040" w:hanging="360"/>
      </w:pPr>
    </w:lvl>
    <w:lvl w:ilvl="7" w:tplc="939A1710">
      <w:start w:val="1"/>
      <w:numFmt w:val="lowerLetter"/>
      <w:lvlText w:val="%8."/>
      <w:lvlJc w:val="left"/>
      <w:pPr>
        <w:ind w:left="5760" w:hanging="360"/>
      </w:pPr>
    </w:lvl>
    <w:lvl w:ilvl="8" w:tplc="FDE006BA">
      <w:start w:val="1"/>
      <w:numFmt w:val="lowerRoman"/>
      <w:lvlText w:val="%9."/>
      <w:lvlJc w:val="right"/>
      <w:pPr>
        <w:ind w:left="6480" w:hanging="180"/>
      </w:pPr>
    </w:lvl>
  </w:abstractNum>
  <w:abstractNum w:abstractNumId="26" w15:restartNumberingAfterBreak="0">
    <w:nsid w:val="4B2B64FD"/>
    <w:multiLevelType w:val="hybridMultilevel"/>
    <w:tmpl w:val="2E42F798"/>
    <w:lvl w:ilvl="0" w:tplc="2C0ADBF4">
      <w:start w:val="1"/>
      <w:numFmt w:val="bullet"/>
      <w:lvlText w:val="•"/>
      <w:lvlJc w:val="left"/>
      <w:pPr>
        <w:tabs>
          <w:tab w:val="num" w:pos="720"/>
        </w:tabs>
        <w:ind w:left="720" w:hanging="360"/>
      </w:pPr>
      <w:rPr>
        <w:rFonts w:ascii="Arial" w:hAnsi="Arial" w:hint="default"/>
      </w:rPr>
    </w:lvl>
    <w:lvl w:ilvl="1" w:tplc="A036B372" w:tentative="1">
      <w:start w:val="1"/>
      <w:numFmt w:val="bullet"/>
      <w:lvlText w:val="•"/>
      <w:lvlJc w:val="left"/>
      <w:pPr>
        <w:tabs>
          <w:tab w:val="num" w:pos="1440"/>
        </w:tabs>
        <w:ind w:left="1440" w:hanging="360"/>
      </w:pPr>
      <w:rPr>
        <w:rFonts w:ascii="Arial" w:hAnsi="Arial" w:hint="default"/>
      </w:rPr>
    </w:lvl>
    <w:lvl w:ilvl="2" w:tplc="8AAA126A" w:tentative="1">
      <w:start w:val="1"/>
      <w:numFmt w:val="bullet"/>
      <w:lvlText w:val="•"/>
      <w:lvlJc w:val="left"/>
      <w:pPr>
        <w:tabs>
          <w:tab w:val="num" w:pos="2160"/>
        </w:tabs>
        <w:ind w:left="2160" w:hanging="360"/>
      </w:pPr>
      <w:rPr>
        <w:rFonts w:ascii="Arial" w:hAnsi="Arial" w:hint="default"/>
      </w:rPr>
    </w:lvl>
    <w:lvl w:ilvl="3" w:tplc="F3B640F6" w:tentative="1">
      <w:start w:val="1"/>
      <w:numFmt w:val="bullet"/>
      <w:lvlText w:val="•"/>
      <w:lvlJc w:val="left"/>
      <w:pPr>
        <w:tabs>
          <w:tab w:val="num" w:pos="2880"/>
        </w:tabs>
        <w:ind w:left="2880" w:hanging="360"/>
      </w:pPr>
      <w:rPr>
        <w:rFonts w:ascii="Arial" w:hAnsi="Arial" w:hint="default"/>
      </w:rPr>
    </w:lvl>
    <w:lvl w:ilvl="4" w:tplc="81A2B478" w:tentative="1">
      <w:start w:val="1"/>
      <w:numFmt w:val="bullet"/>
      <w:lvlText w:val="•"/>
      <w:lvlJc w:val="left"/>
      <w:pPr>
        <w:tabs>
          <w:tab w:val="num" w:pos="3600"/>
        </w:tabs>
        <w:ind w:left="3600" w:hanging="360"/>
      </w:pPr>
      <w:rPr>
        <w:rFonts w:ascii="Arial" w:hAnsi="Arial" w:hint="default"/>
      </w:rPr>
    </w:lvl>
    <w:lvl w:ilvl="5" w:tplc="15D4E6CE" w:tentative="1">
      <w:start w:val="1"/>
      <w:numFmt w:val="bullet"/>
      <w:lvlText w:val="•"/>
      <w:lvlJc w:val="left"/>
      <w:pPr>
        <w:tabs>
          <w:tab w:val="num" w:pos="4320"/>
        </w:tabs>
        <w:ind w:left="4320" w:hanging="360"/>
      </w:pPr>
      <w:rPr>
        <w:rFonts w:ascii="Arial" w:hAnsi="Arial" w:hint="default"/>
      </w:rPr>
    </w:lvl>
    <w:lvl w:ilvl="6" w:tplc="20409F7E" w:tentative="1">
      <w:start w:val="1"/>
      <w:numFmt w:val="bullet"/>
      <w:lvlText w:val="•"/>
      <w:lvlJc w:val="left"/>
      <w:pPr>
        <w:tabs>
          <w:tab w:val="num" w:pos="5040"/>
        </w:tabs>
        <w:ind w:left="5040" w:hanging="360"/>
      </w:pPr>
      <w:rPr>
        <w:rFonts w:ascii="Arial" w:hAnsi="Arial" w:hint="default"/>
      </w:rPr>
    </w:lvl>
    <w:lvl w:ilvl="7" w:tplc="2926ECAA" w:tentative="1">
      <w:start w:val="1"/>
      <w:numFmt w:val="bullet"/>
      <w:lvlText w:val="•"/>
      <w:lvlJc w:val="left"/>
      <w:pPr>
        <w:tabs>
          <w:tab w:val="num" w:pos="5760"/>
        </w:tabs>
        <w:ind w:left="5760" w:hanging="360"/>
      </w:pPr>
      <w:rPr>
        <w:rFonts w:ascii="Arial" w:hAnsi="Arial" w:hint="default"/>
      </w:rPr>
    </w:lvl>
    <w:lvl w:ilvl="8" w:tplc="F420FC2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BB0568C"/>
    <w:multiLevelType w:val="hybridMultilevel"/>
    <w:tmpl w:val="FE2A5A8C"/>
    <w:lvl w:ilvl="0" w:tplc="410E1224">
      <w:start w:val="2"/>
      <w:numFmt w:val="decimal"/>
      <w:lvlText w:val="%1."/>
      <w:lvlJc w:val="left"/>
      <w:pPr>
        <w:ind w:left="720" w:hanging="360"/>
      </w:pPr>
    </w:lvl>
    <w:lvl w:ilvl="1" w:tplc="2E8038BE">
      <w:start w:val="1"/>
      <w:numFmt w:val="lowerLetter"/>
      <w:lvlText w:val="%2."/>
      <w:lvlJc w:val="left"/>
      <w:pPr>
        <w:ind w:left="1440" w:hanging="360"/>
      </w:pPr>
    </w:lvl>
    <w:lvl w:ilvl="2" w:tplc="463602F8">
      <w:start w:val="1"/>
      <w:numFmt w:val="lowerRoman"/>
      <w:lvlText w:val="%3."/>
      <w:lvlJc w:val="right"/>
      <w:pPr>
        <w:ind w:left="2160" w:hanging="180"/>
      </w:pPr>
    </w:lvl>
    <w:lvl w:ilvl="3" w:tplc="34E21000">
      <w:start w:val="1"/>
      <w:numFmt w:val="decimal"/>
      <w:lvlText w:val="%4."/>
      <w:lvlJc w:val="left"/>
      <w:pPr>
        <w:ind w:left="2880" w:hanging="360"/>
      </w:pPr>
    </w:lvl>
    <w:lvl w:ilvl="4" w:tplc="326814E8">
      <w:start w:val="1"/>
      <w:numFmt w:val="lowerLetter"/>
      <w:lvlText w:val="%5."/>
      <w:lvlJc w:val="left"/>
      <w:pPr>
        <w:ind w:left="3600" w:hanging="360"/>
      </w:pPr>
    </w:lvl>
    <w:lvl w:ilvl="5" w:tplc="59D836AE">
      <w:start w:val="1"/>
      <w:numFmt w:val="lowerRoman"/>
      <w:lvlText w:val="%6."/>
      <w:lvlJc w:val="right"/>
      <w:pPr>
        <w:ind w:left="4320" w:hanging="180"/>
      </w:pPr>
    </w:lvl>
    <w:lvl w:ilvl="6" w:tplc="260042BA">
      <w:start w:val="1"/>
      <w:numFmt w:val="decimal"/>
      <w:lvlText w:val="%7."/>
      <w:lvlJc w:val="left"/>
      <w:pPr>
        <w:ind w:left="5040" w:hanging="360"/>
      </w:pPr>
    </w:lvl>
    <w:lvl w:ilvl="7" w:tplc="5330D7A6">
      <w:start w:val="1"/>
      <w:numFmt w:val="lowerLetter"/>
      <w:lvlText w:val="%8."/>
      <w:lvlJc w:val="left"/>
      <w:pPr>
        <w:ind w:left="5760" w:hanging="360"/>
      </w:pPr>
    </w:lvl>
    <w:lvl w:ilvl="8" w:tplc="8FB23AA6">
      <w:start w:val="1"/>
      <w:numFmt w:val="lowerRoman"/>
      <w:lvlText w:val="%9."/>
      <w:lvlJc w:val="right"/>
      <w:pPr>
        <w:ind w:left="6480" w:hanging="180"/>
      </w:pPr>
    </w:lvl>
  </w:abstractNum>
  <w:abstractNum w:abstractNumId="28" w15:restartNumberingAfterBreak="0">
    <w:nsid w:val="4C4124BA"/>
    <w:multiLevelType w:val="hybridMultilevel"/>
    <w:tmpl w:val="6AEA09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DCA0804"/>
    <w:multiLevelType w:val="hybridMultilevel"/>
    <w:tmpl w:val="7544225A"/>
    <w:lvl w:ilvl="0" w:tplc="2544E768">
      <w:start w:val="1"/>
      <w:numFmt w:val="bullet"/>
      <w:lvlText w:val="•"/>
      <w:lvlJc w:val="left"/>
      <w:pPr>
        <w:tabs>
          <w:tab w:val="num" w:pos="720"/>
        </w:tabs>
        <w:ind w:left="720" w:hanging="360"/>
      </w:pPr>
      <w:rPr>
        <w:rFonts w:ascii="Arial" w:hAnsi="Arial" w:hint="default"/>
      </w:rPr>
    </w:lvl>
    <w:lvl w:ilvl="1" w:tplc="427637FA" w:tentative="1">
      <w:start w:val="1"/>
      <w:numFmt w:val="bullet"/>
      <w:lvlText w:val="•"/>
      <w:lvlJc w:val="left"/>
      <w:pPr>
        <w:tabs>
          <w:tab w:val="num" w:pos="1440"/>
        </w:tabs>
        <w:ind w:left="1440" w:hanging="360"/>
      </w:pPr>
      <w:rPr>
        <w:rFonts w:ascii="Arial" w:hAnsi="Arial" w:hint="default"/>
      </w:rPr>
    </w:lvl>
    <w:lvl w:ilvl="2" w:tplc="FC98F80C" w:tentative="1">
      <w:start w:val="1"/>
      <w:numFmt w:val="bullet"/>
      <w:lvlText w:val="•"/>
      <w:lvlJc w:val="left"/>
      <w:pPr>
        <w:tabs>
          <w:tab w:val="num" w:pos="2160"/>
        </w:tabs>
        <w:ind w:left="2160" w:hanging="360"/>
      </w:pPr>
      <w:rPr>
        <w:rFonts w:ascii="Arial" w:hAnsi="Arial" w:hint="default"/>
      </w:rPr>
    </w:lvl>
    <w:lvl w:ilvl="3" w:tplc="869A635A" w:tentative="1">
      <w:start w:val="1"/>
      <w:numFmt w:val="bullet"/>
      <w:lvlText w:val="•"/>
      <w:lvlJc w:val="left"/>
      <w:pPr>
        <w:tabs>
          <w:tab w:val="num" w:pos="2880"/>
        </w:tabs>
        <w:ind w:left="2880" w:hanging="360"/>
      </w:pPr>
      <w:rPr>
        <w:rFonts w:ascii="Arial" w:hAnsi="Arial" w:hint="default"/>
      </w:rPr>
    </w:lvl>
    <w:lvl w:ilvl="4" w:tplc="078CF248" w:tentative="1">
      <w:start w:val="1"/>
      <w:numFmt w:val="bullet"/>
      <w:lvlText w:val="•"/>
      <w:lvlJc w:val="left"/>
      <w:pPr>
        <w:tabs>
          <w:tab w:val="num" w:pos="3600"/>
        </w:tabs>
        <w:ind w:left="3600" w:hanging="360"/>
      </w:pPr>
      <w:rPr>
        <w:rFonts w:ascii="Arial" w:hAnsi="Arial" w:hint="default"/>
      </w:rPr>
    </w:lvl>
    <w:lvl w:ilvl="5" w:tplc="76089D2A" w:tentative="1">
      <w:start w:val="1"/>
      <w:numFmt w:val="bullet"/>
      <w:lvlText w:val="•"/>
      <w:lvlJc w:val="left"/>
      <w:pPr>
        <w:tabs>
          <w:tab w:val="num" w:pos="4320"/>
        </w:tabs>
        <w:ind w:left="4320" w:hanging="360"/>
      </w:pPr>
      <w:rPr>
        <w:rFonts w:ascii="Arial" w:hAnsi="Arial" w:hint="default"/>
      </w:rPr>
    </w:lvl>
    <w:lvl w:ilvl="6" w:tplc="D874896C" w:tentative="1">
      <w:start w:val="1"/>
      <w:numFmt w:val="bullet"/>
      <w:lvlText w:val="•"/>
      <w:lvlJc w:val="left"/>
      <w:pPr>
        <w:tabs>
          <w:tab w:val="num" w:pos="5040"/>
        </w:tabs>
        <w:ind w:left="5040" w:hanging="360"/>
      </w:pPr>
      <w:rPr>
        <w:rFonts w:ascii="Arial" w:hAnsi="Arial" w:hint="default"/>
      </w:rPr>
    </w:lvl>
    <w:lvl w:ilvl="7" w:tplc="9A8A1D40" w:tentative="1">
      <w:start w:val="1"/>
      <w:numFmt w:val="bullet"/>
      <w:lvlText w:val="•"/>
      <w:lvlJc w:val="left"/>
      <w:pPr>
        <w:tabs>
          <w:tab w:val="num" w:pos="5760"/>
        </w:tabs>
        <w:ind w:left="5760" w:hanging="360"/>
      </w:pPr>
      <w:rPr>
        <w:rFonts w:ascii="Arial" w:hAnsi="Arial" w:hint="default"/>
      </w:rPr>
    </w:lvl>
    <w:lvl w:ilvl="8" w:tplc="7E482962"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246043F"/>
    <w:multiLevelType w:val="hybridMultilevel"/>
    <w:tmpl w:val="9AB24DE0"/>
    <w:lvl w:ilvl="0" w:tplc="9D541DE8">
      <w:start w:val="1"/>
      <w:numFmt w:val="decimal"/>
      <w:lvlText w:val="%1."/>
      <w:lvlJc w:val="left"/>
      <w:pPr>
        <w:ind w:left="720" w:hanging="360"/>
      </w:pPr>
      <w:rPr>
        <w:rFonts w:hint="default"/>
        <w:u w:val="singl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6F410F7"/>
    <w:multiLevelType w:val="hybridMultilevel"/>
    <w:tmpl w:val="1C1E14B0"/>
    <w:lvl w:ilvl="0" w:tplc="E5F806E8">
      <w:start w:val="1"/>
      <w:numFmt w:val="decimal"/>
      <w:lvlText w:val="%1."/>
      <w:lvlJc w:val="left"/>
      <w:pPr>
        <w:ind w:left="720" w:hanging="360"/>
      </w:pPr>
    </w:lvl>
    <w:lvl w:ilvl="1" w:tplc="6B2013CA">
      <w:start w:val="1"/>
      <w:numFmt w:val="lowerLetter"/>
      <w:lvlText w:val="%2."/>
      <w:lvlJc w:val="left"/>
      <w:pPr>
        <w:ind w:left="1440" w:hanging="360"/>
      </w:pPr>
    </w:lvl>
    <w:lvl w:ilvl="2" w:tplc="7870C7C6">
      <w:start w:val="1"/>
      <w:numFmt w:val="lowerRoman"/>
      <w:lvlText w:val="%3."/>
      <w:lvlJc w:val="right"/>
      <w:pPr>
        <w:ind w:left="2160" w:hanging="180"/>
      </w:pPr>
    </w:lvl>
    <w:lvl w:ilvl="3" w:tplc="8A2AE890">
      <w:start w:val="1"/>
      <w:numFmt w:val="decimal"/>
      <w:lvlText w:val="%4."/>
      <w:lvlJc w:val="left"/>
      <w:pPr>
        <w:ind w:left="2880" w:hanging="360"/>
      </w:pPr>
    </w:lvl>
    <w:lvl w:ilvl="4" w:tplc="5C8279BA">
      <w:start w:val="1"/>
      <w:numFmt w:val="lowerLetter"/>
      <w:lvlText w:val="%5."/>
      <w:lvlJc w:val="left"/>
      <w:pPr>
        <w:ind w:left="3600" w:hanging="360"/>
      </w:pPr>
    </w:lvl>
    <w:lvl w:ilvl="5" w:tplc="798667DE">
      <w:start w:val="1"/>
      <w:numFmt w:val="lowerRoman"/>
      <w:lvlText w:val="%6."/>
      <w:lvlJc w:val="right"/>
      <w:pPr>
        <w:ind w:left="4320" w:hanging="180"/>
      </w:pPr>
    </w:lvl>
    <w:lvl w:ilvl="6" w:tplc="2DC07464">
      <w:start w:val="1"/>
      <w:numFmt w:val="decimal"/>
      <w:lvlText w:val="%7."/>
      <w:lvlJc w:val="left"/>
      <w:pPr>
        <w:ind w:left="5040" w:hanging="360"/>
      </w:pPr>
    </w:lvl>
    <w:lvl w:ilvl="7" w:tplc="B6BE0E92">
      <w:start w:val="1"/>
      <w:numFmt w:val="lowerLetter"/>
      <w:lvlText w:val="%8."/>
      <w:lvlJc w:val="left"/>
      <w:pPr>
        <w:ind w:left="5760" w:hanging="360"/>
      </w:pPr>
    </w:lvl>
    <w:lvl w:ilvl="8" w:tplc="75A8494C">
      <w:start w:val="1"/>
      <w:numFmt w:val="lowerRoman"/>
      <w:lvlText w:val="%9."/>
      <w:lvlJc w:val="right"/>
      <w:pPr>
        <w:ind w:left="6480" w:hanging="180"/>
      </w:pPr>
    </w:lvl>
  </w:abstractNum>
  <w:abstractNum w:abstractNumId="32" w15:restartNumberingAfterBreak="0">
    <w:nsid w:val="5A3B4F6C"/>
    <w:multiLevelType w:val="hybridMultilevel"/>
    <w:tmpl w:val="9AB24DE0"/>
    <w:lvl w:ilvl="0" w:tplc="FFFFFFFF">
      <w:start w:val="1"/>
      <w:numFmt w:val="decimal"/>
      <w:lvlText w:val="%1."/>
      <w:lvlJc w:val="left"/>
      <w:pPr>
        <w:ind w:left="720" w:hanging="360"/>
      </w:pPr>
      <w:rPr>
        <w:rFonts w:hint="default"/>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0415E19"/>
    <w:multiLevelType w:val="hybridMultilevel"/>
    <w:tmpl w:val="49329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07C3447"/>
    <w:multiLevelType w:val="hybridMultilevel"/>
    <w:tmpl w:val="113A1AE6"/>
    <w:lvl w:ilvl="0" w:tplc="B0589E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4BE1984"/>
    <w:multiLevelType w:val="hybridMultilevel"/>
    <w:tmpl w:val="46602D20"/>
    <w:lvl w:ilvl="0" w:tplc="6E04F6F0">
      <w:start w:val="1"/>
      <w:numFmt w:val="bullet"/>
      <w:lvlText w:val=""/>
      <w:lvlJc w:val="left"/>
      <w:pPr>
        <w:ind w:left="720" w:hanging="360"/>
      </w:pPr>
      <w:rPr>
        <w:rFonts w:ascii="Symbol" w:hAnsi="Symbol" w:hint="default"/>
      </w:rPr>
    </w:lvl>
    <w:lvl w:ilvl="1" w:tplc="E3143BF2">
      <w:start w:val="1"/>
      <w:numFmt w:val="bullet"/>
      <w:lvlText w:val="o"/>
      <w:lvlJc w:val="left"/>
      <w:pPr>
        <w:ind w:left="1440" w:hanging="360"/>
      </w:pPr>
      <w:rPr>
        <w:rFonts w:ascii="Courier New" w:hAnsi="Courier New" w:hint="default"/>
      </w:rPr>
    </w:lvl>
    <w:lvl w:ilvl="2" w:tplc="FC144EB4">
      <w:start w:val="1"/>
      <w:numFmt w:val="bullet"/>
      <w:lvlText w:val=""/>
      <w:lvlJc w:val="left"/>
      <w:pPr>
        <w:ind w:left="2160" w:hanging="360"/>
      </w:pPr>
      <w:rPr>
        <w:rFonts w:ascii="Wingdings" w:hAnsi="Wingdings" w:hint="default"/>
      </w:rPr>
    </w:lvl>
    <w:lvl w:ilvl="3" w:tplc="AC385A68">
      <w:start w:val="1"/>
      <w:numFmt w:val="bullet"/>
      <w:lvlText w:val=""/>
      <w:lvlJc w:val="left"/>
      <w:pPr>
        <w:ind w:left="2880" w:hanging="360"/>
      </w:pPr>
      <w:rPr>
        <w:rFonts w:ascii="Symbol" w:hAnsi="Symbol" w:hint="default"/>
      </w:rPr>
    </w:lvl>
    <w:lvl w:ilvl="4" w:tplc="E38ACFAA">
      <w:start w:val="1"/>
      <w:numFmt w:val="bullet"/>
      <w:lvlText w:val="o"/>
      <w:lvlJc w:val="left"/>
      <w:pPr>
        <w:ind w:left="3600" w:hanging="360"/>
      </w:pPr>
      <w:rPr>
        <w:rFonts w:ascii="Courier New" w:hAnsi="Courier New" w:hint="default"/>
      </w:rPr>
    </w:lvl>
    <w:lvl w:ilvl="5" w:tplc="36AE14E2">
      <w:start w:val="1"/>
      <w:numFmt w:val="bullet"/>
      <w:lvlText w:val=""/>
      <w:lvlJc w:val="left"/>
      <w:pPr>
        <w:ind w:left="4320" w:hanging="360"/>
      </w:pPr>
      <w:rPr>
        <w:rFonts w:ascii="Wingdings" w:hAnsi="Wingdings" w:hint="default"/>
      </w:rPr>
    </w:lvl>
    <w:lvl w:ilvl="6" w:tplc="9C02A080">
      <w:start w:val="1"/>
      <w:numFmt w:val="bullet"/>
      <w:lvlText w:val=""/>
      <w:lvlJc w:val="left"/>
      <w:pPr>
        <w:ind w:left="5040" w:hanging="360"/>
      </w:pPr>
      <w:rPr>
        <w:rFonts w:ascii="Symbol" w:hAnsi="Symbol" w:hint="default"/>
      </w:rPr>
    </w:lvl>
    <w:lvl w:ilvl="7" w:tplc="EF682D10">
      <w:start w:val="1"/>
      <w:numFmt w:val="bullet"/>
      <w:lvlText w:val="o"/>
      <w:lvlJc w:val="left"/>
      <w:pPr>
        <w:ind w:left="5760" w:hanging="360"/>
      </w:pPr>
      <w:rPr>
        <w:rFonts w:ascii="Courier New" w:hAnsi="Courier New" w:hint="default"/>
      </w:rPr>
    </w:lvl>
    <w:lvl w:ilvl="8" w:tplc="0E6C907E">
      <w:start w:val="1"/>
      <w:numFmt w:val="bullet"/>
      <w:lvlText w:val=""/>
      <w:lvlJc w:val="left"/>
      <w:pPr>
        <w:ind w:left="6480" w:hanging="360"/>
      </w:pPr>
      <w:rPr>
        <w:rFonts w:ascii="Wingdings" w:hAnsi="Wingdings" w:hint="default"/>
      </w:rPr>
    </w:lvl>
  </w:abstractNum>
  <w:abstractNum w:abstractNumId="36" w15:restartNumberingAfterBreak="0">
    <w:nsid w:val="706C349A"/>
    <w:multiLevelType w:val="hybridMultilevel"/>
    <w:tmpl w:val="165E8104"/>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2A45A1D"/>
    <w:multiLevelType w:val="hybridMultilevel"/>
    <w:tmpl w:val="B7FA8462"/>
    <w:lvl w:ilvl="0" w:tplc="2DCA098C">
      <w:start w:val="1"/>
      <w:numFmt w:val="decimal"/>
      <w:lvlText w:val="%1."/>
      <w:lvlJc w:val="left"/>
      <w:pPr>
        <w:ind w:left="720" w:hanging="360"/>
      </w:pPr>
    </w:lvl>
    <w:lvl w:ilvl="1" w:tplc="B1EAEE8C">
      <w:start w:val="1"/>
      <w:numFmt w:val="lowerLetter"/>
      <w:lvlText w:val="%2."/>
      <w:lvlJc w:val="left"/>
      <w:pPr>
        <w:ind w:left="1440" w:hanging="360"/>
      </w:pPr>
    </w:lvl>
    <w:lvl w:ilvl="2" w:tplc="09F2033E">
      <w:start w:val="1"/>
      <w:numFmt w:val="lowerRoman"/>
      <w:lvlText w:val="%3."/>
      <w:lvlJc w:val="right"/>
      <w:pPr>
        <w:ind w:left="2160" w:hanging="180"/>
      </w:pPr>
    </w:lvl>
    <w:lvl w:ilvl="3" w:tplc="BB809B9C">
      <w:start w:val="1"/>
      <w:numFmt w:val="decimal"/>
      <w:lvlText w:val="%4."/>
      <w:lvlJc w:val="left"/>
      <w:pPr>
        <w:ind w:left="2880" w:hanging="360"/>
      </w:pPr>
    </w:lvl>
    <w:lvl w:ilvl="4" w:tplc="39F82982">
      <w:start w:val="1"/>
      <w:numFmt w:val="lowerLetter"/>
      <w:lvlText w:val="%5."/>
      <w:lvlJc w:val="left"/>
      <w:pPr>
        <w:ind w:left="3600" w:hanging="360"/>
      </w:pPr>
    </w:lvl>
    <w:lvl w:ilvl="5" w:tplc="C4B01EF8">
      <w:start w:val="1"/>
      <w:numFmt w:val="lowerRoman"/>
      <w:lvlText w:val="%6."/>
      <w:lvlJc w:val="right"/>
      <w:pPr>
        <w:ind w:left="4320" w:hanging="180"/>
      </w:pPr>
    </w:lvl>
    <w:lvl w:ilvl="6" w:tplc="8AF080DE">
      <w:start w:val="1"/>
      <w:numFmt w:val="decimal"/>
      <w:lvlText w:val="%7."/>
      <w:lvlJc w:val="left"/>
      <w:pPr>
        <w:ind w:left="5040" w:hanging="360"/>
      </w:pPr>
    </w:lvl>
    <w:lvl w:ilvl="7" w:tplc="6B1EBDB6">
      <w:start w:val="1"/>
      <w:numFmt w:val="lowerLetter"/>
      <w:lvlText w:val="%8."/>
      <w:lvlJc w:val="left"/>
      <w:pPr>
        <w:ind w:left="5760" w:hanging="360"/>
      </w:pPr>
    </w:lvl>
    <w:lvl w:ilvl="8" w:tplc="93362200">
      <w:start w:val="1"/>
      <w:numFmt w:val="lowerRoman"/>
      <w:lvlText w:val="%9."/>
      <w:lvlJc w:val="right"/>
      <w:pPr>
        <w:ind w:left="6480" w:hanging="180"/>
      </w:pPr>
    </w:lvl>
  </w:abstractNum>
  <w:abstractNum w:abstractNumId="38" w15:restartNumberingAfterBreak="0">
    <w:nsid w:val="74A36B75"/>
    <w:multiLevelType w:val="hybridMultilevel"/>
    <w:tmpl w:val="46A6E16C"/>
    <w:lvl w:ilvl="0" w:tplc="7A3E40B8">
      <w:start w:val="2"/>
      <w:numFmt w:val="decimal"/>
      <w:lvlText w:val="%1."/>
      <w:lvlJc w:val="left"/>
      <w:pPr>
        <w:ind w:left="720" w:hanging="360"/>
      </w:pPr>
    </w:lvl>
    <w:lvl w:ilvl="1" w:tplc="24C2709C">
      <w:start w:val="1"/>
      <w:numFmt w:val="lowerLetter"/>
      <w:lvlText w:val="%2."/>
      <w:lvlJc w:val="left"/>
      <w:pPr>
        <w:ind w:left="1440" w:hanging="360"/>
      </w:pPr>
    </w:lvl>
    <w:lvl w:ilvl="2" w:tplc="A6323CE6">
      <w:start w:val="1"/>
      <w:numFmt w:val="lowerRoman"/>
      <w:lvlText w:val="%3."/>
      <w:lvlJc w:val="right"/>
      <w:pPr>
        <w:ind w:left="2160" w:hanging="180"/>
      </w:pPr>
    </w:lvl>
    <w:lvl w:ilvl="3" w:tplc="956E1796">
      <w:start w:val="1"/>
      <w:numFmt w:val="decimal"/>
      <w:lvlText w:val="%4."/>
      <w:lvlJc w:val="left"/>
      <w:pPr>
        <w:ind w:left="2880" w:hanging="360"/>
      </w:pPr>
    </w:lvl>
    <w:lvl w:ilvl="4" w:tplc="214E16CC">
      <w:start w:val="1"/>
      <w:numFmt w:val="lowerLetter"/>
      <w:lvlText w:val="%5."/>
      <w:lvlJc w:val="left"/>
      <w:pPr>
        <w:ind w:left="3600" w:hanging="360"/>
      </w:pPr>
    </w:lvl>
    <w:lvl w:ilvl="5" w:tplc="02EEC50A">
      <w:start w:val="1"/>
      <w:numFmt w:val="lowerRoman"/>
      <w:lvlText w:val="%6."/>
      <w:lvlJc w:val="right"/>
      <w:pPr>
        <w:ind w:left="4320" w:hanging="180"/>
      </w:pPr>
    </w:lvl>
    <w:lvl w:ilvl="6" w:tplc="87B0D410">
      <w:start w:val="1"/>
      <w:numFmt w:val="decimal"/>
      <w:lvlText w:val="%7."/>
      <w:lvlJc w:val="left"/>
      <w:pPr>
        <w:ind w:left="5040" w:hanging="360"/>
      </w:pPr>
    </w:lvl>
    <w:lvl w:ilvl="7" w:tplc="E988CAEA">
      <w:start w:val="1"/>
      <w:numFmt w:val="lowerLetter"/>
      <w:lvlText w:val="%8."/>
      <w:lvlJc w:val="left"/>
      <w:pPr>
        <w:ind w:left="5760" w:hanging="360"/>
      </w:pPr>
    </w:lvl>
    <w:lvl w:ilvl="8" w:tplc="EABAA344">
      <w:start w:val="1"/>
      <w:numFmt w:val="lowerRoman"/>
      <w:lvlText w:val="%9."/>
      <w:lvlJc w:val="right"/>
      <w:pPr>
        <w:ind w:left="6480" w:hanging="180"/>
      </w:pPr>
    </w:lvl>
  </w:abstractNum>
  <w:abstractNum w:abstractNumId="39" w15:restartNumberingAfterBreak="0">
    <w:nsid w:val="776E0A6B"/>
    <w:multiLevelType w:val="hybridMultilevel"/>
    <w:tmpl w:val="B582C324"/>
    <w:lvl w:ilvl="0" w:tplc="D6D094EA">
      <w:start w:val="2"/>
      <w:numFmt w:val="decimal"/>
      <w:lvlText w:val="%1."/>
      <w:lvlJc w:val="left"/>
      <w:pPr>
        <w:ind w:left="720" w:hanging="360"/>
      </w:pPr>
    </w:lvl>
    <w:lvl w:ilvl="1" w:tplc="78C6C954">
      <w:start w:val="1"/>
      <w:numFmt w:val="lowerLetter"/>
      <w:lvlText w:val="%2."/>
      <w:lvlJc w:val="left"/>
      <w:pPr>
        <w:ind w:left="1440" w:hanging="360"/>
      </w:pPr>
    </w:lvl>
    <w:lvl w:ilvl="2" w:tplc="4732DE6A">
      <w:start w:val="1"/>
      <w:numFmt w:val="lowerRoman"/>
      <w:lvlText w:val="%3."/>
      <w:lvlJc w:val="right"/>
      <w:pPr>
        <w:ind w:left="2160" w:hanging="180"/>
      </w:pPr>
    </w:lvl>
    <w:lvl w:ilvl="3" w:tplc="3122694A">
      <w:start w:val="1"/>
      <w:numFmt w:val="decimal"/>
      <w:lvlText w:val="%4."/>
      <w:lvlJc w:val="left"/>
      <w:pPr>
        <w:ind w:left="2880" w:hanging="360"/>
      </w:pPr>
    </w:lvl>
    <w:lvl w:ilvl="4" w:tplc="98186020">
      <w:start w:val="1"/>
      <w:numFmt w:val="lowerLetter"/>
      <w:lvlText w:val="%5."/>
      <w:lvlJc w:val="left"/>
      <w:pPr>
        <w:ind w:left="3600" w:hanging="360"/>
      </w:pPr>
    </w:lvl>
    <w:lvl w:ilvl="5" w:tplc="4746B63A">
      <w:start w:val="1"/>
      <w:numFmt w:val="lowerRoman"/>
      <w:lvlText w:val="%6."/>
      <w:lvlJc w:val="right"/>
      <w:pPr>
        <w:ind w:left="4320" w:hanging="180"/>
      </w:pPr>
    </w:lvl>
    <w:lvl w:ilvl="6" w:tplc="3E8AA010">
      <w:start w:val="1"/>
      <w:numFmt w:val="decimal"/>
      <w:lvlText w:val="%7."/>
      <w:lvlJc w:val="left"/>
      <w:pPr>
        <w:ind w:left="5040" w:hanging="360"/>
      </w:pPr>
    </w:lvl>
    <w:lvl w:ilvl="7" w:tplc="0BF4E89C">
      <w:start w:val="1"/>
      <w:numFmt w:val="lowerLetter"/>
      <w:lvlText w:val="%8."/>
      <w:lvlJc w:val="left"/>
      <w:pPr>
        <w:ind w:left="5760" w:hanging="360"/>
      </w:pPr>
    </w:lvl>
    <w:lvl w:ilvl="8" w:tplc="48C052C8">
      <w:start w:val="1"/>
      <w:numFmt w:val="lowerRoman"/>
      <w:lvlText w:val="%9."/>
      <w:lvlJc w:val="right"/>
      <w:pPr>
        <w:ind w:left="6480" w:hanging="180"/>
      </w:pPr>
    </w:lvl>
  </w:abstractNum>
  <w:num w:numId="1">
    <w:abstractNumId w:val="12"/>
  </w:num>
  <w:num w:numId="2">
    <w:abstractNumId w:val="23"/>
  </w:num>
  <w:num w:numId="3">
    <w:abstractNumId w:val="1"/>
  </w:num>
  <w:num w:numId="4">
    <w:abstractNumId w:val="27"/>
  </w:num>
  <w:num w:numId="5">
    <w:abstractNumId w:val="39"/>
  </w:num>
  <w:num w:numId="6">
    <w:abstractNumId w:val="38"/>
  </w:num>
  <w:num w:numId="7">
    <w:abstractNumId w:val="14"/>
  </w:num>
  <w:num w:numId="8">
    <w:abstractNumId w:val="24"/>
  </w:num>
  <w:num w:numId="9">
    <w:abstractNumId w:val="4"/>
  </w:num>
  <w:num w:numId="10">
    <w:abstractNumId w:val="25"/>
  </w:num>
  <w:num w:numId="11">
    <w:abstractNumId w:val="18"/>
  </w:num>
  <w:num w:numId="12">
    <w:abstractNumId w:val="37"/>
  </w:num>
  <w:num w:numId="13">
    <w:abstractNumId w:val="31"/>
  </w:num>
  <w:num w:numId="14">
    <w:abstractNumId w:val="35"/>
  </w:num>
  <w:num w:numId="15">
    <w:abstractNumId w:val="9"/>
  </w:num>
  <w:num w:numId="16">
    <w:abstractNumId w:val="33"/>
  </w:num>
  <w:num w:numId="17">
    <w:abstractNumId w:val="34"/>
  </w:num>
  <w:num w:numId="18">
    <w:abstractNumId w:val="28"/>
  </w:num>
  <w:num w:numId="19">
    <w:abstractNumId w:val="7"/>
  </w:num>
  <w:num w:numId="20">
    <w:abstractNumId w:val="8"/>
  </w:num>
  <w:num w:numId="21">
    <w:abstractNumId w:val="36"/>
  </w:num>
  <w:num w:numId="22">
    <w:abstractNumId w:val="21"/>
  </w:num>
  <w:num w:numId="23">
    <w:abstractNumId w:val="6"/>
  </w:num>
  <w:num w:numId="24">
    <w:abstractNumId w:val="0"/>
  </w:num>
  <w:num w:numId="25">
    <w:abstractNumId w:val="17"/>
  </w:num>
  <w:num w:numId="26">
    <w:abstractNumId w:val="13"/>
  </w:num>
  <w:num w:numId="27">
    <w:abstractNumId w:val="29"/>
  </w:num>
  <w:num w:numId="28">
    <w:abstractNumId w:val="20"/>
  </w:num>
  <w:num w:numId="29">
    <w:abstractNumId w:val="11"/>
  </w:num>
  <w:num w:numId="30">
    <w:abstractNumId w:val="26"/>
  </w:num>
  <w:num w:numId="31">
    <w:abstractNumId w:val="22"/>
  </w:num>
  <w:num w:numId="32">
    <w:abstractNumId w:val="19"/>
  </w:num>
  <w:num w:numId="33">
    <w:abstractNumId w:val="15"/>
  </w:num>
  <w:num w:numId="34">
    <w:abstractNumId w:val="3"/>
  </w:num>
  <w:num w:numId="35">
    <w:abstractNumId w:val="2"/>
  </w:num>
  <w:num w:numId="36">
    <w:abstractNumId w:val="10"/>
  </w:num>
  <w:num w:numId="37">
    <w:abstractNumId w:val="5"/>
  </w:num>
  <w:num w:numId="38">
    <w:abstractNumId w:val="30"/>
  </w:num>
  <w:num w:numId="39">
    <w:abstractNumId w:val="16"/>
  </w:num>
  <w:num w:numId="4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Neurocritical Ca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stp92wz7wtstnestz4p92fr52xwavz5a55f&quot;&gt;Neuroprognostication following cardiac arrest-Converted&lt;record-ids&gt;&lt;item&gt;2&lt;/item&gt;&lt;item&gt;4&lt;/item&gt;&lt;item&gt;7&lt;/item&gt;&lt;item&gt;91&lt;/item&gt;&lt;item&gt;92&lt;/item&gt;&lt;item&gt;94&lt;/item&gt;&lt;item&gt;95&lt;/item&gt;&lt;item&gt;96&lt;/item&gt;&lt;item&gt;97&lt;/item&gt;&lt;item&gt;98&lt;/item&gt;&lt;item&gt;99&lt;/item&gt;&lt;item&gt;100&lt;/item&gt;&lt;item&gt;101&lt;/item&gt;&lt;item&gt;102&lt;/item&gt;&lt;item&gt;103&lt;/item&gt;&lt;item&gt;104&lt;/item&gt;&lt;item&gt;106&lt;/item&gt;&lt;item&gt;107&lt;/item&gt;&lt;item&gt;109&lt;/item&gt;&lt;item&gt;110&lt;/item&gt;&lt;item&gt;112&lt;/item&gt;&lt;item&gt;113&lt;/item&gt;&lt;item&gt;114&lt;/item&gt;&lt;item&gt;115&lt;/item&gt;&lt;item&gt;120&lt;/item&gt;&lt;item&gt;121&lt;/item&gt;&lt;item&gt;122&lt;/item&gt;&lt;item&gt;123&lt;/item&gt;&lt;item&gt;124&lt;/item&gt;&lt;item&gt;125&lt;/item&gt;&lt;item&gt;126&lt;/item&gt;&lt;item&gt;127&lt;/item&gt;&lt;item&gt;128&lt;/item&gt;&lt;item&gt;129&lt;/item&gt;&lt;item&gt;131&lt;/item&gt;&lt;item&gt;132&lt;/item&gt;&lt;item&gt;133&lt;/item&gt;&lt;item&gt;134&lt;/item&gt;&lt;item&gt;136&lt;/item&gt;&lt;item&gt;137&lt;/item&gt;&lt;item&gt;139&lt;/item&gt;&lt;item&gt;140&lt;/item&gt;&lt;item&gt;141&lt;/item&gt;&lt;item&gt;142&lt;/item&gt;&lt;item&gt;146&lt;/item&gt;&lt;item&gt;147&lt;/item&gt;&lt;item&gt;148&lt;/item&gt;&lt;item&gt;152&lt;/item&gt;&lt;item&gt;153&lt;/item&gt;&lt;item&gt;157&lt;/item&gt;&lt;item&gt;160&lt;/item&gt;&lt;item&gt;161&lt;/item&gt;&lt;item&gt;162&lt;/item&gt;&lt;item&gt;163&lt;/item&gt;&lt;item&gt;164&lt;/item&gt;&lt;item&gt;165&lt;/item&gt;&lt;item&gt;168&lt;/item&gt;&lt;item&gt;169&lt;/item&gt;&lt;item&gt;170&lt;/item&gt;&lt;item&gt;171&lt;/item&gt;&lt;item&gt;172&lt;/item&gt;&lt;item&gt;173&lt;/item&gt;&lt;item&gt;174&lt;/item&gt;&lt;item&gt;175&lt;/item&gt;&lt;item&gt;176&lt;/item&gt;&lt;item&gt;177&lt;/item&gt;&lt;item&gt;178&lt;/item&gt;&lt;item&gt;181&lt;/item&gt;&lt;item&gt;183&lt;/item&gt;&lt;item&gt;185&lt;/item&gt;&lt;item&gt;186&lt;/item&gt;&lt;item&gt;187&lt;/item&gt;&lt;item&gt;188&lt;/item&gt;&lt;item&gt;189&lt;/item&gt;&lt;item&gt;190&lt;/item&gt;&lt;item&gt;191&lt;/item&gt;&lt;item&gt;192&lt;/item&gt;&lt;item&gt;193&lt;/item&gt;&lt;item&gt;195&lt;/item&gt;&lt;item&gt;196&lt;/item&gt;&lt;item&gt;197&lt;/item&gt;&lt;item&gt;198&lt;/item&gt;&lt;item&gt;199&lt;/item&gt;&lt;item&gt;200&lt;/item&gt;&lt;item&gt;201&lt;/item&gt;&lt;item&gt;202&lt;/item&gt;&lt;item&gt;203&lt;/item&gt;&lt;item&gt;206&lt;/item&gt;&lt;item&gt;207&lt;/item&gt;&lt;item&gt;208&lt;/item&gt;&lt;item&gt;209&lt;/item&gt;&lt;item&gt;210&lt;/item&gt;&lt;item&gt;211&lt;/item&gt;&lt;item&gt;212&lt;/item&gt;&lt;item&gt;214&lt;/item&gt;&lt;item&gt;215&lt;/item&gt;&lt;item&gt;216&lt;/item&gt;&lt;item&gt;219&lt;/item&gt;&lt;item&gt;221&lt;/item&gt;&lt;item&gt;222&lt;/item&gt;&lt;item&gt;224&lt;/item&gt;&lt;item&gt;226&lt;/item&gt;&lt;item&gt;227&lt;/item&gt;&lt;item&gt;228&lt;/item&gt;&lt;item&gt;229&lt;/item&gt;&lt;item&gt;230&lt;/item&gt;&lt;item&gt;233&lt;/item&gt;&lt;item&gt;234&lt;/item&gt;&lt;item&gt;235&lt;/item&gt;&lt;item&gt;236&lt;/item&gt;&lt;item&gt;238&lt;/item&gt;&lt;item&gt;239&lt;/item&gt;&lt;item&gt;240&lt;/item&gt;&lt;item&gt;241&lt;/item&gt;&lt;item&gt;242&lt;/item&gt;&lt;item&gt;244&lt;/item&gt;&lt;item&gt;245&lt;/item&gt;&lt;item&gt;246&lt;/item&gt;&lt;item&gt;247&lt;/item&gt;&lt;item&gt;249&lt;/item&gt;&lt;item&gt;250&lt;/item&gt;&lt;item&gt;251&lt;/item&gt;&lt;item&gt;252&lt;/item&gt;&lt;item&gt;253&lt;/item&gt;&lt;item&gt;254&lt;/item&gt;&lt;item&gt;255&lt;/item&gt;&lt;item&gt;257&lt;/item&gt;&lt;item&gt;259&lt;/item&gt;&lt;item&gt;261&lt;/item&gt;&lt;item&gt;262&lt;/item&gt;&lt;item&gt;263&lt;/item&gt;&lt;item&gt;264&lt;/item&gt;&lt;item&gt;265&lt;/item&gt;&lt;item&gt;266&lt;/item&gt;&lt;item&gt;267&lt;/item&gt;&lt;item&gt;268&lt;/item&gt;&lt;item&gt;269&lt;/item&gt;&lt;item&gt;270&lt;/item&gt;&lt;item&gt;275&lt;/item&gt;&lt;item&gt;277&lt;/item&gt;&lt;item&gt;278&lt;/item&gt;&lt;item&gt;279&lt;/item&gt;&lt;item&gt;280&lt;/item&gt;&lt;item&gt;281&lt;/item&gt;&lt;item&gt;285&lt;/item&gt;&lt;item&gt;287&lt;/item&gt;&lt;item&gt;290&lt;/item&gt;&lt;item&gt;291&lt;/item&gt;&lt;item&gt;292&lt;/item&gt;&lt;item&gt;293&lt;/item&gt;&lt;/record-ids&gt;&lt;/item&gt;&lt;/Libraries&gt;"/>
  </w:docVars>
  <w:rsids>
    <w:rsidRoot w:val="00D40706"/>
    <w:rsid w:val="00002DBE"/>
    <w:rsid w:val="000031E3"/>
    <w:rsid w:val="00004DEE"/>
    <w:rsid w:val="000055D4"/>
    <w:rsid w:val="0000593A"/>
    <w:rsid w:val="00005CC6"/>
    <w:rsid w:val="00005D78"/>
    <w:rsid w:val="00007298"/>
    <w:rsid w:val="000113AB"/>
    <w:rsid w:val="00011B67"/>
    <w:rsid w:val="00012911"/>
    <w:rsid w:val="00013424"/>
    <w:rsid w:val="000149EC"/>
    <w:rsid w:val="00015FB6"/>
    <w:rsid w:val="00016788"/>
    <w:rsid w:val="00016D29"/>
    <w:rsid w:val="000176C8"/>
    <w:rsid w:val="0002001B"/>
    <w:rsid w:val="000237BC"/>
    <w:rsid w:val="00023E38"/>
    <w:rsid w:val="00024662"/>
    <w:rsid w:val="0002501F"/>
    <w:rsid w:val="00026520"/>
    <w:rsid w:val="00026A98"/>
    <w:rsid w:val="00027163"/>
    <w:rsid w:val="0002730B"/>
    <w:rsid w:val="000307B5"/>
    <w:rsid w:val="00031420"/>
    <w:rsid w:val="0003217A"/>
    <w:rsid w:val="000333A2"/>
    <w:rsid w:val="00033420"/>
    <w:rsid w:val="00033558"/>
    <w:rsid w:val="00033A16"/>
    <w:rsid w:val="00033C13"/>
    <w:rsid w:val="00034E82"/>
    <w:rsid w:val="000356AC"/>
    <w:rsid w:val="00035958"/>
    <w:rsid w:val="00035E94"/>
    <w:rsid w:val="00035FD0"/>
    <w:rsid w:val="00036783"/>
    <w:rsid w:val="0003761D"/>
    <w:rsid w:val="00037EC1"/>
    <w:rsid w:val="00040D5B"/>
    <w:rsid w:val="00041162"/>
    <w:rsid w:val="00042322"/>
    <w:rsid w:val="00042717"/>
    <w:rsid w:val="00044CD4"/>
    <w:rsid w:val="000478AE"/>
    <w:rsid w:val="00047B50"/>
    <w:rsid w:val="00050DBA"/>
    <w:rsid w:val="0005177E"/>
    <w:rsid w:val="000519C5"/>
    <w:rsid w:val="00051C46"/>
    <w:rsid w:val="00054B70"/>
    <w:rsid w:val="00054EB6"/>
    <w:rsid w:val="00055926"/>
    <w:rsid w:val="000603C2"/>
    <w:rsid w:val="00060B38"/>
    <w:rsid w:val="00061066"/>
    <w:rsid w:val="00061AE1"/>
    <w:rsid w:val="00062732"/>
    <w:rsid w:val="00062E5B"/>
    <w:rsid w:val="000633F9"/>
    <w:rsid w:val="00071853"/>
    <w:rsid w:val="00072BDC"/>
    <w:rsid w:val="00073073"/>
    <w:rsid w:val="0007346F"/>
    <w:rsid w:val="00073805"/>
    <w:rsid w:val="00074886"/>
    <w:rsid w:val="000752C1"/>
    <w:rsid w:val="000763E8"/>
    <w:rsid w:val="00076517"/>
    <w:rsid w:val="00076985"/>
    <w:rsid w:val="000772F7"/>
    <w:rsid w:val="000773CA"/>
    <w:rsid w:val="00080C74"/>
    <w:rsid w:val="00082038"/>
    <w:rsid w:val="000844FA"/>
    <w:rsid w:val="000865AD"/>
    <w:rsid w:val="0008747C"/>
    <w:rsid w:val="00087AE2"/>
    <w:rsid w:val="000918A5"/>
    <w:rsid w:val="00091D4F"/>
    <w:rsid w:val="000922A2"/>
    <w:rsid w:val="000929C9"/>
    <w:rsid w:val="00093B7F"/>
    <w:rsid w:val="00097BEC"/>
    <w:rsid w:val="000A0B28"/>
    <w:rsid w:val="000A3D05"/>
    <w:rsid w:val="000A47CD"/>
    <w:rsid w:val="000A4B7F"/>
    <w:rsid w:val="000A4F65"/>
    <w:rsid w:val="000A5055"/>
    <w:rsid w:val="000A59C1"/>
    <w:rsid w:val="000A6021"/>
    <w:rsid w:val="000A75FE"/>
    <w:rsid w:val="000A7F5C"/>
    <w:rsid w:val="000B1EC3"/>
    <w:rsid w:val="000B2723"/>
    <w:rsid w:val="000B4163"/>
    <w:rsid w:val="000B620F"/>
    <w:rsid w:val="000B704A"/>
    <w:rsid w:val="000B7D83"/>
    <w:rsid w:val="000C1739"/>
    <w:rsid w:val="000C173A"/>
    <w:rsid w:val="000C4112"/>
    <w:rsid w:val="000C54A9"/>
    <w:rsid w:val="000C626B"/>
    <w:rsid w:val="000C7272"/>
    <w:rsid w:val="000C7C8F"/>
    <w:rsid w:val="000D0EB0"/>
    <w:rsid w:val="000D2212"/>
    <w:rsid w:val="000D456C"/>
    <w:rsid w:val="000D484C"/>
    <w:rsid w:val="000D4DED"/>
    <w:rsid w:val="000D53DD"/>
    <w:rsid w:val="000D5498"/>
    <w:rsid w:val="000D5697"/>
    <w:rsid w:val="000D662F"/>
    <w:rsid w:val="000D7326"/>
    <w:rsid w:val="000D754C"/>
    <w:rsid w:val="000E005C"/>
    <w:rsid w:val="000E02EB"/>
    <w:rsid w:val="000E0E8E"/>
    <w:rsid w:val="000E0FD7"/>
    <w:rsid w:val="000E104C"/>
    <w:rsid w:val="000E115A"/>
    <w:rsid w:val="000E38C2"/>
    <w:rsid w:val="000E3B1C"/>
    <w:rsid w:val="000E701E"/>
    <w:rsid w:val="000E7290"/>
    <w:rsid w:val="000E762F"/>
    <w:rsid w:val="000F05E5"/>
    <w:rsid w:val="000F15CF"/>
    <w:rsid w:val="000F22CD"/>
    <w:rsid w:val="000F27F6"/>
    <w:rsid w:val="000F39E1"/>
    <w:rsid w:val="000F546C"/>
    <w:rsid w:val="000F5ADD"/>
    <w:rsid w:val="000F7310"/>
    <w:rsid w:val="000F7CF4"/>
    <w:rsid w:val="00100884"/>
    <w:rsid w:val="00100976"/>
    <w:rsid w:val="0010101A"/>
    <w:rsid w:val="00101108"/>
    <w:rsid w:val="00101A15"/>
    <w:rsid w:val="00101E69"/>
    <w:rsid w:val="00102812"/>
    <w:rsid w:val="00102837"/>
    <w:rsid w:val="00102CBA"/>
    <w:rsid w:val="00102EE0"/>
    <w:rsid w:val="0010453F"/>
    <w:rsid w:val="00105D15"/>
    <w:rsid w:val="0010797C"/>
    <w:rsid w:val="00107E85"/>
    <w:rsid w:val="00110DE5"/>
    <w:rsid w:val="00110F5D"/>
    <w:rsid w:val="001110B2"/>
    <w:rsid w:val="00111A3A"/>
    <w:rsid w:val="00112832"/>
    <w:rsid w:val="001129AF"/>
    <w:rsid w:val="00112B53"/>
    <w:rsid w:val="0011334A"/>
    <w:rsid w:val="00113B8D"/>
    <w:rsid w:val="0011765F"/>
    <w:rsid w:val="0012053C"/>
    <w:rsid w:val="00120720"/>
    <w:rsid w:val="00121A46"/>
    <w:rsid w:val="00122345"/>
    <w:rsid w:val="001228BF"/>
    <w:rsid w:val="00124DE4"/>
    <w:rsid w:val="00124F3E"/>
    <w:rsid w:val="00126B55"/>
    <w:rsid w:val="00126D51"/>
    <w:rsid w:val="001322B9"/>
    <w:rsid w:val="00132E5D"/>
    <w:rsid w:val="00133E97"/>
    <w:rsid w:val="001357FB"/>
    <w:rsid w:val="00135AC4"/>
    <w:rsid w:val="001368A0"/>
    <w:rsid w:val="00136FED"/>
    <w:rsid w:val="0014076E"/>
    <w:rsid w:val="001407BE"/>
    <w:rsid w:val="00141085"/>
    <w:rsid w:val="00141C15"/>
    <w:rsid w:val="001420AD"/>
    <w:rsid w:val="00142712"/>
    <w:rsid w:val="00142DCB"/>
    <w:rsid w:val="00143298"/>
    <w:rsid w:val="00143584"/>
    <w:rsid w:val="00147568"/>
    <w:rsid w:val="00147C84"/>
    <w:rsid w:val="00147FB5"/>
    <w:rsid w:val="00150646"/>
    <w:rsid w:val="001508FE"/>
    <w:rsid w:val="00150D1E"/>
    <w:rsid w:val="00151E10"/>
    <w:rsid w:val="001523D4"/>
    <w:rsid w:val="00152CBD"/>
    <w:rsid w:val="00154224"/>
    <w:rsid w:val="00154EBB"/>
    <w:rsid w:val="001601FE"/>
    <w:rsid w:val="00160C58"/>
    <w:rsid w:val="001619AE"/>
    <w:rsid w:val="00161D39"/>
    <w:rsid w:val="00163C36"/>
    <w:rsid w:val="00164574"/>
    <w:rsid w:val="0016515E"/>
    <w:rsid w:val="00166526"/>
    <w:rsid w:val="001669F7"/>
    <w:rsid w:val="00167F46"/>
    <w:rsid w:val="0017014D"/>
    <w:rsid w:val="001715F2"/>
    <w:rsid w:val="001733E4"/>
    <w:rsid w:val="0017663E"/>
    <w:rsid w:val="0017724E"/>
    <w:rsid w:val="00177252"/>
    <w:rsid w:val="001775D8"/>
    <w:rsid w:val="00182014"/>
    <w:rsid w:val="00183870"/>
    <w:rsid w:val="00183BB9"/>
    <w:rsid w:val="0018465E"/>
    <w:rsid w:val="00184AA1"/>
    <w:rsid w:val="00186153"/>
    <w:rsid w:val="00186300"/>
    <w:rsid w:val="00186CE7"/>
    <w:rsid w:val="00186FD1"/>
    <w:rsid w:val="001876F6"/>
    <w:rsid w:val="0019125C"/>
    <w:rsid w:val="00191C5D"/>
    <w:rsid w:val="001921A0"/>
    <w:rsid w:val="00192E82"/>
    <w:rsid w:val="0019441D"/>
    <w:rsid w:val="00194F20"/>
    <w:rsid w:val="00195D1E"/>
    <w:rsid w:val="00197514"/>
    <w:rsid w:val="001A0822"/>
    <w:rsid w:val="001A0A71"/>
    <w:rsid w:val="001A1B39"/>
    <w:rsid w:val="001A44EB"/>
    <w:rsid w:val="001A451D"/>
    <w:rsid w:val="001A57D5"/>
    <w:rsid w:val="001A6574"/>
    <w:rsid w:val="001A68A4"/>
    <w:rsid w:val="001A6B7B"/>
    <w:rsid w:val="001A7092"/>
    <w:rsid w:val="001B0DBF"/>
    <w:rsid w:val="001B2640"/>
    <w:rsid w:val="001B292D"/>
    <w:rsid w:val="001B2BF7"/>
    <w:rsid w:val="001B2F5D"/>
    <w:rsid w:val="001B6276"/>
    <w:rsid w:val="001B6721"/>
    <w:rsid w:val="001C1B19"/>
    <w:rsid w:val="001C24B8"/>
    <w:rsid w:val="001C34BB"/>
    <w:rsid w:val="001C3528"/>
    <w:rsid w:val="001C447A"/>
    <w:rsid w:val="001C5BB8"/>
    <w:rsid w:val="001C6420"/>
    <w:rsid w:val="001C6B60"/>
    <w:rsid w:val="001D0B0C"/>
    <w:rsid w:val="001D0B84"/>
    <w:rsid w:val="001D1D20"/>
    <w:rsid w:val="001D1E84"/>
    <w:rsid w:val="001D1FC1"/>
    <w:rsid w:val="001D25C6"/>
    <w:rsid w:val="001D3A0D"/>
    <w:rsid w:val="001D44EB"/>
    <w:rsid w:val="001D567F"/>
    <w:rsid w:val="001D592C"/>
    <w:rsid w:val="001D629D"/>
    <w:rsid w:val="001D6866"/>
    <w:rsid w:val="001D6E23"/>
    <w:rsid w:val="001D7B16"/>
    <w:rsid w:val="001E0814"/>
    <w:rsid w:val="001E17E3"/>
    <w:rsid w:val="001E1ACE"/>
    <w:rsid w:val="001E5F9A"/>
    <w:rsid w:val="001E76D0"/>
    <w:rsid w:val="001E78F0"/>
    <w:rsid w:val="001F040D"/>
    <w:rsid w:val="001F1775"/>
    <w:rsid w:val="001F1839"/>
    <w:rsid w:val="001F1DA0"/>
    <w:rsid w:val="001F2116"/>
    <w:rsid w:val="001F2556"/>
    <w:rsid w:val="001F26CA"/>
    <w:rsid w:val="001F5BD1"/>
    <w:rsid w:val="001F5FF2"/>
    <w:rsid w:val="002020B4"/>
    <w:rsid w:val="00202603"/>
    <w:rsid w:val="002034F5"/>
    <w:rsid w:val="00204D0C"/>
    <w:rsid w:val="0020559B"/>
    <w:rsid w:val="0020777E"/>
    <w:rsid w:val="002079AB"/>
    <w:rsid w:val="002105F1"/>
    <w:rsid w:val="002125AD"/>
    <w:rsid w:val="00213156"/>
    <w:rsid w:val="00213B0C"/>
    <w:rsid w:val="00214535"/>
    <w:rsid w:val="00214C09"/>
    <w:rsid w:val="0021510B"/>
    <w:rsid w:val="00216BDC"/>
    <w:rsid w:val="00217197"/>
    <w:rsid w:val="00217F68"/>
    <w:rsid w:val="002201C0"/>
    <w:rsid w:val="002201E4"/>
    <w:rsid w:val="00220D0D"/>
    <w:rsid w:val="00221DBE"/>
    <w:rsid w:val="00222D4E"/>
    <w:rsid w:val="00224389"/>
    <w:rsid w:val="00224B02"/>
    <w:rsid w:val="00224C45"/>
    <w:rsid w:val="0022512A"/>
    <w:rsid w:val="002253D0"/>
    <w:rsid w:val="002255B1"/>
    <w:rsid w:val="002263C6"/>
    <w:rsid w:val="00226E8B"/>
    <w:rsid w:val="002272EF"/>
    <w:rsid w:val="002314FA"/>
    <w:rsid w:val="00231FC4"/>
    <w:rsid w:val="002320BD"/>
    <w:rsid w:val="00233259"/>
    <w:rsid w:val="00233A1C"/>
    <w:rsid w:val="00235E67"/>
    <w:rsid w:val="0023642A"/>
    <w:rsid w:val="00237941"/>
    <w:rsid w:val="00241B25"/>
    <w:rsid w:val="002441D3"/>
    <w:rsid w:val="002444FD"/>
    <w:rsid w:val="0024499E"/>
    <w:rsid w:val="002462A7"/>
    <w:rsid w:val="002467D5"/>
    <w:rsid w:val="00247AF6"/>
    <w:rsid w:val="00247F2C"/>
    <w:rsid w:val="00250EB6"/>
    <w:rsid w:val="0025264B"/>
    <w:rsid w:val="0025268C"/>
    <w:rsid w:val="002535F8"/>
    <w:rsid w:val="0025724A"/>
    <w:rsid w:val="0025751F"/>
    <w:rsid w:val="00260E41"/>
    <w:rsid w:val="00261AB8"/>
    <w:rsid w:val="00262477"/>
    <w:rsid w:val="002624AE"/>
    <w:rsid w:val="00263639"/>
    <w:rsid w:val="002638AF"/>
    <w:rsid w:val="00263E88"/>
    <w:rsid w:val="00265A4A"/>
    <w:rsid w:val="00265AD9"/>
    <w:rsid w:val="0026686F"/>
    <w:rsid w:val="00266C3A"/>
    <w:rsid w:val="002672A8"/>
    <w:rsid w:val="00267470"/>
    <w:rsid w:val="0026750C"/>
    <w:rsid w:val="002676A1"/>
    <w:rsid w:val="00271102"/>
    <w:rsid w:val="0027282F"/>
    <w:rsid w:val="002730F0"/>
    <w:rsid w:val="002731A3"/>
    <w:rsid w:val="00273D9C"/>
    <w:rsid w:val="00274290"/>
    <w:rsid w:val="00275D21"/>
    <w:rsid w:val="0027742B"/>
    <w:rsid w:val="00280789"/>
    <w:rsid w:val="00280841"/>
    <w:rsid w:val="00280904"/>
    <w:rsid w:val="00281B6B"/>
    <w:rsid w:val="0028239B"/>
    <w:rsid w:val="0028318B"/>
    <w:rsid w:val="00283EB4"/>
    <w:rsid w:val="002877D9"/>
    <w:rsid w:val="00287DB5"/>
    <w:rsid w:val="00290E70"/>
    <w:rsid w:val="00291F8E"/>
    <w:rsid w:val="00292EEF"/>
    <w:rsid w:val="0029303E"/>
    <w:rsid w:val="002934D8"/>
    <w:rsid w:val="00293D2A"/>
    <w:rsid w:val="00296E66"/>
    <w:rsid w:val="00297349"/>
    <w:rsid w:val="002A07ED"/>
    <w:rsid w:val="002A0FA0"/>
    <w:rsid w:val="002A2363"/>
    <w:rsid w:val="002A250A"/>
    <w:rsid w:val="002A3325"/>
    <w:rsid w:val="002A3397"/>
    <w:rsid w:val="002A3C91"/>
    <w:rsid w:val="002A5A52"/>
    <w:rsid w:val="002A5FC7"/>
    <w:rsid w:val="002A62A8"/>
    <w:rsid w:val="002A749F"/>
    <w:rsid w:val="002A78B7"/>
    <w:rsid w:val="002A7CD8"/>
    <w:rsid w:val="002B0ACF"/>
    <w:rsid w:val="002B1792"/>
    <w:rsid w:val="002B3478"/>
    <w:rsid w:val="002B44A8"/>
    <w:rsid w:val="002B614B"/>
    <w:rsid w:val="002B7E46"/>
    <w:rsid w:val="002C0067"/>
    <w:rsid w:val="002C07FD"/>
    <w:rsid w:val="002C39DF"/>
    <w:rsid w:val="002C5B15"/>
    <w:rsid w:val="002C5F5E"/>
    <w:rsid w:val="002D1812"/>
    <w:rsid w:val="002D24CB"/>
    <w:rsid w:val="002D254F"/>
    <w:rsid w:val="002D268D"/>
    <w:rsid w:val="002D29C4"/>
    <w:rsid w:val="002D4177"/>
    <w:rsid w:val="002D4B18"/>
    <w:rsid w:val="002D67FB"/>
    <w:rsid w:val="002D75AC"/>
    <w:rsid w:val="002E25B8"/>
    <w:rsid w:val="002E5328"/>
    <w:rsid w:val="002E5A7F"/>
    <w:rsid w:val="002E6AAD"/>
    <w:rsid w:val="002E7E48"/>
    <w:rsid w:val="002F040B"/>
    <w:rsid w:val="002F08C9"/>
    <w:rsid w:val="002F1E50"/>
    <w:rsid w:val="002F359F"/>
    <w:rsid w:val="002F35B2"/>
    <w:rsid w:val="002F4C98"/>
    <w:rsid w:val="002F5D11"/>
    <w:rsid w:val="002F6040"/>
    <w:rsid w:val="002F6E47"/>
    <w:rsid w:val="0030043C"/>
    <w:rsid w:val="0030052B"/>
    <w:rsid w:val="00300EC9"/>
    <w:rsid w:val="003024AA"/>
    <w:rsid w:val="00303DD0"/>
    <w:rsid w:val="003043EF"/>
    <w:rsid w:val="00306841"/>
    <w:rsid w:val="003070BF"/>
    <w:rsid w:val="003105D9"/>
    <w:rsid w:val="00311F4D"/>
    <w:rsid w:val="003134EE"/>
    <w:rsid w:val="00313AD0"/>
    <w:rsid w:val="00315F0F"/>
    <w:rsid w:val="00317016"/>
    <w:rsid w:val="003178E6"/>
    <w:rsid w:val="00317DA3"/>
    <w:rsid w:val="00317EA9"/>
    <w:rsid w:val="00320A26"/>
    <w:rsid w:val="0032171A"/>
    <w:rsid w:val="00321C2A"/>
    <w:rsid w:val="003224A1"/>
    <w:rsid w:val="00324F3B"/>
    <w:rsid w:val="0032570C"/>
    <w:rsid w:val="00325BA5"/>
    <w:rsid w:val="003262B5"/>
    <w:rsid w:val="00326427"/>
    <w:rsid w:val="00330F6C"/>
    <w:rsid w:val="00331B7B"/>
    <w:rsid w:val="00332B8B"/>
    <w:rsid w:val="003338B4"/>
    <w:rsid w:val="003371B3"/>
    <w:rsid w:val="003427E4"/>
    <w:rsid w:val="00342AE3"/>
    <w:rsid w:val="00342BF3"/>
    <w:rsid w:val="00343271"/>
    <w:rsid w:val="00343914"/>
    <w:rsid w:val="00343918"/>
    <w:rsid w:val="00343C2E"/>
    <w:rsid w:val="00344432"/>
    <w:rsid w:val="003447D0"/>
    <w:rsid w:val="003459AA"/>
    <w:rsid w:val="003459D0"/>
    <w:rsid w:val="00345D78"/>
    <w:rsid w:val="00346208"/>
    <w:rsid w:val="00350428"/>
    <w:rsid w:val="00352789"/>
    <w:rsid w:val="00353EC5"/>
    <w:rsid w:val="00355AF2"/>
    <w:rsid w:val="00357568"/>
    <w:rsid w:val="0036032A"/>
    <w:rsid w:val="00361466"/>
    <w:rsid w:val="003647EF"/>
    <w:rsid w:val="00364B1F"/>
    <w:rsid w:val="003656CA"/>
    <w:rsid w:val="0037056D"/>
    <w:rsid w:val="00370A6C"/>
    <w:rsid w:val="00370CAA"/>
    <w:rsid w:val="00371A18"/>
    <w:rsid w:val="0037357A"/>
    <w:rsid w:val="003737FB"/>
    <w:rsid w:val="003739B8"/>
    <w:rsid w:val="0037528E"/>
    <w:rsid w:val="00376798"/>
    <w:rsid w:val="003769E0"/>
    <w:rsid w:val="00376FB2"/>
    <w:rsid w:val="0037748B"/>
    <w:rsid w:val="003806EF"/>
    <w:rsid w:val="0038092F"/>
    <w:rsid w:val="00380D47"/>
    <w:rsid w:val="0038202D"/>
    <w:rsid w:val="003822BD"/>
    <w:rsid w:val="00382C69"/>
    <w:rsid w:val="00384E31"/>
    <w:rsid w:val="00385F26"/>
    <w:rsid w:val="00386199"/>
    <w:rsid w:val="00386EDC"/>
    <w:rsid w:val="0038735B"/>
    <w:rsid w:val="00387679"/>
    <w:rsid w:val="003879C3"/>
    <w:rsid w:val="00390B96"/>
    <w:rsid w:val="00390D56"/>
    <w:rsid w:val="0039223B"/>
    <w:rsid w:val="00392349"/>
    <w:rsid w:val="00392388"/>
    <w:rsid w:val="00392486"/>
    <w:rsid w:val="00392603"/>
    <w:rsid w:val="003927B0"/>
    <w:rsid w:val="00393D7E"/>
    <w:rsid w:val="0039445E"/>
    <w:rsid w:val="003950D3"/>
    <w:rsid w:val="003967EE"/>
    <w:rsid w:val="003969CD"/>
    <w:rsid w:val="0039730C"/>
    <w:rsid w:val="003A33E0"/>
    <w:rsid w:val="003A419A"/>
    <w:rsid w:val="003A4F85"/>
    <w:rsid w:val="003A58BB"/>
    <w:rsid w:val="003A7FC1"/>
    <w:rsid w:val="003B29EC"/>
    <w:rsid w:val="003B496A"/>
    <w:rsid w:val="003B4E45"/>
    <w:rsid w:val="003B6936"/>
    <w:rsid w:val="003B716D"/>
    <w:rsid w:val="003B744D"/>
    <w:rsid w:val="003B7541"/>
    <w:rsid w:val="003B7BB5"/>
    <w:rsid w:val="003B7C41"/>
    <w:rsid w:val="003C058E"/>
    <w:rsid w:val="003C0A0F"/>
    <w:rsid w:val="003C0B2B"/>
    <w:rsid w:val="003C4127"/>
    <w:rsid w:val="003C5BED"/>
    <w:rsid w:val="003C7002"/>
    <w:rsid w:val="003C71E5"/>
    <w:rsid w:val="003D0DAF"/>
    <w:rsid w:val="003D1527"/>
    <w:rsid w:val="003D1782"/>
    <w:rsid w:val="003D1927"/>
    <w:rsid w:val="003D228B"/>
    <w:rsid w:val="003D3A87"/>
    <w:rsid w:val="003D5402"/>
    <w:rsid w:val="003D5A34"/>
    <w:rsid w:val="003D6859"/>
    <w:rsid w:val="003D706B"/>
    <w:rsid w:val="003E057A"/>
    <w:rsid w:val="003E08AF"/>
    <w:rsid w:val="003E090D"/>
    <w:rsid w:val="003E0ACA"/>
    <w:rsid w:val="003E2C0D"/>
    <w:rsid w:val="003E2E7D"/>
    <w:rsid w:val="003E2FCC"/>
    <w:rsid w:val="003E3087"/>
    <w:rsid w:val="003E47DA"/>
    <w:rsid w:val="003E5691"/>
    <w:rsid w:val="003E6CB0"/>
    <w:rsid w:val="003E7155"/>
    <w:rsid w:val="003E733A"/>
    <w:rsid w:val="003E7F3E"/>
    <w:rsid w:val="003F2210"/>
    <w:rsid w:val="003F2C2D"/>
    <w:rsid w:val="003F3391"/>
    <w:rsid w:val="003F379B"/>
    <w:rsid w:val="003F37C6"/>
    <w:rsid w:val="003F3EF0"/>
    <w:rsid w:val="003F4173"/>
    <w:rsid w:val="003F5533"/>
    <w:rsid w:val="003F56C5"/>
    <w:rsid w:val="003F61A0"/>
    <w:rsid w:val="003F76D9"/>
    <w:rsid w:val="003F7C74"/>
    <w:rsid w:val="00400999"/>
    <w:rsid w:val="0040183D"/>
    <w:rsid w:val="00402298"/>
    <w:rsid w:val="004028B2"/>
    <w:rsid w:val="00404446"/>
    <w:rsid w:val="0040535E"/>
    <w:rsid w:val="00405D81"/>
    <w:rsid w:val="00405DD1"/>
    <w:rsid w:val="00406FCF"/>
    <w:rsid w:val="00407069"/>
    <w:rsid w:val="004108FF"/>
    <w:rsid w:val="0041173A"/>
    <w:rsid w:val="00411B1D"/>
    <w:rsid w:val="00412CDB"/>
    <w:rsid w:val="00413461"/>
    <w:rsid w:val="004148A7"/>
    <w:rsid w:val="00414E21"/>
    <w:rsid w:val="00416565"/>
    <w:rsid w:val="00417121"/>
    <w:rsid w:val="004172A1"/>
    <w:rsid w:val="004209D3"/>
    <w:rsid w:val="0042128F"/>
    <w:rsid w:val="00422C7D"/>
    <w:rsid w:val="0042352E"/>
    <w:rsid w:val="00424772"/>
    <w:rsid w:val="00424A83"/>
    <w:rsid w:val="00425763"/>
    <w:rsid w:val="00426065"/>
    <w:rsid w:val="00426BDA"/>
    <w:rsid w:val="004278BE"/>
    <w:rsid w:val="00431C0B"/>
    <w:rsid w:val="00433059"/>
    <w:rsid w:val="004342CF"/>
    <w:rsid w:val="004351EA"/>
    <w:rsid w:val="00435531"/>
    <w:rsid w:val="00435AE8"/>
    <w:rsid w:val="00436031"/>
    <w:rsid w:val="0043721B"/>
    <w:rsid w:val="0043748C"/>
    <w:rsid w:val="004376ED"/>
    <w:rsid w:val="00437CB5"/>
    <w:rsid w:val="00443379"/>
    <w:rsid w:val="00443627"/>
    <w:rsid w:val="00443974"/>
    <w:rsid w:val="00443CFB"/>
    <w:rsid w:val="0044427F"/>
    <w:rsid w:val="00446744"/>
    <w:rsid w:val="004468B6"/>
    <w:rsid w:val="00446D4E"/>
    <w:rsid w:val="0044737C"/>
    <w:rsid w:val="004473ED"/>
    <w:rsid w:val="00447489"/>
    <w:rsid w:val="00447609"/>
    <w:rsid w:val="00447E60"/>
    <w:rsid w:val="00451091"/>
    <w:rsid w:val="00452462"/>
    <w:rsid w:val="004524A3"/>
    <w:rsid w:val="00453119"/>
    <w:rsid w:val="00453EED"/>
    <w:rsid w:val="00454408"/>
    <w:rsid w:val="004547BD"/>
    <w:rsid w:val="00455F37"/>
    <w:rsid w:val="004565BC"/>
    <w:rsid w:val="0045725F"/>
    <w:rsid w:val="00457B04"/>
    <w:rsid w:val="004614D2"/>
    <w:rsid w:val="004634CA"/>
    <w:rsid w:val="00463B22"/>
    <w:rsid w:val="00464099"/>
    <w:rsid w:val="004646C1"/>
    <w:rsid w:val="00464E44"/>
    <w:rsid w:val="00465B83"/>
    <w:rsid w:val="00465F11"/>
    <w:rsid w:val="00465FEC"/>
    <w:rsid w:val="0046603F"/>
    <w:rsid w:val="004731FC"/>
    <w:rsid w:val="00473516"/>
    <w:rsid w:val="00473853"/>
    <w:rsid w:val="00475100"/>
    <w:rsid w:val="00475609"/>
    <w:rsid w:val="00475DEB"/>
    <w:rsid w:val="0047713E"/>
    <w:rsid w:val="00477C69"/>
    <w:rsid w:val="004812B7"/>
    <w:rsid w:val="004817A5"/>
    <w:rsid w:val="00481D8A"/>
    <w:rsid w:val="00482EF0"/>
    <w:rsid w:val="004835FE"/>
    <w:rsid w:val="00486159"/>
    <w:rsid w:val="004861B3"/>
    <w:rsid w:val="004900FC"/>
    <w:rsid w:val="00490E9A"/>
    <w:rsid w:val="0049164B"/>
    <w:rsid w:val="004918B1"/>
    <w:rsid w:val="00492954"/>
    <w:rsid w:val="004939D1"/>
    <w:rsid w:val="00494525"/>
    <w:rsid w:val="00496E22"/>
    <w:rsid w:val="00497219"/>
    <w:rsid w:val="0049726B"/>
    <w:rsid w:val="004A0193"/>
    <w:rsid w:val="004A1D76"/>
    <w:rsid w:val="004A4299"/>
    <w:rsid w:val="004A5EC1"/>
    <w:rsid w:val="004A730C"/>
    <w:rsid w:val="004B3290"/>
    <w:rsid w:val="004B3C9B"/>
    <w:rsid w:val="004B3CD6"/>
    <w:rsid w:val="004B552C"/>
    <w:rsid w:val="004B6C14"/>
    <w:rsid w:val="004B7DEE"/>
    <w:rsid w:val="004C01CD"/>
    <w:rsid w:val="004C0DD9"/>
    <w:rsid w:val="004C1415"/>
    <w:rsid w:val="004C3191"/>
    <w:rsid w:val="004C3D0B"/>
    <w:rsid w:val="004C4D39"/>
    <w:rsid w:val="004C4DE5"/>
    <w:rsid w:val="004C6BF9"/>
    <w:rsid w:val="004C73EA"/>
    <w:rsid w:val="004C73F7"/>
    <w:rsid w:val="004D4F65"/>
    <w:rsid w:val="004D5BE0"/>
    <w:rsid w:val="004D735F"/>
    <w:rsid w:val="004E093F"/>
    <w:rsid w:val="004E121C"/>
    <w:rsid w:val="004E1E69"/>
    <w:rsid w:val="004E5BD2"/>
    <w:rsid w:val="004E7838"/>
    <w:rsid w:val="004F160F"/>
    <w:rsid w:val="004F41AE"/>
    <w:rsid w:val="004F606C"/>
    <w:rsid w:val="004F614D"/>
    <w:rsid w:val="004F65E0"/>
    <w:rsid w:val="004F7318"/>
    <w:rsid w:val="005004B2"/>
    <w:rsid w:val="005019D0"/>
    <w:rsid w:val="00501EC0"/>
    <w:rsid w:val="00501FC3"/>
    <w:rsid w:val="005032EA"/>
    <w:rsid w:val="00505B11"/>
    <w:rsid w:val="00506166"/>
    <w:rsid w:val="00510297"/>
    <w:rsid w:val="00510973"/>
    <w:rsid w:val="00511497"/>
    <w:rsid w:val="005118E1"/>
    <w:rsid w:val="005138DC"/>
    <w:rsid w:val="00513991"/>
    <w:rsid w:val="00516ACB"/>
    <w:rsid w:val="00517C25"/>
    <w:rsid w:val="00517F3B"/>
    <w:rsid w:val="00521F58"/>
    <w:rsid w:val="005226C9"/>
    <w:rsid w:val="00522A78"/>
    <w:rsid w:val="00522DD4"/>
    <w:rsid w:val="00525807"/>
    <w:rsid w:val="00525C47"/>
    <w:rsid w:val="00526457"/>
    <w:rsid w:val="00526F84"/>
    <w:rsid w:val="005279CC"/>
    <w:rsid w:val="0053055D"/>
    <w:rsid w:val="00534C38"/>
    <w:rsid w:val="00540BCB"/>
    <w:rsid w:val="00540E06"/>
    <w:rsid w:val="00540F8E"/>
    <w:rsid w:val="005423D3"/>
    <w:rsid w:val="005424AF"/>
    <w:rsid w:val="0054592C"/>
    <w:rsid w:val="00545E3C"/>
    <w:rsid w:val="005461EF"/>
    <w:rsid w:val="00546A9D"/>
    <w:rsid w:val="005470EA"/>
    <w:rsid w:val="00550C7D"/>
    <w:rsid w:val="005519A4"/>
    <w:rsid w:val="00551B3D"/>
    <w:rsid w:val="00552FEE"/>
    <w:rsid w:val="0055338F"/>
    <w:rsid w:val="00553CF8"/>
    <w:rsid w:val="00555417"/>
    <w:rsid w:val="00556AD9"/>
    <w:rsid w:val="00556E15"/>
    <w:rsid w:val="00557FCC"/>
    <w:rsid w:val="0056103D"/>
    <w:rsid w:val="005619CE"/>
    <w:rsid w:val="00561F6E"/>
    <w:rsid w:val="0056267D"/>
    <w:rsid w:val="00563AF7"/>
    <w:rsid w:val="0056420B"/>
    <w:rsid w:val="0056438A"/>
    <w:rsid w:val="005643AC"/>
    <w:rsid w:val="005656C3"/>
    <w:rsid w:val="0056572F"/>
    <w:rsid w:val="005658EF"/>
    <w:rsid w:val="00565EE9"/>
    <w:rsid w:val="0056797C"/>
    <w:rsid w:val="00567F4E"/>
    <w:rsid w:val="00572F55"/>
    <w:rsid w:val="00573E79"/>
    <w:rsid w:val="00574D2B"/>
    <w:rsid w:val="0057507F"/>
    <w:rsid w:val="00575CCA"/>
    <w:rsid w:val="0058073C"/>
    <w:rsid w:val="0058324E"/>
    <w:rsid w:val="00584E13"/>
    <w:rsid w:val="00584F9D"/>
    <w:rsid w:val="005877DA"/>
    <w:rsid w:val="0059004B"/>
    <w:rsid w:val="0059259B"/>
    <w:rsid w:val="00593042"/>
    <w:rsid w:val="005930E4"/>
    <w:rsid w:val="005938BA"/>
    <w:rsid w:val="005940C4"/>
    <w:rsid w:val="005945E0"/>
    <w:rsid w:val="0059537C"/>
    <w:rsid w:val="005953F6"/>
    <w:rsid w:val="0059696B"/>
    <w:rsid w:val="00596AF8"/>
    <w:rsid w:val="00596DEA"/>
    <w:rsid w:val="00596E38"/>
    <w:rsid w:val="005976A8"/>
    <w:rsid w:val="005A0921"/>
    <w:rsid w:val="005A0B76"/>
    <w:rsid w:val="005A3BCE"/>
    <w:rsid w:val="005A3C6B"/>
    <w:rsid w:val="005A54CC"/>
    <w:rsid w:val="005A5921"/>
    <w:rsid w:val="005A6A87"/>
    <w:rsid w:val="005A7C4C"/>
    <w:rsid w:val="005B091E"/>
    <w:rsid w:val="005B1AF9"/>
    <w:rsid w:val="005B404D"/>
    <w:rsid w:val="005B490E"/>
    <w:rsid w:val="005B6574"/>
    <w:rsid w:val="005B7060"/>
    <w:rsid w:val="005C0B08"/>
    <w:rsid w:val="005C1969"/>
    <w:rsid w:val="005C2D66"/>
    <w:rsid w:val="005C3326"/>
    <w:rsid w:val="005C4400"/>
    <w:rsid w:val="005C4FD6"/>
    <w:rsid w:val="005C59C8"/>
    <w:rsid w:val="005C602A"/>
    <w:rsid w:val="005C6584"/>
    <w:rsid w:val="005D25D5"/>
    <w:rsid w:val="005D27CD"/>
    <w:rsid w:val="005D2C86"/>
    <w:rsid w:val="005D54B6"/>
    <w:rsid w:val="005D5C2D"/>
    <w:rsid w:val="005D6DAD"/>
    <w:rsid w:val="005E0113"/>
    <w:rsid w:val="005E0BBE"/>
    <w:rsid w:val="005E0CCE"/>
    <w:rsid w:val="005E13CE"/>
    <w:rsid w:val="005E1504"/>
    <w:rsid w:val="005E17BF"/>
    <w:rsid w:val="005E4CF7"/>
    <w:rsid w:val="005E5333"/>
    <w:rsid w:val="005E5EF9"/>
    <w:rsid w:val="005E6560"/>
    <w:rsid w:val="005F1502"/>
    <w:rsid w:val="005F22F9"/>
    <w:rsid w:val="005F2E37"/>
    <w:rsid w:val="005F36C0"/>
    <w:rsid w:val="005F3AE6"/>
    <w:rsid w:val="005F479E"/>
    <w:rsid w:val="005F7CF3"/>
    <w:rsid w:val="00601824"/>
    <w:rsid w:val="00601B6F"/>
    <w:rsid w:val="006024C9"/>
    <w:rsid w:val="006024CC"/>
    <w:rsid w:val="00603250"/>
    <w:rsid w:val="00603550"/>
    <w:rsid w:val="0060422C"/>
    <w:rsid w:val="00605090"/>
    <w:rsid w:val="00605780"/>
    <w:rsid w:val="00605F79"/>
    <w:rsid w:val="006069C8"/>
    <w:rsid w:val="006079C9"/>
    <w:rsid w:val="00611589"/>
    <w:rsid w:val="0061345B"/>
    <w:rsid w:val="00613795"/>
    <w:rsid w:val="006142AE"/>
    <w:rsid w:val="00615087"/>
    <w:rsid w:val="00615B31"/>
    <w:rsid w:val="00615E78"/>
    <w:rsid w:val="006207ED"/>
    <w:rsid w:val="006223F3"/>
    <w:rsid w:val="006229BA"/>
    <w:rsid w:val="006230D8"/>
    <w:rsid w:val="006237B1"/>
    <w:rsid w:val="00623BDC"/>
    <w:rsid w:val="00624F6E"/>
    <w:rsid w:val="00625CB9"/>
    <w:rsid w:val="00625DF0"/>
    <w:rsid w:val="006262C3"/>
    <w:rsid w:val="00626B11"/>
    <w:rsid w:val="00626DBA"/>
    <w:rsid w:val="00626DE7"/>
    <w:rsid w:val="00627353"/>
    <w:rsid w:val="00627A81"/>
    <w:rsid w:val="00630C54"/>
    <w:rsid w:val="00631DE3"/>
    <w:rsid w:val="006322A9"/>
    <w:rsid w:val="00632BAD"/>
    <w:rsid w:val="00633279"/>
    <w:rsid w:val="00635075"/>
    <w:rsid w:val="0063610A"/>
    <w:rsid w:val="006361C7"/>
    <w:rsid w:val="006363CB"/>
    <w:rsid w:val="006374C9"/>
    <w:rsid w:val="0064095E"/>
    <w:rsid w:val="00641670"/>
    <w:rsid w:val="00641FE5"/>
    <w:rsid w:val="006425A2"/>
    <w:rsid w:val="00642855"/>
    <w:rsid w:val="00642C06"/>
    <w:rsid w:val="00642C73"/>
    <w:rsid w:val="006448BD"/>
    <w:rsid w:val="00646FA0"/>
    <w:rsid w:val="00647867"/>
    <w:rsid w:val="00651050"/>
    <w:rsid w:val="00651A88"/>
    <w:rsid w:val="00651E81"/>
    <w:rsid w:val="00654582"/>
    <w:rsid w:val="0065499E"/>
    <w:rsid w:val="00654FA9"/>
    <w:rsid w:val="00656114"/>
    <w:rsid w:val="00656864"/>
    <w:rsid w:val="00664B3C"/>
    <w:rsid w:val="0066526A"/>
    <w:rsid w:val="006657AC"/>
    <w:rsid w:val="00665C47"/>
    <w:rsid w:val="00666A65"/>
    <w:rsid w:val="00671612"/>
    <w:rsid w:val="00673E3D"/>
    <w:rsid w:val="0067400C"/>
    <w:rsid w:val="00674768"/>
    <w:rsid w:val="00675EB6"/>
    <w:rsid w:val="00676BF4"/>
    <w:rsid w:val="0068025C"/>
    <w:rsid w:val="006807CA"/>
    <w:rsid w:val="00680DA4"/>
    <w:rsid w:val="00683CB5"/>
    <w:rsid w:val="006846D7"/>
    <w:rsid w:val="00685C70"/>
    <w:rsid w:val="006864EE"/>
    <w:rsid w:val="006867A1"/>
    <w:rsid w:val="00686B58"/>
    <w:rsid w:val="00687FD5"/>
    <w:rsid w:val="0069098A"/>
    <w:rsid w:val="00691BE1"/>
    <w:rsid w:val="00693518"/>
    <w:rsid w:val="00695A48"/>
    <w:rsid w:val="00695FA8"/>
    <w:rsid w:val="0069704D"/>
    <w:rsid w:val="006A0ABF"/>
    <w:rsid w:val="006A452B"/>
    <w:rsid w:val="006A587D"/>
    <w:rsid w:val="006A5E8D"/>
    <w:rsid w:val="006A5F4A"/>
    <w:rsid w:val="006A70BB"/>
    <w:rsid w:val="006B0EA1"/>
    <w:rsid w:val="006B2B6A"/>
    <w:rsid w:val="006B5D02"/>
    <w:rsid w:val="006B62B0"/>
    <w:rsid w:val="006B62BB"/>
    <w:rsid w:val="006C1FA6"/>
    <w:rsid w:val="006C362C"/>
    <w:rsid w:val="006C4DF3"/>
    <w:rsid w:val="006C6CE4"/>
    <w:rsid w:val="006C7CDF"/>
    <w:rsid w:val="006C7D47"/>
    <w:rsid w:val="006D24E8"/>
    <w:rsid w:val="006D3A3F"/>
    <w:rsid w:val="006D3C94"/>
    <w:rsid w:val="006D425D"/>
    <w:rsid w:val="006D5CE6"/>
    <w:rsid w:val="006D61B1"/>
    <w:rsid w:val="006D6E2D"/>
    <w:rsid w:val="006D6E5A"/>
    <w:rsid w:val="006D722B"/>
    <w:rsid w:val="006D7539"/>
    <w:rsid w:val="006E03BF"/>
    <w:rsid w:val="006E1CAA"/>
    <w:rsid w:val="006E1F48"/>
    <w:rsid w:val="006E1FE6"/>
    <w:rsid w:val="006E2411"/>
    <w:rsid w:val="006E258F"/>
    <w:rsid w:val="006E2DFC"/>
    <w:rsid w:val="006E34AC"/>
    <w:rsid w:val="006E70F6"/>
    <w:rsid w:val="006E748A"/>
    <w:rsid w:val="006F1043"/>
    <w:rsid w:val="006F2140"/>
    <w:rsid w:val="006F2606"/>
    <w:rsid w:val="006F4BBA"/>
    <w:rsid w:val="006F4C58"/>
    <w:rsid w:val="00700692"/>
    <w:rsid w:val="00700D05"/>
    <w:rsid w:val="0070228C"/>
    <w:rsid w:val="0070292B"/>
    <w:rsid w:val="00704761"/>
    <w:rsid w:val="00705705"/>
    <w:rsid w:val="007060D8"/>
    <w:rsid w:val="007064F2"/>
    <w:rsid w:val="00706AB8"/>
    <w:rsid w:val="00707BF2"/>
    <w:rsid w:val="0071048C"/>
    <w:rsid w:val="00711000"/>
    <w:rsid w:val="00711569"/>
    <w:rsid w:val="00712D9E"/>
    <w:rsid w:val="00713846"/>
    <w:rsid w:val="00713D2B"/>
    <w:rsid w:val="00716962"/>
    <w:rsid w:val="00716A00"/>
    <w:rsid w:val="0071700F"/>
    <w:rsid w:val="007203E7"/>
    <w:rsid w:val="007212F3"/>
    <w:rsid w:val="0072159F"/>
    <w:rsid w:val="007224B5"/>
    <w:rsid w:val="00722BD1"/>
    <w:rsid w:val="00723A5C"/>
    <w:rsid w:val="00723E9B"/>
    <w:rsid w:val="0072612B"/>
    <w:rsid w:val="00727143"/>
    <w:rsid w:val="007278E6"/>
    <w:rsid w:val="0073110D"/>
    <w:rsid w:val="00733610"/>
    <w:rsid w:val="00733D5C"/>
    <w:rsid w:val="007344D8"/>
    <w:rsid w:val="00734708"/>
    <w:rsid w:val="007347A9"/>
    <w:rsid w:val="0073746C"/>
    <w:rsid w:val="0074008A"/>
    <w:rsid w:val="007405F5"/>
    <w:rsid w:val="007409ED"/>
    <w:rsid w:val="00741A69"/>
    <w:rsid w:val="00741CE4"/>
    <w:rsid w:val="00741F18"/>
    <w:rsid w:val="00742E12"/>
    <w:rsid w:val="0074598E"/>
    <w:rsid w:val="00745E6E"/>
    <w:rsid w:val="00747EE0"/>
    <w:rsid w:val="00750E36"/>
    <w:rsid w:val="007534EB"/>
    <w:rsid w:val="00753958"/>
    <w:rsid w:val="00753B86"/>
    <w:rsid w:val="0075415F"/>
    <w:rsid w:val="007560E0"/>
    <w:rsid w:val="007567AD"/>
    <w:rsid w:val="00757FBC"/>
    <w:rsid w:val="00760458"/>
    <w:rsid w:val="00760EF6"/>
    <w:rsid w:val="00762186"/>
    <w:rsid w:val="0076248C"/>
    <w:rsid w:val="007628A2"/>
    <w:rsid w:val="0076479F"/>
    <w:rsid w:val="00766144"/>
    <w:rsid w:val="00766C2D"/>
    <w:rsid w:val="00767E4A"/>
    <w:rsid w:val="00770F28"/>
    <w:rsid w:val="00771563"/>
    <w:rsid w:val="007733EB"/>
    <w:rsid w:val="0077484D"/>
    <w:rsid w:val="007753FE"/>
    <w:rsid w:val="00775AF2"/>
    <w:rsid w:val="007768A2"/>
    <w:rsid w:val="00777024"/>
    <w:rsid w:val="00777101"/>
    <w:rsid w:val="00781DA0"/>
    <w:rsid w:val="007837DC"/>
    <w:rsid w:val="0078700D"/>
    <w:rsid w:val="00791513"/>
    <w:rsid w:val="007918D7"/>
    <w:rsid w:val="00792887"/>
    <w:rsid w:val="00792BA7"/>
    <w:rsid w:val="007931B1"/>
    <w:rsid w:val="0079333A"/>
    <w:rsid w:val="007951E8"/>
    <w:rsid w:val="007956CE"/>
    <w:rsid w:val="00795949"/>
    <w:rsid w:val="007968C4"/>
    <w:rsid w:val="007A08BB"/>
    <w:rsid w:val="007A397D"/>
    <w:rsid w:val="007A3B64"/>
    <w:rsid w:val="007A3D21"/>
    <w:rsid w:val="007A493F"/>
    <w:rsid w:val="007A5BCC"/>
    <w:rsid w:val="007A6582"/>
    <w:rsid w:val="007A6DBB"/>
    <w:rsid w:val="007A759F"/>
    <w:rsid w:val="007A78D7"/>
    <w:rsid w:val="007B1102"/>
    <w:rsid w:val="007B151B"/>
    <w:rsid w:val="007B2A72"/>
    <w:rsid w:val="007B2CDD"/>
    <w:rsid w:val="007B5772"/>
    <w:rsid w:val="007B7334"/>
    <w:rsid w:val="007C19DB"/>
    <w:rsid w:val="007C2281"/>
    <w:rsid w:val="007C27E7"/>
    <w:rsid w:val="007C2942"/>
    <w:rsid w:val="007C2CCD"/>
    <w:rsid w:val="007C4607"/>
    <w:rsid w:val="007C68B7"/>
    <w:rsid w:val="007C6EE6"/>
    <w:rsid w:val="007C75BE"/>
    <w:rsid w:val="007C7AE4"/>
    <w:rsid w:val="007D0752"/>
    <w:rsid w:val="007D1178"/>
    <w:rsid w:val="007D2C74"/>
    <w:rsid w:val="007D3FC7"/>
    <w:rsid w:val="007D53F3"/>
    <w:rsid w:val="007D5C28"/>
    <w:rsid w:val="007D67A2"/>
    <w:rsid w:val="007E05E0"/>
    <w:rsid w:val="007E0B8A"/>
    <w:rsid w:val="007E3CEE"/>
    <w:rsid w:val="007E3FB5"/>
    <w:rsid w:val="007E413B"/>
    <w:rsid w:val="007E472D"/>
    <w:rsid w:val="007E4CBC"/>
    <w:rsid w:val="007E7181"/>
    <w:rsid w:val="007E744E"/>
    <w:rsid w:val="007E7E4F"/>
    <w:rsid w:val="007F0DA1"/>
    <w:rsid w:val="007F11A9"/>
    <w:rsid w:val="007F293B"/>
    <w:rsid w:val="007F2999"/>
    <w:rsid w:val="007F301C"/>
    <w:rsid w:val="007F443F"/>
    <w:rsid w:val="007F4844"/>
    <w:rsid w:val="007F5400"/>
    <w:rsid w:val="007F57F5"/>
    <w:rsid w:val="00800A58"/>
    <w:rsid w:val="00800A5E"/>
    <w:rsid w:val="00801D24"/>
    <w:rsid w:val="00803507"/>
    <w:rsid w:val="008040E0"/>
    <w:rsid w:val="0080444D"/>
    <w:rsid w:val="00804F48"/>
    <w:rsid w:val="00805848"/>
    <w:rsid w:val="00806140"/>
    <w:rsid w:val="008074DC"/>
    <w:rsid w:val="008122F6"/>
    <w:rsid w:val="00813512"/>
    <w:rsid w:val="008142D3"/>
    <w:rsid w:val="008155F0"/>
    <w:rsid w:val="0081690D"/>
    <w:rsid w:val="00817AA6"/>
    <w:rsid w:val="00817B90"/>
    <w:rsid w:val="008219E2"/>
    <w:rsid w:val="00821BD5"/>
    <w:rsid w:val="00822AD0"/>
    <w:rsid w:val="0082300D"/>
    <w:rsid w:val="00825730"/>
    <w:rsid w:val="008264BC"/>
    <w:rsid w:val="00826AE7"/>
    <w:rsid w:val="00826DCF"/>
    <w:rsid w:val="00827731"/>
    <w:rsid w:val="00832B9B"/>
    <w:rsid w:val="00835B60"/>
    <w:rsid w:val="00840047"/>
    <w:rsid w:val="00840B18"/>
    <w:rsid w:val="00840F93"/>
    <w:rsid w:val="00841A49"/>
    <w:rsid w:val="00841A56"/>
    <w:rsid w:val="008423C2"/>
    <w:rsid w:val="008427A0"/>
    <w:rsid w:val="00842AB8"/>
    <w:rsid w:val="00843180"/>
    <w:rsid w:val="00843EE8"/>
    <w:rsid w:val="00843F01"/>
    <w:rsid w:val="00844231"/>
    <w:rsid w:val="008442AE"/>
    <w:rsid w:val="00844BE0"/>
    <w:rsid w:val="008463BF"/>
    <w:rsid w:val="00846D8E"/>
    <w:rsid w:val="008500E8"/>
    <w:rsid w:val="00853873"/>
    <w:rsid w:val="00853976"/>
    <w:rsid w:val="008548E4"/>
    <w:rsid w:val="00855B4C"/>
    <w:rsid w:val="00855D8C"/>
    <w:rsid w:val="00855EC9"/>
    <w:rsid w:val="0085619A"/>
    <w:rsid w:val="008570A5"/>
    <w:rsid w:val="00857658"/>
    <w:rsid w:val="00860E89"/>
    <w:rsid w:val="00861876"/>
    <w:rsid w:val="00861A7A"/>
    <w:rsid w:val="008629C2"/>
    <w:rsid w:val="00864CAF"/>
    <w:rsid w:val="00865E4B"/>
    <w:rsid w:val="0086621C"/>
    <w:rsid w:val="00867256"/>
    <w:rsid w:val="00867797"/>
    <w:rsid w:val="00867B5E"/>
    <w:rsid w:val="008717E1"/>
    <w:rsid w:val="00871A06"/>
    <w:rsid w:val="00872471"/>
    <w:rsid w:val="008738DF"/>
    <w:rsid w:val="0087587F"/>
    <w:rsid w:val="0087594E"/>
    <w:rsid w:val="00875DBB"/>
    <w:rsid w:val="00875DDB"/>
    <w:rsid w:val="00881434"/>
    <w:rsid w:val="00881923"/>
    <w:rsid w:val="008823C9"/>
    <w:rsid w:val="00882CB6"/>
    <w:rsid w:val="00882E6E"/>
    <w:rsid w:val="00884428"/>
    <w:rsid w:val="00885731"/>
    <w:rsid w:val="00885E10"/>
    <w:rsid w:val="008870E3"/>
    <w:rsid w:val="008878C3"/>
    <w:rsid w:val="008922C9"/>
    <w:rsid w:val="008927F0"/>
    <w:rsid w:val="00893724"/>
    <w:rsid w:val="0089512B"/>
    <w:rsid w:val="008954F8"/>
    <w:rsid w:val="00895CAD"/>
    <w:rsid w:val="00895F1F"/>
    <w:rsid w:val="0089619C"/>
    <w:rsid w:val="00896923"/>
    <w:rsid w:val="00896EA1"/>
    <w:rsid w:val="00897CC3"/>
    <w:rsid w:val="00897F46"/>
    <w:rsid w:val="008A0BB7"/>
    <w:rsid w:val="008A1425"/>
    <w:rsid w:val="008A4538"/>
    <w:rsid w:val="008A4639"/>
    <w:rsid w:val="008A5A7D"/>
    <w:rsid w:val="008A604B"/>
    <w:rsid w:val="008A7292"/>
    <w:rsid w:val="008B0E83"/>
    <w:rsid w:val="008B163D"/>
    <w:rsid w:val="008B19C0"/>
    <w:rsid w:val="008B2142"/>
    <w:rsid w:val="008B2331"/>
    <w:rsid w:val="008B63BA"/>
    <w:rsid w:val="008B64B8"/>
    <w:rsid w:val="008B6F26"/>
    <w:rsid w:val="008B7391"/>
    <w:rsid w:val="008B74F4"/>
    <w:rsid w:val="008B7A1B"/>
    <w:rsid w:val="008B7EE7"/>
    <w:rsid w:val="008C035B"/>
    <w:rsid w:val="008C0EF6"/>
    <w:rsid w:val="008C1F09"/>
    <w:rsid w:val="008C2854"/>
    <w:rsid w:val="008C3348"/>
    <w:rsid w:val="008C4C5B"/>
    <w:rsid w:val="008C616C"/>
    <w:rsid w:val="008C61B0"/>
    <w:rsid w:val="008C6C38"/>
    <w:rsid w:val="008C6C71"/>
    <w:rsid w:val="008C7001"/>
    <w:rsid w:val="008C76EF"/>
    <w:rsid w:val="008C77FE"/>
    <w:rsid w:val="008C7D17"/>
    <w:rsid w:val="008D241C"/>
    <w:rsid w:val="008D4A03"/>
    <w:rsid w:val="008D4E0E"/>
    <w:rsid w:val="008D4F01"/>
    <w:rsid w:val="008D7D47"/>
    <w:rsid w:val="008E0DCA"/>
    <w:rsid w:val="008E24B8"/>
    <w:rsid w:val="008E3942"/>
    <w:rsid w:val="008E5EFD"/>
    <w:rsid w:val="008E759A"/>
    <w:rsid w:val="008F1D42"/>
    <w:rsid w:val="008F24F5"/>
    <w:rsid w:val="008F2DC4"/>
    <w:rsid w:val="008F48B7"/>
    <w:rsid w:val="008F6C41"/>
    <w:rsid w:val="008F6E29"/>
    <w:rsid w:val="00901029"/>
    <w:rsid w:val="00901346"/>
    <w:rsid w:val="009022D8"/>
    <w:rsid w:val="0090302A"/>
    <w:rsid w:val="00903544"/>
    <w:rsid w:val="0090354B"/>
    <w:rsid w:val="009041EC"/>
    <w:rsid w:val="00904589"/>
    <w:rsid w:val="0090473B"/>
    <w:rsid w:val="00905038"/>
    <w:rsid w:val="00905992"/>
    <w:rsid w:val="00905FBB"/>
    <w:rsid w:val="00907784"/>
    <w:rsid w:val="009104D6"/>
    <w:rsid w:val="00911828"/>
    <w:rsid w:val="00911B5E"/>
    <w:rsid w:val="00913C5D"/>
    <w:rsid w:val="0091434E"/>
    <w:rsid w:val="009153C3"/>
    <w:rsid w:val="00920806"/>
    <w:rsid w:val="00922A74"/>
    <w:rsid w:val="00923D18"/>
    <w:rsid w:val="00923EBA"/>
    <w:rsid w:val="00924356"/>
    <w:rsid w:val="00924835"/>
    <w:rsid w:val="00924FDF"/>
    <w:rsid w:val="009250DA"/>
    <w:rsid w:val="0092607B"/>
    <w:rsid w:val="00930C03"/>
    <w:rsid w:val="00932765"/>
    <w:rsid w:val="00932AFC"/>
    <w:rsid w:val="00933178"/>
    <w:rsid w:val="00933BAA"/>
    <w:rsid w:val="00933D59"/>
    <w:rsid w:val="009348EC"/>
    <w:rsid w:val="009368F8"/>
    <w:rsid w:val="009375E2"/>
    <w:rsid w:val="009406C0"/>
    <w:rsid w:val="009417F3"/>
    <w:rsid w:val="00942BD4"/>
    <w:rsid w:val="009443AD"/>
    <w:rsid w:val="009457A5"/>
    <w:rsid w:val="00946341"/>
    <w:rsid w:val="00946375"/>
    <w:rsid w:val="00946D04"/>
    <w:rsid w:val="00952888"/>
    <w:rsid w:val="00953545"/>
    <w:rsid w:val="00953E9C"/>
    <w:rsid w:val="009550B2"/>
    <w:rsid w:val="00955D7E"/>
    <w:rsid w:val="00956109"/>
    <w:rsid w:val="00957812"/>
    <w:rsid w:val="00957CDF"/>
    <w:rsid w:val="009614E3"/>
    <w:rsid w:val="00962AD1"/>
    <w:rsid w:val="0096317D"/>
    <w:rsid w:val="00963D5C"/>
    <w:rsid w:val="00963EEB"/>
    <w:rsid w:val="009647DD"/>
    <w:rsid w:val="00964B3A"/>
    <w:rsid w:val="00965D46"/>
    <w:rsid w:val="00965F80"/>
    <w:rsid w:val="0096700F"/>
    <w:rsid w:val="009679A9"/>
    <w:rsid w:val="009713B5"/>
    <w:rsid w:val="00971AE8"/>
    <w:rsid w:val="00973A48"/>
    <w:rsid w:val="00975098"/>
    <w:rsid w:val="009752D6"/>
    <w:rsid w:val="009757EC"/>
    <w:rsid w:val="0097620E"/>
    <w:rsid w:val="00981B35"/>
    <w:rsid w:val="00984A4F"/>
    <w:rsid w:val="00984FF6"/>
    <w:rsid w:val="0098501F"/>
    <w:rsid w:val="0098553B"/>
    <w:rsid w:val="00987439"/>
    <w:rsid w:val="00987BD9"/>
    <w:rsid w:val="00991133"/>
    <w:rsid w:val="009912D5"/>
    <w:rsid w:val="009914AA"/>
    <w:rsid w:val="009916DE"/>
    <w:rsid w:val="009919A7"/>
    <w:rsid w:val="00991BF1"/>
    <w:rsid w:val="00994720"/>
    <w:rsid w:val="00995621"/>
    <w:rsid w:val="009A1A1D"/>
    <w:rsid w:val="009A30F4"/>
    <w:rsid w:val="009A4694"/>
    <w:rsid w:val="009A4F98"/>
    <w:rsid w:val="009A5714"/>
    <w:rsid w:val="009A5751"/>
    <w:rsid w:val="009A64B0"/>
    <w:rsid w:val="009B0C17"/>
    <w:rsid w:val="009B1523"/>
    <w:rsid w:val="009B1861"/>
    <w:rsid w:val="009B21BF"/>
    <w:rsid w:val="009B45AA"/>
    <w:rsid w:val="009B48C1"/>
    <w:rsid w:val="009B4BE3"/>
    <w:rsid w:val="009B54F6"/>
    <w:rsid w:val="009B6DF4"/>
    <w:rsid w:val="009B7621"/>
    <w:rsid w:val="009C1007"/>
    <w:rsid w:val="009C2665"/>
    <w:rsid w:val="009C4BAC"/>
    <w:rsid w:val="009C50FD"/>
    <w:rsid w:val="009C6228"/>
    <w:rsid w:val="009C66A3"/>
    <w:rsid w:val="009C76DC"/>
    <w:rsid w:val="009D2439"/>
    <w:rsid w:val="009D24EA"/>
    <w:rsid w:val="009D2848"/>
    <w:rsid w:val="009D2F24"/>
    <w:rsid w:val="009D4276"/>
    <w:rsid w:val="009D5172"/>
    <w:rsid w:val="009D54BA"/>
    <w:rsid w:val="009D5E1B"/>
    <w:rsid w:val="009E037D"/>
    <w:rsid w:val="009E098D"/>
    <w:rsid w:val="009E1CC7"/>
    <w:rsid w:val="009E1DAC"/>
    <w:rsid w:val="009E2439"/>
    <w:rsid w:val="009E317D"/>
    <w:rsid w:val="009E32F1"/>
    <w:rsid w:val="009E3B8A"/>
    <w:rsid w:val="009E50B3"/>
    <w:rsid w:val="009E72BB"/>
    <w:rsid w:val="009F06A5"/>
    <w:rsid w:val="009F0C99"/>
    <w:rsid w:val="009F1D36"/>
    <w:rsid w:val="009F223E"/>
    <w:rsid w:val="009F2408"/>
    <w:rsid w:val="009F3158"/>
    <w:rsid w:val="009F4F6C"/>
    <w:rsid w:val="009F6880"/>
    <w:rsid w:val="009F6B10"/>
    <w:rsid w:val="009F6C38"/>
    <w:rsid w:val="009F785E"/>
    <w:rsid w:val="009F7EE3"/>
    <w:rsid w:val="00A00572"/>
    <w:rsid w:val="00A015B7"/>
    <w:rsid w:val="00A01D47"/>
    <w:rsid w:val="00A025AF"/>
    <w:rsid w:val="00A04499"/>
    <w:rsid w:val="00A05B28"/>
    <w:rsid w:val="00A069CD"/>
    <w:rsid w:val="00A06D53"/>
    <w:rsid w:val="00A07DF4"/>
    <w:rsid w:val="00A10C77"/>
    <w:rsid w:val="00A1347F"/>
    <w:rsid w:val="00A137B7"/>
    <w:rsid w:val="00A139A8"/>
    <w:rsid w:val="00A14336"/>
    <w:rsid w:val="00A15AA8"/>
    <w:rsid w:val="00A17164"/>
    <w:rsid w:val="00A200EC"/>
    <w:rsid w:val="00A20992"/>
    <w:rsid w:val="00A2104F"/>
    <w:rsid w:val="00A210EA"/>
    <w:rsid w:val="00A21AAA"/>
    <w:rsid w:val="00A22E8A"/>
    <w:rsid w:val="00A230CB"/>
    <w:rsid w:val="00A237B6"/>
    <w:rsid w:val="00A2434F"/>
    <w:rsid w:val="00A25894"/>
    <w:rsid w:val="00A32909"/>
    <w:rsid w:val="00A3402A"/>
    <w:rsid w:val="00A34A3A"/>
    <w:rsid w:val="00A35B42"/>
    <w:rsid w:val="00A369D9"/>
    <w:rsid w:val="00A3700C"/>
    <w:rsid w:val="00A37108"/>
    <w:rsid w:val="00A40329"/>
    <w:rsid w:val="00A40B24"/>
    <w:rsid w:val="00A40EB3"/>
    <w:rsid w:val="00A42B29"/>
    <w:rsid w:val="00A4338C"/>
    <w:rsid w:val="00A43FF8"/>
    <w:rsid w:val="00A456DA"/>
    <w:rsid w:val="00A50B37"/>
    <w:rsid w:val="00A5147B"/>
    <w:rsid w:val="00A52EF8"/>
    <w:rsid w:val="00A5323D"/>
    <w:rsid w:val="00A5540B"/>
    <w:rsid w:val="00A55ACD"/>
    <w:rsid w:val="00A55E89"/>
    <w:rsid w:val="00A56503"/>
    <w:rsid w:val="00A56BF0"/>
    <w:rsid w:val="00A56D51"/>
    <w:rsid w:val="00A6055A"/>
    <w:rsid w:val="00A60809"/>
    <w:rsid w:val="00A62EF9"/>
    <w:rsid w:val="00A63DD1"/>
    <w:rsid w:val="00A66A7C"/>
    <w:rsid w:val="00A66F9C"/>
    <w:rsid w:val="00A6702F"/>
    <w:rsid w:val="00A71A43"/>
    <w:rsid w:val="00A71E28"/>
    <w:rsid w:val="00A730FB"/>
    <w:rsid w:val="00A7381A"/>
    <w:rsid w:val="00A74FAB"/>
    <w:rsid w:val="00A767EF"/>
    <w:rsid w:val="00A7771C"/>
    <w:rsid w:val="00A77E3A"/>
    <w:rsid w:val="00A80944"/>
    <w:rsid w:val="00A82AF9"/>
    <w:rsid w:val="00A83E1D"/>
    <w:rsid w:val="00A849C7"/>
    <w:rsid w:val="00A84C8B"/>
    <w:rsid w:val="00A905EF"/>
    <w:rsid w:val="00A91DD4"/>
    <w:rsid w:val="00A93156"/>
    <w:rsid w:val="00A949BB"/>
    <w:rsid w:val="00A95CB2"/>
    <w:rsid w:val="00A97836"/>
    <w:rsid w:val="00AA0990"/>
    <w:rsid w:val="00AA19B6"/>
    <w:rsid w:val="00AA1D78"/>
    <w:rsid w:val="00AA2870"/>
    <w:rsid w:val="00AA3F0D"/>
    <w:rsid w:val="00AA4A82"/>
    <w:rsid w:val="00AA4EF1"/>
    <w:rsid w:val="00AA57DE"/>
    <w:rsid w:val="00AA5E3F"/>
    <w:rsid w:val="00AA6560"/>
    <w:rsid w:val="00AB0426"/>
    <w:rsid w:val="00AB0DAA"/>
    <w:rsid w:val="00AB1607"/>
    <w:rsid w:val="00AB1A14"/>
    <w:rsid w:val="00AB2F5F"/>
    <w:rsid w:val="00AB3A97"/>
    <w:rsid w:val="00AB4F1B"/>
    <w:rsid w:val="00AB51A7"/>
    <w:rsid w:val="00AB7AD3"/>
    <w:rsid w:val="00AC02E4"/>
    <w:rsid w:val="00AC18B7"/>
    <w:rsid w:val="00AC1A16"/>
    <w:rsid w:val="00AC1FFE"/>
    <w:rsid w:val="00AC43AF"/>
    <w:rsid w:val="00AC4B22"/>
    <w:rsid w:val="00AC7C15"/>
    <w:rsid w:val="00AD01A0"/>
    <w:rsid w:val="00AD21DC"/>
    <w:rsid w:val="00AD2386"/>
    <w:rsid w:val="00AD32DE"/>
    <w:rsid w:val="00AD3F0F"/>
    <w:rsid w:val="00AD44F5"/>
    <w:rsid w:val="00AD592B"/>
    <w:rsid w:val="00AD5AE3"/>
    <w:rsid w:val="00AD6A0A"/>
    <w:rsid w:val="00AD6FBD"/>
    <w:rsid w:val="00AE133C"/>
    <w:rsid w:val="00AE13E4"/>
    <w:rsid w:val="00AE1468"/>
    <w:rsid w:val="00AE315C"/>
    <w:rsid w:val="00AE35BF"/>
    <w:rsid w:val="00AE3C23"/>
    <w:rsid w:val="00AE5853"/>
    <w:rsid w:val="00AE5C98"/>
    <w:rsid w:val="00AE608B"/>
    <w:rsid w:val="00AE673B"/>
    <w:rsid w:val="00AF080C"/>
    <w:rsid w:val="00AF0A41"/>
    <w:rsid w:val="00AF1E61"/>
    <w:rsid w:val="00AF2484"/>
    <w:rsid w:val="00AF41DD"/>
    <w:rsid w:val="00AF460B"/>
    <w:rsid w:val="00AF4B32"/>
    <w:rsid w:val="00AF519A"/>
    <w:rsid w:val="00AF520D"/>
    <w:rsid w:val="00AF56D5"/>
    <w:rsid w:val="00AF73EE"/>
    <w:rsid w:val="00AF7EA4"/>
    <w:rsid w:val="00AF7FAC"/>
    <w:rsid w:val="00B00EF6"/>
    <w:rsid w:val="00B023BA"/>
    <w:rsid w:val="00B0261A"/>
    <w:rsid w:val="00B04175"/>
    <w:rsid w:val="00B074E5"/>
    <w:rsid w:val="00B10797"/>
    <w:rsid w:val="00B10B57"/>
    <w:rsid w:val="00B11563"/>
    <w:rsid w:val="00B126D9"/>
    <w:rsid w:val="00B14786"/>
    <w:rsid w:val="00B16F5F"/>
    <w:rsid w:val="00B220BE"/>
    <w:rsid w:val="00B2349F"/>
    <w:rsid w:val="00B236D4"/>
    <w:rsid w:val="00B23A04"/>
    <w:rsid w:val="00B23A6F"/>
    <w:rsid w:val="00B23E02"/>
    <w:rsid w:val="00B23E35"/>
    <w:rsid w:val="00B245E0"/>
    <w:rsid w:val="00B24639"/>
    <w:rsid w:val="00B2721C"/>
    <w:rsid w:val="00B2740D"/>
    <w:rsid w:val="00B3007D"/>
    <w:rsid w:val="00B30238"/>
    <w:rsid w:val="00B312EF"/>
    <w:rsid w:val="00B32BD8"/>
    <w:rsid w:val="00B3500A"/>
    <w:rsid w:val="00B3541E"/>
    <w:rsid w:val="00B35B77"/>
    <w:rsid w:val="00B363B4"/>
    <w:rsid w:val="00B368D0"/>
    <w:rsid w:val="00B3699E"/>
    <w:rsid w:val="00B37EB6"/>
    <w:rsid w:val="00B40934"/>
    <w:rsid w:val="00B430A2"/>
    <w:rsid w:val="00B43584"/>
    <w:rsid w:val="00B46139"/>
    <w:rsid w:val="00B469EE"/>
    <w:rsid w:val="00B47175"/>
    <w:rsid w:val="00B475A6"/>
    <w:rsid w:val="00B47D9E"/>
    <w:rsid w:val="00B510BF"/>
    <w:rsid w:val="00B512D4"/>
    <w:rsid w:val="00B52904"/>
    <w:rsid w:val="00B52FA1"/>
    <w:rsid w:val="00B53DD8"/>
    <w:rsid w:val="00B540C5"/>
    <w:rsid w:val="00B54FC9"/>
    <w:rsid w:val="00B552F2"/>
    <w:rsid w:val="00B55EA7"/>
    <w:rsid w:val="00B56150"/>
    <w:rsid w:val="00B56B63"/>
    <w:rsid w:val="00B572B5"/>
    <w:rsid w:val="00B575AD"/>
    <w:rsid w:val="00B57ECC"/>
    <w:rsid w:val="00B6007D"/>
    <w:rsid w:val="00B61244"/>
    <w:rsid w:val="00B627ED"/>
    <w:rsid w:val="00B6387E"/>
    <w:rsid w:val="00B6390F"/>
    <w:rsid w:val="00B642C0"/>
    <w:rsid w:val="00B67146"/>
    <w:rsid w:val="00B675E6"/>
    <w:rsid w:val="00B7222A"/>
    <w:rsid w:val="00B72E4B"/>
    <w:rsid w:val="00B75E87"/>
    <w:rsid w:val="00B76454"/>
    <w:rsid w:val="00B7696A"/>
    <w:rsid w:val="00B773BB"/>
    <w:rsid w:val="00B82746"/>
    <w:rsid w:val="00B82A64"/>
    <w:rsid w:val="00B835E7"/>
    <w:rsid w:val="00B8440B"/>
    <w:rsid w:val="00B859D8"/>
    <w:rsid w:val="00B862FF"/>
    <w:rsid w:val="00B87341"/>
    <w:rsid w:val="00B87453"/>
    <w:rsid w:val="00B87DF5"/>
    <w:rsid w:val="00B90173"/>
    <w:rsid w:val="00B92197"/>
    <w:rsid w:val="00B971FE"/>
    <w:rsid w:val="00B97711"/>
    <w:rsid w:val="00BA0370"/>
    <w:rsid w:val="00BA1772"/>
    <w:rsid w:val="00BA1F88"/>
    <w:rsid w:val="00BA3A31"/>
    <w:rsid w:val="00BA5226"/>
    <w:rsid w:val="00BA52A1"/>
    <w:rsid w:val="00BA5C06"/>
    <w:rsid w:val="00BB0364"/>
    <w:rsid w:val="00BB1952"/>
    <w:rsid w:val="00BB22DB"/>
    <w:rsid w:val="00BB2828"/>
    <w:rsid w:val="00BB3074"/>
    <w:rsid w:val="00BB45C5"/>
    <w:rsid w:val="00BB4795"/>
    <w:rsid w:val="00BB491C"/>
    <w:rsid w:val="00BB5071"/>
    <w:rsid w:val="00BB68FB"/>
    <w:rsid w:val="00BB7656"/>
    <w:rsid w:val="00BB78F0"/>
    <w:rsid w:val="00BC0BF1"/>
    <w:rsid w:val="00BC14FB"/>
    <w:rsid w:val="00BC2210"/>
    <w:rsid w:val="00BC320D"/>
    <w:rsid w:val="00BC5287"/>
    <w:rsid w:val="00BC61DA"/>
    <w:rsid w:val="00BC68FA"/>
    <w:rsid w:val="00BD192C"/>
    <w:rsid w:val="00BD208A"/>
    <w:rsid w:val="00BD20DB"/>
    <w:rsid w:val="00BD6066"/>
    <w:rsid w:val="00BD6B7B"/>
    <w:rsid w:val="00BD6FB9"/>
    <w:rsid w:val="00BD70D6"/>
    <w:rsid w:val="00BD73FA"/>
    <w:rsid w:val="00BD7F43"/>
    <w:rsid w:val="00BE1846"/>
    <w:rsid w:val="00BE2246"/>
    <w:rsid w:val="00BE28FF"/>
    <w:rsid w:val="00BE3E2B"/>
    <w:rsid w:val="00BE44A9"/>
    <w:rsid w:val="00BE648A"/>
    <w:rsid w:val="00BE7E19"/>
    <w:rsid w:val="00BF232D"/>
    <w:rsid w:val="00BF2E60"/>
    <w:rsid w:val="00BF3B3D"/>
    <w:rsid w:val="00BF49F4"/>
    <w:rsid w:val="00BF4B36"/>
    <w:rsid w:val="00BF5312"/>
    <w:rsid w:val="00BF67A8"/>
    <w:rsid w:val="00BF7ADF"/>
    <w:rsid w:val="00C008EE"/>
    <w:rsid w:val="00C01047"/>
    <w:rsid w:val="00C033CB"/>
    <w:rsid w:val="00C038C1"/>
    <w:rsid w:val="00C066D7"/>
    <w:rsid w:val="00C07126"/>
    <w:rsid w:val="00C07831"/>
    <w:rsid w:val="00C13F01"/>
    <w:rsid w:val="00C14FD8"/>
    <w:rsid w:val="00C15758"/>
    <w:rsid w:val="00C15BDA"/>
    <w:rsid w:val="00C20050"/>
    <w:rsid w:val="00C20B9B"/>
    <w:rsid w:val="00C20E61"/>
    <w:rsid w:val="00C21155"/>
    <w:rsid w:val="00C2120A"/>
    <w:rsid w:val="00C22CBF"/>
    <w:rsid w:val="00C243C6"/>
    <w:rsid w:val="00C2476B"/>
    <w:rsid w:val="00C24E46"/>
    <w:rsid w:val="00C25C92"/>
    <w:rsid w:val="00C26230"/>
    <w:rsid w:val="00C26266"/>
    <w:rsid w:val="00C274EE"/>
    <w:rsid w:val="00C30CB5"/>
    <w:rsid w:val="00C32763"/>
    <w:rsid w:val="00C3479D"/>
    <w:rsid w:val="00C350D3"/>
    <w:rsid w:val="00C35820"/>
    <w:rsid w:val="00C35BF0"/>
    <w:rsid w:val="00C35D3D"/>
    <w:rsid w:val="00C37243"/>
    <w:rsid w:val="00C408D5"/>
    <w:rsid w:val="00C40E00"/>
    <w:rsid w:val="00C4140A"/>
    <w:rsid w:val="00C41DC8"/>
    <w:rsid w:val="00C433DF"/>
    <w:rsid w:val="00C4409C"/>
    <w:rsid w:val="00C45DC1"/>
    <w:rsid w:val="00C477E7"/>
    <w:rsid w:val="00C47974"/>
    <w:rsid w:val="00C50DF4"/>
    <w:rsid w:val="00C52350"/>
    <w:rsid w:val="00C52DF2"/>
    <w:rsid w:val="00C535EA"/>
    <w:rsid w:val="00C53E45"/>
    <w:rsid w:val="00C54780"/>
    <w:rsid w:val="00C557FD"/>
    <w:rsid w:val="00C562DC"/>
    <w:rsid w:val="00C57C1F"/>
    <w:rsid w:val="00C612EB"/>
    <w:rsid w:val="00C621BB"/>
    <w:rsid w:val="00C627AE"/>
    <w:rsid w:val="00C64459"/>
    <w:rsid w:val="00C648BC"/>
    <w:rsid w:val="00C6620E"/>
    <w:rsid w:val="00C700CF"/>
    <w:rsid w:val="00C70F8B"/>
    <w:rsid w:val="00C71D68"/>
    <w:rsid w:val="00C72848"/>
    <w:rsid w:val="00C73E8C"/>
    <w:rsid w:val="00C742E7"/>
    <w:rsid w:val="00C75DEB"/>
    <w:rsid w:val="00C76465"/>
    <w:rsid w:val="00C81120"/>
    <w:rsid w:val="00C81263"/>
    <w:rsid w:val="00C81DEF"/>
    <w:rsid w:val="00C83190"/>
    <w:rsid w:val="00C83AC6"/>
    <w:rsid w:val="00C83FEA"/>
    <w:rsid w:val="00C8406A"/>
    <w:rsid w:val="00C86BBC"/>
    <w:rsid w:val="00C86C4D"/>
    <w:rsid w:val="00C875DA"/>
    <w:rsid w:val="00C906CF"/>
    <w:rsid w:val="00C909FB"/>
    <w:rsid w:val="00C911BB"/>
    <w:rsid w:val="00C91310"/>
    <w:rsid w:val="00C91974"/>
    <w:rsid w:val="00C95059"/>
    <w:rsid w:val="00C953CD"/>
    <w:rsid w:val="00C956E4"/>
    <w:rsid w:val="00C9795D"/>
    <w:rsid w:val="00CA03B5"/>
    <w:rsid w:val="00CA158B"/>
    <w:rsid w:val="00CA3DF3"/>
    <w:rsid w:val="00CA40E4"/>
    <w:rsid w:val="00CA4599"/>
    <w:rsid w:val="00CA46E2"/>
    <w:rsid w:val="00CA5E17"/>
    <w:rsid w:val="00CA6CE1"/>
    <w:rsid w:val="00CA740D"/>
    <w:rsid w:val="00CA7509"/>
    <w:rsid w:val="00CA7E66"/>
    <w:rsid w:val="00CB03C2"/>
    <w:rsid w:val="00CB047E"/>
    <w:rsid w:val="00CB0B16"/>
    <w:rsid w:val="00CB1D1E"/>
    <w:rsid w:val="00CB208C"/>
    <w:rsid w:val="00CB265D"/>
    <w:rsid w:val="00CB280F"/>
    <w:rsid w:val="00CB2969"/>
    <w:rsid w:val="00CB3F2D"/>
    <w:rsid w:val="00CB420C"/>
    <w:rsid w:val="00CB5FDE"/>
    <w:rsid w:val="00CB6988"/>
    <w:rsid w:val="00CB7177"/>
    <w:rsid w:val="00CB765E"/>
    <w:rsid w:val="00CB7D48"/>
    <w:rsid w:val="00CC1E55"/>
    <w:rsid w:val="00CC2793"/>
    <w:rsid w:val="00CC2A78"/>
    <w:rsid w:val="00CC3D09"/>
    <w:rsid w:val="00CC4B8F"/>
    <w:rsid w:val="00CC50C9"/>
    <w:rsid w:val="00CC5274"/>
    <w:rsid w:val="00CC542F"/>
    <w:rsid w:val="00CC67B5"/>
    <w:rsid w:val="00CC768B"/>
    <w:rsid w:val="00CD1AB1"/>
    <w:rsid w:val="00CD1AC6"/>
    <w:rsid w:val="00CD2054"/>
    <w:rsid w:val="00CD3065"/>
    <w:rsid w:val="00CD3EB9"/>
    <w:rsid w:val="00CD4F47"/>
    <w:rsid w:val="00CD6378"/>
    <w:rsid w:val="00CD7FBF"/>
    <w:rsid w:val="00CE113C"/>
    <w:rsid w:val="00CE28D9"/>
    <w:rsid w:val="00CE37FA"/>
    <w:rsid w:val="00CE40A4"/>
    <w:rsid w:val="00CE4CB9"/>
    <w:rsid w:val="00CE4FBC"/>
    <w:rsid w:val="00CE4FD4"/>
    <w:rsid w:val="00CE5C70"/>
    <w:rsid w:val="00CE5FF4"/>
    <w:rsid w:val="00CE6328"/>
    <w:rsid w:val="00CE77E0"/>
    <w:rsid w:val="00CE7B7E"/>
    <w:rsid w:val="00CF01AB"/>
    <w:rsid w:val="00CF0FBE"/>
    <w:rsid w:val="00CF149E"/>
    <w:rsid w:val="00CF48B7"/>
    <w:rsid w:val="00CF4E5D"/>
    <w:rsid w:val="00CF56C0"/>
    <w:rsid w:val="00CF7B75"/>
    <w:rsid w:val="00CF7FA9"/>
    <w:rsid w:val="00D0039B"/>
    <w:rsid w:val="00D0079E"/>
    <w:rsid w:val="00D021A3"/>
    <w:rsid w:val="00D06372"/>
    <w:rsid w:val="00D1100D"/>
    <w:rsid w:val="00D13707"/>
    <w:rsid w:val="00D13BCF"/>
    <w:rsid w:val="00D13BF4"/>
    <w:rsid w:val="00D1514A"/>
    <w:rsid w:val="00D151EF"/>
    <w:rsid w:val="00D15968"/>
    <w:rsid w:val="00D169F5"/>
    <w:rsid w:val="00D170BD"/>
    <w:rsid w:val="00D20030"/>
    <w:rsid w:val="00D2018C"/>
    <w:rsid w:val="00D23B59"/>
    <w:rsid w:val="00D30A96"/>
    <w:rsid w:val="00D3253D"/>
    <w:rsid w:val="00D334CA"/>
    <w:rsid w:val="00D3378C"/>
    <w:rsid w:val="00D3395E"/>
    <w:rsid w:val="00D35C13"/>
    <w:rsid w:val="00D35C81"/>
    <w:rsid w:val="00D36051"/>
    <w:rsid w:val="00D36D38"/>
    <w:rsid w:val="00D40706"/>
    <w:rsid w:val="00D4102D"/>
    <w:rsid w:val="00D437E6"/>
    <w:rsid w:val="00D43F4D"/>
    <w:rsid w:val="00D459A3"/>
    <w:rsid w:val="00D4752A"/>
    <w:rsid w:val="00D4768F"/>
    <w:rsid w:val="00D5144F"/>
    <w:rsid w:val="00D51D31"/>
    <w:rsid w:val="00D54C8D"/>
    <w:rsid w:val="00D557E5"/>
    <w:rsid w:val="00D57D06"/>
    <w:rsid w:val="00D60F19"/>
    <w:rsid w:val="00D61363"/>
    <w:rsid w:val="00D61DDB"/>
    <w:rsid w:val="00D6471D"/>
    <w:rsid w:val="00D65020"/>
    <w:rsid w:val="00D660D2"/>
    <w:rsid w:val="00D6610A"/>
    <w:rsid w:val="00D67674"/>
    <w:rsid w:val="00D72728"/>
    <w:rsid w:val="00D72A34"/>
    <w:rsid w:val="00D72FF8"/>
    <w:rsid w:val="00D739F3"/>
    <w:rsid w:val="00D73CE1"/>
    <w:rsid w:val="00D745F9"/>
    <w:rsid w:val="00D74751"/>
    <w:rsid w:val="00D74993"/>
    <w:rsid w:val="00D751EF"/>
    <w:rsid w:val="00D7573F"/>
    <w:rsid w:val="00D7643F"/>
    <w:rsid w:val="00D76C2D"/>
    <w:rsid w:val="00D775A3"/>
    <w:rsid w:val="00D77D01"/>
    <w:rsid w:val="00D81119"/>
    <w:rsid w:val="00D812C9"/>
    <w:rsid w:val="00D816C5"/>
    <w:rsid w:val="00D81F38"/>
    <w:rsid w:val="00D82E00"/>
    <w:rsid w:val="00D8370D"/>
    <w:rsid w:val="00D8396F"/>
    <w:rsid w:val="00D84C66"/>
    <w:rsid w:val="00D87082"/>
    <w:rsid w:val="00D87762"/>
    <w:rsid w:val="00D91C71"/>
    <w:rsid w:val="00D92048"/>
    <w:rsid w:val="00D92A4C"/>
    <w:rsid w:val="00D9346F"/>
    <w:rsid w:val="00D93E50"/>
    <w:rsid w:val="00D94A80"/>
    <w:rsid w:val="00D94AB0"/>
    <w:rsid w:val="00D95AB7"/>
    <w:rsid w:val="00D97C59"/>
    <w:rsid w:val="00D97EA0"/>
    <w:rsid w:val="00DA169C"/>
    <w:rsid w:val="00DA19A2"/>
    <w:rsid w:val="00DA1B00"/>
    <w:rsid w:val="00DA255C"/>
    <w:rsid w:val="00DA3079"/>
    <w:rsid w:val="00DA4C15"/>
    <w:rsid w:val="00DA68B4"/>
    <w:rsid w:val="00DA7550"/>
    <w:rsid w:val="00DA7703"/>
    <w:rsid w:val="00DB12BA"/>
    <w:rsid w:val="00DB1855"/>
    <w:rsid w:val="00DB442D"/>
    <w:rsid w:val="00DB6C78"/>
    <w:rsid w:val="00DB7151"/>
    <w:rsid w:val="00DB72C1"/>
    <w:rsid w:val="00DB7B2B"/>
    <w:rsid w:val="00DB7B3B"/>
    <w:rsid w:val="00DC22D1"/>
    <w:rsid w:val="00DC29B3"/>
    <w:rsid w:val="00DC2CC9"/>
    <w:rsid w:val="00DC38C0"/>
    <w:rsid w:val="00DC62FE"/>
    <w:rsid w:val="00DC6FDF"/>
    <w:rsid w:val="00DD1B89"/>
    <w:rsid w:val="00DD2248"/>
    <w:rsid w:val="00DD33C0"/>
    <w:rsid w:val="00DD5AFB"/>
    <w:rsid w:val="00DD5B7A"/>
    <w:rsid w:val="00DD713D"/>
    <w:rsid w:val="00DD7646"/>
    <w:rsid w:val="00DE01C1"/>
    <w:rsid w:val="00DE0267"/>
    <w:rsid w:val="00DE02DD"/>
    <w:rsid w:val="00DE04B0"/>
    <w:rsid w:val="00DE05AD"/>
    <w:rsid w:val="00DE0D2D"/>
    <w:rsid w:val="00DE17D1"/>
    <w:rsid w:val="00DE2D8B"/>
    <w:rsid w:val="00DE4549"/>
    <w:rsid w:val="00DE4931"/>
    <w:rsid w:val="00DE4F8D"/>
    <w:rsid w:val="00DE697A"/>
    <w:rsid w:val="00DE776F"/>
    <w:rsid w:val="00DE7FA0"/>
    <w:rsid w:val="00DF00BB"/>
    <w:rsid w:val="00DF06F8"/>
    <w:rsid w:val="00DF1CBF"/>
    <w:rsid w:val="00DF2DF0"/>
    <w:rsid w:val="00DF2EBF"/>
    <w:rsid w:val="00DF3E3A"/>
    <w:rsid w:val="00DF4289"/>
    <w:rsid w:val="00DF4F0F"/>
    <w:rsid w:val="00DF56B2"/>
    <w:rsid w:val="00DF633C"/>
    <w:rsid w:val="00DF7BAB"/>
    <w:rsid w:val="00DF7E7F"/>
    <w:rsid w:val="00E02A21"/>
    <w:rsid w:val="00E04B5E"/>
    <w:rsid w:val="00E07F77"/>
    <w:rsid w:val="00E1055F"/>
    <w:rsid w:val="00E109C8"/>
    <w:rsid w:val="00E13A3E"/>
    <w:rsid w:val="00E14A3A"/>
    <w:rsid w:val="00E151BE"/>
    <w:rsid w:val="00E158AD"/>
    <w:rsid w:val="00E17099"/>
    <w:rsid w:val="00E177AC"/>
    <w:rsid w:val="00E21F02"/>
    <w:rsid w:val="00E22381"/>
    <w:rsid w:val="00E23CD9"/>
    <w:rsid w:val="00E25E39"/>
    <w:rsid w:val="00E27884"/>
    <w:rsid w:val="00E30908"/>
    <w:rsid w:val="00E32623"/>
    <w:rsid w:val="00E3404D"/>
    <w:rsid w:val="00E345A5"/>
    <w:rsid w:val="00E34786"/>
    <w:rsid w:val="00E35CF7"/>
    <w:rsid w:val="00E40A3D"/>
    <w:rsid w:val="00E41B66"/>
    <w:rsid w:val="00E434B4"/>
    <w:rsid w:val="00E43782"/>
    <w:rsid w:val="00E4414F"/>
    <w:rsid w:val="00E47569"/>
    <w:rsid w:val="00E47B64"/>
    <w:rsid w:val="00E50FAA"/>
    <w:rsid w:val="00E5109C"/>
    <w:rsid w:val="00E51401"/>
    <w:rsid w:val="00E525C1"/>
    <w:rsid w:val="00E52770"/>
    <w:rsid w:val="00E52B22"/>
    <w:rsid w:val="00E5332B"/>
    <w:rsid w:val="00E53C60"/>
    <w:rsid w:val="00E54CEF"/>
    <w:rsid w:val="00E54D4C"/>
    <w:rsid w:val="00E55134"/>
    <w:rsid w:val="00E55862"/>
    <w:rsid w:val="00E5703A"/>
    <w:rsid w:val="00E57552"/>
    <w:rsid w:val="00E57D18"/>
    <w:rsid w:val="00E60158"/>
    <w:rsid w:val="00E60A33"/>
    <w:rsid w:val="00E61488"/>
    <w:rsid w:val="00E62EF0"/>
    <w:rsid w:val="00E637EF"/>
    <w:rsid w:val="00E6548D"/>
    <w:rsid w:val="00E71371"/>
    <w:rsid w:val="00E73012"/>
    <w:rsid w:val="00E73221"/>
    <w:rsid w:val="00E73D87"/>
    <w:rsid w:val="00E7412F"/>
    <w:rsid w:val="00E75052"/>
    <w:rsid w:val="00E7641E"/>
    <w:rsid w:val="00E769F2"/>
    <w:rsid w:val="00E779DB"/>
    <w:rsid w:val="00E77AAB"/>
    <w:rsid w:val="00E811C4"/>
    <w:rsid w:val="00E816D4"/>
    <w:rsid w:val="00E83236"/>
    <w:rsid w:val="00E838F6"/>
    <w:rsid w:val="00E8498A"/>
    <w:rsid w:val="00E84A42"/>
    <w:rsid w:val="00E84E70"/>
    <w:rsid w:val="00E857CC"/>
    <w:rsid w:val="00E86996"/>
    <w:rsid w:val="00E86A49"/>
    <w:rsid w:val="00E87F93"/>
    <w:rsid w:val="00E900CB"/>
    <w:rsid w:val="00E9064E"/>
    <w:rsid w:val="00E90B8D"/>
    <w:rsid w:val="00E90E37"/>
    <w:rsid w:val="00E912BE"/>
    <w:rsid w:val="00E91F6C"/>
    <w:rsid w:val="00E9395D"/>
    <w:rsid w:val="00E93A22"/>
    <w:rsid w:val="00E94705"/>
    <w:rsid w:val="00E95AD9"/>
    <w:rsid w:val="00E96BF6"/>
    <w:rsid w:val="00EA0340"/>
    <w:rsid w:val="00EA0B2B"/>
    <w:rsid w:val="00EA2145"/>
    <w:rsid w:val="00EA232B"/>
    <w:rsid w:val="00EA343E"/>
    <w:rsid w:val="00EA445B"/>
    <w:rsid w:val="00EA468F"/>
    <w:rsid w:val="00EA5FA6"/>
    <w:rsid w:val="00EA6379"/>
    <w:rsid w:val="00EA7C72"/>
    <w:rsid w:val="00EB08F1"/>
    <w:rsid w:val="00EB1A0C"/>
    <w:rsid w:val="00EB33E4"/>
    <w:rsid w:val="00EB3A98"/>
    <w:rsid w:val="00EB3C1D"/>
    <w:rsid w:val="00EB4CE3"/>
    <w:rsid w:val="00EB501C"/>
    <w:rsid w:val="00EB654A"/>
    <w:rsid w:val="00EB6F20"/>
    <w:rsid w:val="00EB712E"/>
    <w:rsid w:val="00EB74A8"/>
    <w:rsid w:val="00EB7665"/>
    <w:rsid w:val="00EB7F2B"/>
    <w:rsid w:val="00EC0BFF"/>
    <w:rsid w:val="00EC1AA3"/>
    <w:rsid w:val="00EC3169"/>
    <w:rsid w:val="00EC3C91"/>
    <w:rsid w:val="00EC3DA8"/>
    <w:rsid w:val="00EC5AEF"/>
    <w:rsid w:val="00EC670D"/>
    <w:rsid w:val="00EC70B2"/>
    <w:rsid w:val="00EC7B23"/>
    <w:rsid w:val="00ED1094"/>
    <w:rsid w:val="00ED2196"/>
    <w:rsid w:val="00ED3C91"/>
    <w:rsid w:val="00ED5461"/>
    <w:rsid w:val="00ED77C8"/>
    <w:rsid w:val="00EE15AD"/>
    <w:rsid w:val="00EE233B"/>
    <w:rsid w:val="00EE2758"/>
    <w:rsid w:val="00EE353F"/>
    <w:rsid w:val="00EE5E7C"/>
    <w:rsid w:val="00EE637E"/>
    <w:rsid w:val="00EE7A9F"/>
    <w:rsid w:val="00EE7B8A"/>
    <w:rsid w:val="00EF015E"/>
    <w:rsid w:val="00EF0B51"/>
    <w:rsid w:val="00EF1836"/>
    <w:rsid w:val="00EF3544"/>
    <w:rsid w:val="00EF3997"/>
    <w:rsid w:val="00EF5863"/>
    <w:rsid w:val="00EF5FDA"/>
    <w:rsid w:val="00EF61DC"/>
    <w:rsid w:val="00EF68DC"/>
    <w:rsid w:val="00F00633"/>
    <w:rsid w:val="00F015EA"/>
    <w:rsid w:val="00F01F90"/>
    <w:rsid w:val="00F03C41"/>
    <w:rsid w:val="00F03C6F"/>
    <w:rsid w:val="00F04B91"/>
    <w:rsid w:val="00F0738D"/>
    <w:rsid w:val="00F1116D"/>
    <w:rsid w:val="00F12092"/>
    <w:rsid w:val="00F12322"/>
    <w:rsid w:val="00F124D3"/>
    <w:rsid w:val="00F13057"/>
    <w:rsid w:val="00F13554"/>
    <w:rsid w:val="00F13FDD"/>
    <w:rsid w:val="00F14A7A"/>
    <w:rsid w:val="00F14C85"/>
    <w:rsid w:val="00F15AC7"/>
    <w:rsid w:val="00F16988"/>
    <w:rsid w:val="00F17066"/>
    <w:rsid w:val="00F1754E"/>
    <w:rsid w:val="00F176F9"/>
    <w:rsid w:val="00F17C0B"/>
    <w:rsid w:val="00F209C4"/>
    <w:rsid w:val="00F20F9F"/>
    <w:rsid w:val="00F2221A"/>
    <w:rsid w:val="00F223B8"/>
    <w:rsid w:val="00F24C6F"/>
    <w:rsid w:val="00F25E4B"/>
    <w:rsid w:val="00F2653F"/>
    <w:rsid w:val="00F26BEF"/>
    <w:rsid w:val="00F27A6C"/>
    <w:rsid w:val="00F27C0D"/>
    <w:rsid w:val="00F30F67"/>
    <w:rsid w:val="00F32645"/>
    <w:rsid w:val="00F333F5"/>
    <w:rsid w:val="00F33E3E"/>
    <w:rsid w:val="00F3621A"/>
    <w:rsid w:val="00F36B3E"/>
    <w:rsid w:val="00F36B53"/>
    <w:rsid w:val="00F370D0"/>
    <w:rsid w:val="00F4070D"/>
    <w:rsid w:val="00F40E75"/>
    <w:rsid w:val="00F42A75"/>
    <w:rsid w:val="00F43F4A"/>
    <w:rsid w:val="00F44756"/>
    <w:rsid w:val="00F44A48"/>
    <w:rsid w:val="00F44FAC"/>
    <w:rsid w:val="00F45546"/>
    <w:rsid w:val="00F4575A"/>
    <w:rsid w:val="00F461EE"/>
    <w:rsid w:val="00F47B10"/>
    <w:rsid w:val="00F50BB7"/>
    <w:rsid w:val="00F514D2"/>
    <w:rsid w:val="00F53AF5"/>
    <w:rsid w:val="00F569D2"/>
    <w:rsid w:val="00F56AAA"/>
    <w:rsid w:val="00F57E6A"/>
    <w:rsid w:val="00F61F45"/>
    <w:rsid w:val="00F6212B"/>
    <w:rsid w:val="00F62DC4"/>
    <w:rsid w:val="00F63F44"/>
    <w:rsid w:val="00F6476F"/>
    <w:rsid w:val="00F6686B"/>
    <w:rsid w:val="00F66A3E"/>
    <w:rsid w:val="00F70BDE"/>
    <w:rsid w:val="00F70BE8"/>
    <w:rsid w:val="00F71055"/>
    <w:rsid w:val="00F72BBD"/>
    <w:rsid w:val="00F7437D"/>
    <w:rsid w:val="00F74BBD"/>
    <w:rsid w:val="00F80239"/>
    <w:rsid w:val="00F81D2C"/>
    <w:rsid w:val="00F82875"/>
    <w:rsid w:val="00F833DD"/>
    <w:rsid w:val="00F843B1"/>
    <w:rsid w:val="00F84AF8"/>
    <w:rsid w:val="00F8689C"/>
    <w:rsid w:val="00F876B7"/>
    <w:rsid w:val="00F90423"/>
    <w:rsid w:val="00F90CF8"/>
    <w:rsid w:val="00F938B7"/>
    <w:rsid w:val="00F93F40"/>
    <w:rsid w:val="00F9685F"/>
    <w:rsid w:val="00F97728"/>
    <w:rsid w:val="00F97A1C"/>
    <w:rsid w:val="00FA00A4"/>
    <w:rsid w:val="00FA0F78"/>
    <w:rsid w:val="00FA1D52"/>
    <w:rsid w:val="00FA2E24"/>
    <w:rsid w:val="00FA42D0"/>
    <w:rsid w:val="00FA5466"/>
    <w:rsid w:val="00FA5888"/>
    <w:rsid w:val="00FA58B0"/>
    <w:rsid w:val="00FA5E53"/>
    <w:rsid w:val="00FB0826"/>
    <w:rsid w:val="00FB0B03"/>
    <w:rsid w:val="00FB17D6"/>
    <w:rsid w:val="00FB1F23"/>
    <w:rsid w:val="00FB246F"/>
    <w:rsid w:val="00FB2A6E"/>
    <w:rsid w:val="00FB360B"/>
    <w:rsid w:val="00FB3CF6"/>
    <w:rsid w:val="00FB47EA"/>
    <w:rsid w:val="00FB4F45"/>
    <w:rsid w:val="00FB68F4"/>
    <w:rsid w:val="00FB73BD"/>
    <w:rsid w:val="00FC0A21"/>
    <w:rsid w:val="00FC1041"/>
    <w:rsid w:val="00FC192C"/>
    <w:rsid w:val="00FC3B50"/>
    <w:rsid w:val="00FC3C0E"/>
    <w:rsid w:val="00FC46BF"/>
    <w:rsid w:val="00FC5098"/>
    <w:rsid w:val="00FC6C0C"/>
    <w:rsid w:val="00FD14D2"/>
    <w:rsid w:val="00FD2ADF"/>
    <w:rsid w:val="00FD64CA"/>
    <w:rsid w:val="00FD7BE1"/>
    <w:rsid w:val="00FE0115"/>
    <w:rsid w:val="00FE1697"/>
    <w:rsid w:val="00FE1918"/>
    <w:rsid w:val="00FE1D32"/>
    <w:rsid w:val="00FE1DCB"/>
    <w:rsid w:val="00FE1DFC"/>
    <w:rsid w:val="00FE36F1"/>
    <w:rsid w:val="00FE5284"/>
    <w:rsid w:val="00FE53CF"/>
    <w:rsid w:val="00FE67C8"/>
    <w:rsid w:val="00FE6E7A"/>
    <w:rsid w:val="00FE7322"/>
    <w:rsid w:val="00FE7C7C"/>
    <w:rsid w:val="00FF0EFE"/>
    <w:rsid w:val="00FF1F32"/>
    <w:rsid w:val="00FF29BE"/>
    <w:rsid w:val="00FF300F"/>
    <w:rsid w:val="00FF319F"/>
    <w:rsid w:val="00FF39FA"/>
    <w:rsid w:val="00FF504F"/>
    <w:rsid w:val="00FF6739"/>
    <w:rsid w:val="00FF7592"/>
    <w:rsid w:val="00FF7879"/>
    <w:rsid w:val="00FF78A4"/>
    <w:rsid w:val="03C38045"/>
    <w:rsid w:val="0414ACA4"/>
    <w:rsid w:val="070341DF"/>
    <w:rsid w:val="08210CA5"/>
    <w:rsid w:val="09B6C582"/>
    <w:rsid w:val="0A51BAF9"/>
    <w:rsid w:val="0B091435"/>
    <w:rsid w:val="0F539719"/>
    <w:rsid w:val="0F68070A"/>
    <w:rsid w:val="0F9D1AA5"/>
    <w:rsid w:val="109F10AF"/>
    <w:rsid w:val="13BA435A"/>
    <w:rsid w:val="13BCCF36"/>
    <w:rsid w:val="1469E90C"/>
    <w:rsid w:val="156B7D3D"/>
    <w:rsid w:val="186868E8"/>
    <w:rsid w:val="208F6C29"/>
    <w:rsid w:val="21BA66BA"/>
    <w:rsid w:val="273C905A"/>
    <w:rsid w:val="27AD1B13"/>
    <w:rsid w:val="29133F5D"/>
    <w:rsid w:val="29A2CEEA"/>
    <w:rsid w:val="29B0374E"/>
    <w:rsid w:val="2A05494B"/>
    <w:rsid w:val="2A4AD4A7"/>
    <w:rsid w:val="2BA643FB"/>
    <w:rsid w:val="2C1D08E7"/>
    <w:rsid w:val="2ED33C26"/>
    <w:rsid w:val="30CAD9DD"/>
    <w:rsid w:val="31498981"/>
    <w:rsid w:val="31DCC1E5"/>
    <w:rsid w:val="34234149"/>
    <w:rsid w:val="3A10E696"/>
    <w:rsid w:val="3DA456B2"/>
    <w:rsid w:val="3F7444A8"/>
    <w:rsid w:val="4042748E"/>
    <w:rsid w:val="44177478"/>
    <w:rsid w:val="4846C92F"/>
    <w:rsid w:val="4A197EAB"/>
    <w:rsid w:val="4E7EBFFB"/>
    <w:rsid w:val="4F2DB03D"/>
    <w:rsid w:val="508D33D0"/>
    <w:rsid w:val="51E9D244"/>
    <w:rsid w:val="52072235"/>
    <w:rsid w:val="52A6256D"/>
    <w:rsid w:val="57CC32DC"/>
    <w:rsid w:val="5A6FEDF6"/>
    <w:rsid w:val="5BC29E37"/>
    <w:rsid w:val="5C628144"/>
    <w:rsid w:val="62798147"/>
    <w:rsid w:val="62C7F293"/>
    <w:rsid w:val="63D0BF36"/>
    <w:rsid w:val="65766FC0"/>
    <w:rsid w:val="65E119C9"/>
    <w:rsid w:val="68277A85"/>
    <w:rsid w:val="69171CCC"/>
    <w:rsid w:val="6AFDA399"/>
    <w:rsid w:val="6C763B01"/>
    <w:rsid w:val="6CD10EC0"/>
    <w:rsid w:val="6CEC0CD9"/>
    <w:rsid w:val="6E246E0F"/>
    <w:rsid w:val="6EDF667D"/>
    <w:rsid w:val="7086637A"/>
    <w:rsid w:val="70C95FCD"/>
    <w:rsid w:val="71EA2350"/>
    <w:rsid w:val="72404A3B"/>
    <w:rsid w:val="72E609D2"/>
    <w:rsid w:val="7938338C"/>
    <w:rsid w:val="7CA6BE3C"/>
    <w:rsid w:val="7E1D2F11"/>
    <w:rsid w:val="7EA31B74"/>
    <w:rsid w:val="7EC1E3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2483A"/>
  <w15:docId w15:val="{E2620A11-394A-CB41-A82F-30D1A6D6F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176C8"/>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412CDB"/>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412CDB"/>
    <w:rPr>
      <w:rFonts w:ascii="Calibri" w:hAnsi="Calibri" w:cs="Calibri"/>
    </w:rPr>
  </w:style>
  <w:style w:type="paragraph" w:customStyle="1" w:styleId="EndNoteBibliography">
    <w:name w:val="EndNote Bibliography"/>
    <w:basedOn w:val="Normal"/>
    <w:link w:val="EndNoteBibliographyChar"/>
    <w:rsid w:val="00412CDB"/>
    <w:rPr>
      <w:rFonts w:ascii="Calibri" w:hAnsi="Calibri" w:cs="Calibri"/>
    </w:rPr>
  </w:style>
  <w:style w:type="character" w:customStyle="1" w:styleId="EndNoteBibliographyChar">
    <w:name w:val="EndNote Bibliography Char"/>
    <w:basedOn w:val="DefaultParagraphFont"/>
    <w:link w:val="EndNoteBibliography"/>
    <w:rsid w:val="00412CDB"/>
    <w:rPr>
      <w:rFonts w:ascii="Calibri" w:hAnsi="Calibri" w:cs="Calibri"/>
    </w:rPr>
  </w:style>
  <w:style w:type="character" w:styleId="Hyperlink">
    <w:name w:val="Hyperlink"/>
    <w:basedOn w:val="DefaultParagraphFont"/>
    <w:uiPriority w:val="99"/>
    <w:unhideWhenUsed/>
    <w:rsid w:val="00412CDB"/>
    <w:rPr>
      <w:color w:val="0563C1" w:themeColor="hyperlink"/>
      <w:u w:val="single"/>
    </w:rPr>
  </w:style>
  <w:style w:type="character" w:customStyle="1" w:styleId="UnresolvedMention1">
    <w:name w:val="Unresolved Mention1"/>
    <w:basedOn w:val="DefaultParagraphFont"/>
    <w:uiPriority w:val="99"/>
    <w:rsid w:val="00412CDB"/>
    <w:rPr>
      <w:color w:val="605E5C"/>
      <w:shd w:val="clear" w:color="auto" w:fill="E1DFDD"/>
    </w:rPr>
  </w:style>
  <w:style w:type="paragraph" w:styleId="ListParagraph">
    <w:name w:val="List Paragraph"/>
    <w:basedOn w:val="Normal"/>
    <w:uiPriority w:val="34"/>
    <w:qFormat/>
    <w:rsid w:val="001C6420"/>
    <w:pPr>
      <w:ind w:left="720"/>
      <w:contextualSpacing/>
    </w:pPr>
  </w:style>
  <w:style w:type="character" w:styleId="FollowedHyperlink">
    <w:name w:val="FollowedHyperlink"/>
    <w:basedOn w:val="DefaultParagraphFont"/>
    <w:uiPriority w:val="99"/>
    <w:semiHidden/>
    <w:unhideWhenUsed/>
    <w:rsid w:val="00B72E4B"/>
    <w:rPr>
      <w:color w:val="954F72" w:themeColor="followedHyperlink"/>
      <w:u w:val="single"/>
    </w:rPr>
  </w:style>
  <w:style w:type="character" w:styleId="CommentReference">
    <w:name w:val="annotation reference"/>
    <w:basedOn w:val="DefaultParagraphFont"/>
    <w:uiPriority w:val="99"/>
    <w:semiHidden/>
    <w:unhideWhenUsed/>
    <w:rsid w:val="00A069CD"/>
    <w:rPr>
      <w:sz w:val="16"/>
      <w:szCs w:val="16"/>
    </w:rPr>
  </w:style>
  <w:style w:type="paragraph" w:styleId="CommentText">
    <w:name w:val="annotation text"/>
    <w:basedOn w:val="Normal"/>
    <w:link w:val="CommentTextChar"/>
    <w:uiPriority w:val="99"/>
    <w:semiHidden/>
    <w:unhideWhenUsed/>
    <w:rsid w:val="00A069CD"/>
    <w:rPr>
      <w:sz w:val="20"/>
      <w:szCs w:val="20"/>
    </w:rPr>
  </w:style>
  <w:style w:type="character" w:customStyle="1" w:styleId="CommentTextChar">
    <w:name w:val="Comment Text Char"/>
    <w:basedOn w:val="DefaultParagraphFont"/>
    <w:link w:val="CommentText"/>
    <w:uiPriority w:val="99"/>
    <w:semiHidden/>
    <w:rsid w:val="00A069CD"/>
    <w:rPr>
      <w:sz w:val="20"/>
      <w:szCs w:val="20"/>
    </w:rPr>
  </w:style>
  <w:style w:type="paragraph" w:styleId="CommentSubject">
    <w:name w:val="annotation subject"/>
    <w:basedOn w:val="CommentText"/>
    <w:next w:val="CommentText"/>
    <w:link w:val="CommentSubjectChar"/>
    <w:uiPriority w:val="99"/>
    <w:semiHidden/>
    <w:unhideWhenUsed/>
    <w:rsid w:val="00A069CD"/>
    <w:rPr>
      <w:b/>
      <w:bCs/>
    </w:rPr>
  </w:style>
  <w:style w:type="character" w:customStyle="1" w:styleId="CommentSubjectChar">
    <w:name w:val="Comment Subject Char"/>
    <w:basedOn w:val="CommentTextChar"/>
    <w:link w:val="CommentSubject"/>
    <w:uiPriority w:val="99"/>
    <w:semiHidden/>
    <w:rsid w:val="00A069CD"/>
    <w:rPr>
      <w:b/>
      <w:bCs/>
      <w:sz w:val="20"/>
      <w:szCs w:val="20"/>
    </w:rPr>
  </w:style>
  <w:style w:type="paragraph" w:styleId="BalloonText">
    <w:name w:val="Balloon Text"/>
    <w:basedOn w:val="Normal"/>
    <w:link w:val="BalloonTextChar"/>
    <w:uiPriority w:val="99"/>
    <w:semiHidden/>
    <w:unhideWhenUsed/>
    <w:rsid w:val="00A069C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9CD"/>
    <w:rPr>
      <w:rFonts w:ascii="Segoe UI" w:hAnsi="Segoe UI" w:cs="Segoe UI"/>
      <w:sz w:val="18"/>
      <w:szCs w:val="18"/>
    </w:rPr>
  </w:style>
  <w:style w:type="paragraph" w:styleId="Revision">
    <w:name w:val="Revision"/>
    <w:hidden/>
    <w:uiPriority w:val="99"/>
    <w:semiHidden/>
    <w:rsid w:val="000F05E5"/>
  </w:style>
  <w:style w:type="character" w:customStyle="1" w:styleId="NichtaufgelsteErwhnung1">
    <w:name w:val="Nicht aufgelöste Erwähnung1"/>
    <w:basedOn w:val="DefaultParagraphFont"/>
    <w:uiPriority w:val="99"/>
    <w:semiHidden/>
    <w:unhideWhenUsed/>
    <w:rsid w:val="00195D1E"/>
    <w:rPr>
      <w:color w:val="605E5C"/>
      <w:shd w:val="clear" w:color="auto" w:fill="E1DFDD"/>
    </w:rPr>
  </w:style>
  <w:style w:type="paragraph" w:customStyle="1" w:styleId="Literaturverzeichnis1">
    <w:name w:val="Literaturverzeichnis1"/>
    <w:basedOn w:val="Normal"/>
    <w:link w:val="BibliographyZchn"/>
    <w:rsid w:val="00E345A5"/>
    <w:pPr>
      <w:tabs>
        <w:tab w:val="left" w:pos="500"/>
      </w:tabs>
      <w:spacing w:after="240"/>
    </w:pPr>
    <w:rPr>
      <w:rFonts w:cstheme="minorHAnsi"/>
      <w:sz w:val="22"/>
      <w:szCs w:val="22"/>
    </w:rPr>
  </w:style>
  <w:style w:type="character" w:customStyle="1" w:styleId="BibliographyZchn">
    <w:name w:val="Bibliography Zchn"/>
    <w:basedOn w:val="DefaultParagraphFont"/>
    <w:link w:val="Literaturverzeichnis1"/>
    <w:rsid w:val="00E345A5"/>
    <w:rPr>
      <w:rFonts w:cstheme="minorHAnsi"/>
      <w:sz w:val="22"/>
      <w:szCs w:val="22"/>
    </w:rPr>
  </w:style>
  <w:style w:type="character" w:styleId="SubtleEmphasis">
    <w:name w:val="Subtle Emphasis"/>
    <w:basedOn w:val="DefaultParagraphFont"/>
    <w:uiPriority w:val="19"/>
    <w:qFormat/>
    <w:rPr>
      <w:i/>
      <w:iCs/>
      <w:color w:val="404040" w:themeColor="text1" w:themeTint="BF"/>
    </w:rPr>
  </w:style>
  <w:style w:type="paragraph" w:customStyle="1" w:styleId="Literaturverzeichnis2">
    <w:name w:val="Literaturverzeichnis2"/>
    <w:basedOn w:val="Normal"/>
    <w:link w:val="BibliographyZchn1"/>
    <w:rsid w:val="00435AE8"/>
    <w:pPr>
      <w:widowControl w:val="0"/>
      <w:autoSpaceDE w:val="0"/>
      <w:autoSpaceDN w:val="0"/>
      <w:adjustRightInd w:val="0"/>
      <w:ind w:left="720" w:hanging="720"/>
    </w:pPr>
    <w:rPr>
      <w:rFonts w:ascii="Times New Roman" w:hAnsi="Times New Roman" w:cs="Times New Roman"/>
    </w:rPr>
  </w:style>
  <w:style w:type="character" w:customStyle="1" w:styleId="BibliographyZchn1">
    <w:name w:val="Bibliography Zchn1"/>
    <w:basedOn w:val="DefaultParagraphFont"/>
    <w:link w:val="Literaturverzeichnis2"/>
    <w:rsid w:val="00435AE8"/>
    <w:rPr>
      <w:rFonts w:ascii="Times New Roman" w:hAnsi="Times New Roman" w:cs="Times New Roman"/>
    </w:rPr>
  </w:style>
  <w:style w:type="paragraph" w:customStyle="1" w:styleId="Literaturverzeichnis3">
    <w:name w:val="Literaturverzeichnis3"/>
    <w:basedOn w:val="Normal"/>
    <w:link w:val="BibliographyZchn2"/>
    <w:rsid w:val="00A60809"/>
    <w:pPr>
      <w:widowControl w:val="0"/>
      <w:tabs>
        <w:tab w:val="left" w:pos="500"/>
      </w:tabs>
      <w:autoSpaceDE w:val="0"/>
      <w:autoSpaceDN w:val="0"/>
      <w:adjustRightInd w:val="0"/>
      <w:ind w:left="720" w:hanging="720"/>
    </w:pPr>
    <w:rPr>
      <w:rFonts w:ascii="Times New Roman" w:hAnsi="Times New Roman" w:cs="Times New Roman"/>
    </w:rPr>
  </w:style>
  <w:style w:type="character" w:customStyle="1" w:styleId="BibliographyZchn2">
    <w:name w:val="Bibliography Zchn2"/>
    <w:basedOn w:val="DefaultParagraphFont"/>
    <w:link w:val="Literaturverzeichnis3"/>
    <w:rsid w:val="00A60809"/>
    <w:rPr>
      <w:rFonts w:ascii="Times New Roman" w:hAnsi="Times New Roman" w:cs="Times New Roman"/>
    </w:rPr>
  </w:style>
  <w:style w:type="paragraph" w:customStyle="1" w:styleId="Bibliography1">
    <w:name w:val="Bibliography1"/>
    <w:basedOn w:val="Normal"/>
    <w:link w:val="BibliographyZchn3"/>
    <w:rsid w:val="003B29EC"/>
    <w:pPr>
      <w:tabs>
        <w:tab w:val="left" w:pos="500"/>
        <w:tab w:val="left" w:pos="2394"/>
      </w:tabs>
      <w:ind w:left="504" w:hanging="504"/>
    </w:pPr>
    <w:rPr>
      <w:rFonts w:cstheme="minorHAnsi"/>
      <w:b/>
      <w:bCs/>
      <w:sz w:val="22"/>
      <w:szCs w:val="22"/>
    </w:rPr>
  </w:style>
  <w:style w:type="character" w:customStyle="1" w:styleId="BibliographyZchn3">
    <w:name w:val="Bibliography Zchn3"/>
    <w:basedOn w:val="DefaultParagraphFont"/>
    <w:link w:val="Bibliography1"/>
    <w:rsid w:val="003B29EC"/>
    <w:rPr>
      <w:rFonts w:cstheme="minorHAnsi"/>
      <w:b/>
      <w:bCs/>
      <w:sz w:val="22"/>
      <w:szCs w:val="22"/>
    </w:rPr>
  </w:style>
  <w:style w:type="paragraph" w:styleId="Title">
    <w:name w:val="Title"/>
    <w:basedOn w:val="Normal"/>
    <w:next w:val="Normal"/>
    <w:link w:val="TitleChar"/>
    <w:uiPriority w:val="10"/>
    <w:qFormat/>
    <w:rsid w:val="000176C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6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76C8"/>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0176C8"/>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0176C8"/>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1F1839"/>
    <w:pPr>
      <w:tabs>
        <w:tab w:val="center" w:pos="4680"/>
        <w:tab w:val="right" w:pos="9360"/>
      </w:tabs>
    </w:pPr>
  </w:style>
  <w:style w:type="character" w:customStyle="1" w:styleId="HeaderChar">
    <w:name w:val="Header Char"/>
    <w:basedOn w:val="DefaultParagraphFont"/>
    <w:link w:val="Header"/>
    <w:uiPriority w:val="99"/>
    <w:rsid w:val="001F1839"/>
  </w:style>
  <w:style w:type="paragraph" w:styleId="Footer">
    <w:name w:val="footer"/>
    <w:basedOn w:val="Normal"/>
    <w:link w:val="FooterChar"/>
    <w:uiPriority w:val="99"/>
    <w:unhideWhenUsed/>
    <w:rsid w:val="001F1839"/>
    <w:pPr>
      <w:tabs>
        <w:tab w:val="center" w:pos="4680"/>
        <w:tab w:val="right" w:pos="9360"/>
      </w:tabs>
    </w:pPr>
  </w:style>
  <w:style w:type="character" w:customStyle="1" w:styleId="FooterChar">
    <w:name w:val="Footer Char"/>
    <w:basedOn w:val="DefaultParagraphFont"/>
    <w:link w:val="Footer"/>
    <w:uiPriority w:val="99"/>
    <w:rsid w:val="001F1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599106">
      <w:bodyDiv w:val="1"/>
      <w:marLeft w:val="0"/>
      <w:marRight w:val="0"/>
      <w:marTop w:val="0"/>
      <w:marBottom w:val="0"/>
      <w:divBdr>
        <w:top w:val="none" w:sz="0" w:space="0" w:color="auto"/>
        <w:left w:val="none" w:sz="0" w:space="0" w:color="auto"/>
        <w:bottom w:val="none" w:sz="0" w:space="0" w:color="auto"/>
        <w:right w:val="none" w:sz="0" w:space="0" w:color="auto"/>
      </w:divBdr>
    </w:div>
    <w:div w:id="1150556675">
      <w:bodyDiv w:val="1"/>
      <w:marLeft w:val="0"/>
      <w:marRight w:val="0"/>
      <w:marTop w:val="0"/>
      <w:marBottom w:val="0"/>
      <w:divBdr>
        <w:top w:val="none" w:sz="0" w:space="0" w:color="auto"/>
        <w:left w:val="none" w:sz="0" w:space="0" w:color="auto"/>
        <w:bottom w:val="none" w:sz="0" w:space="0" w:color="auto"/>
        <w:right w:val="none" w:sz="0" w:space="0" w:color="auto"/>
      </w:divBdr>
    </w:div>
    <w:div w:id="1154100321">
      <w:bodyDiv w:val="1"/>
      <w:marLeft w:val="0"/>
      <w:marRight w:val="0"/>
      <w:marTop w:val="0"/>
      <w:marBottom w:val="0"/>
      <w:divBdr>
        <w:top w:val="none" w:sz="0" w:space="0" w:color="auto"/>
        <w:left w:val="none" w:sz="0" w:space="0" w:color="auto"/>
        <w:bottom w:val="none" w:sz="0" w:space="0" w:color="auto"/>
        <w:right w:val="none" w:sz="0" w:space="0" w:color="auto"/>
      </w:divBdr>
    </w:div>
    <w:div w:id="1390416873">
      <w:bodyDiv w:val="1"/>
      <w:marLeft w:val="0"/>
      <w:marRight w:val="0"/>
      <w:marTop w:val="0"/>
      <w:marBottom w:val="0"/>
      <w:divBdr>
        <w:top w:val="none" w:sz="0" w:space="0" w:color="auto"/>
        <w:left w:val="none" w:sz="0" w:space="0" w:color="auto"/>
        <w:bottom w:val="none" w:sz="0" w:space="0" w:color="auto"/>
        <w:right w:val="none" w:sz="0" w:space="0" w:color="auto"/>
      </w:divBdr>
    </w:div>
    <w:div w:id="1506674763">
      <w:bodyDiv w:val="1"/>
      <w:marLeft w:val="0"/>
      <w:marRight w:val="0"/>
      <w:marTop w:val="0"/>
      <w:marBottom w:val="0"/>
      <w:divBdr>
        <w:top w:val="none" w:sz="0" w:space="0" w:color="auto"/>
        <w:left w:val="none" w:sz="0" w:space="0" w:color="auto"/>
        <w:bottom w:val="none" w:sz="0" w:space="0" w:color="auto"/>
        <w:right w:val="none" w:sz="0" w:space="0" w:color="auto"/>
      </w:divBdr>
    </w:div>
    <w:div w:id="1732848015">
      <w:bodyDiv w:val="1"/>
      <w:marLeft w:val="0"/>
      <w:marRight w:val="0"/>
      <w:marTop w:val="0"/>
      <w:marBottom w:val="0"/>
      <w:divBdr>
        <w:top w:val="none" w:sz="0" w:space="0" w:color="auto"/>
        <w:left w:val="none" w:sz="0" w:space="0" w:color="auto"/>
        <w:bottom w:val="none" w:sz="0" w:space="0" w:color="auto"/>
        <w:right w:val="none" w:sz="0" w:space="0" w:color="auto"/>
      </w:divBdr>
      <w:divsChild>
        <w:div w:id="1646859802">
          <w:marLeft w:val="432"/>
          <w:marRight w:val="0"/>
          <w:marTop w:val="240"/>
          <w:marBottom w:val="0"/>
          <w:divBdr>
            <w:top w:val="none" w:sz="0" w:space="0" w:color="auto"/>
            <w:left w:val="none" w:sz="0" w:space="0" w:color="auto"/>
            <w:bottom w:val="none" w:sz="0" w:space="0" w:color="auto"/>
            <w:right w:val="none" w:sz="0" w:space="0" w:color="auto"/>
          </w:divBdr>
        </w:div>
      </w:divsChild>
    </w:div>
    <w:div w:id="1778909396">
      <w:bodyDiv w:val="1"/>
      <w:marLeft w:val="0"/>
      <w:marRight w:val="0"/>
      <w:marTop w:val="0"/>
      <w:marBottom w:val="0"/>
      <w:divBdr>
        <w:top w:val="none" w:sz="0" w:space="0" w:color="auto"/>
        <w:left w:val="none" w:sz="0" w:space="0" w:color="auto"/>
        <w:bottom w:val="none" w:sz="0" w:space="0" w:color="auto"/>
        <w:right w:val="none" w:sz="0" w:space="0" w:color="auto"/>
      </w:divBdr>
      <w:divsChild>
        <w:div w:id="1814712809">
          <w:marLeft w:val="432"/>
          <w:marRight w:val="0"/>
          <w:marTop w:val="240"/>
          <w:marBottom w:val="0"/>
          <w:divBdr>
            <w:top w:val="none" w:sz="0" w:space="0" w:color="auto"/>
            <w:left w:val="none" w:sz="0" w:space="0" w:color="auto"/>
            <w:bottom w:val="none" w:sz="0" w:space="0" w:color="auto"/>
            <w:right w:val="none" w:sz="0" w:space="0" w:color="auto"/>
          </w:divBdr>
        </w:div>
      </w:divsChild>
    </w:div>
    <w:div w:id="1982152761">
      <w:bodyDiv w:val="1"/>
      <w:marLeft w:val="0"/>
      <w:marRight w:val="0"/>
      <w:marTop w:val="0"/>
      <w:marBottom w:val="0"/>
      <w:divBdr>
        <w:top w:val="none" w:sz="0" w:space="0" w:color="auto"/>
        <w:left w:val="none" w:sz="0" w:space="0" w:color="auto"/>
        <w:bottom w:val="none" w:sz="0" w:space="0" w:color="auto"/>
        <w:right w:val="none" w:sz="0" w:space="0" w:color="auto"/>
      </w:divBdr>
    </w:div>
    <w:div w:id="2009015261">
      <w:bodyDiv w:val="1"/>
      <w:marLeft w:val="0"/>
      <w:marRight w:val="0"/>
      <w:marTop w:val="0"/>
      <w:marBottom w:val="0"/>
      <w:divBdr>
        <w:top w:val="none" w:sz="0" w:space="0" w:color="auto"/>
        <w:left w:val="none" w:sz="0" w:space="0" w:color="auto"/>
        <w:bottom w:val="none" w:sz="0" w:space="0" w:color="auto"/>
        <w:right w:val="none" w:sz="0" w:space="0" w:color="auto"/>
      </w:divBdr>
      <w:divsChild>
        <w:div w:id="924848035">
          <w:marLeft w:val="432"/>
          <w:marRight w:val="0"/>
          <w:marTop w:val="24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ab4b4f4ad5ff4a43"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9C3E6-7BAF-46A9-94B4-B2DED5641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2490</Words>
  <Characters>14194</Characters>
  <Application>Microsoft Office Word</Application>
  <DocSecurity>0</DocSecurity>
  <Lines>118</Lines>
  <Paragraphs>33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Rajajee, Venkatakrishna</dc:creator>
  <cp:keywords/>
  <dc:description/>
  <cp:lastModifiedBy>Mahanes, Dea *HS</cp:lastModifiedBy>
  <cp:revision>2</cp:revision>
  <dcterms:created xsi:type="dcterms:W3CDTF">2023-07-01T18:14:00Z</dcterms:created>
  <dcterms:modified xsi:type="dcterms:W3CDTF">2023-07-01T18:14:00Z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zotero-version="6.0.13"&gt;&lt;session id="FQ5aCJFP"/&gt;&lt;style id="http://www.zotero.org/styles/elsevier-with-titles" hasBibliography="1" bibliographyStyleHasBeenSet="1"/&gt;&lt;prefs&gt;&lt;pref name="fieldType" value="Field"/&gt;&lt;/prefs&gt;&lt;/data&gt;</vt:lpwstr>
  </property>
  <property fmtid="{D5CDD505-2E9C-101B-9397-08002B2CF9AE}" pid="3" name="ZOTERO_PREF_2">
    <vt:lpwstr/>
  </property>
</Properties>
</file>