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68C7B" w14:textId="2B13F448" w:rsidR="004901FC" w:rsidRPr="00BF0BD8" w:rsidRDefault="00BF0BD8" w:rsidP="00BF0BD8">
      <w:pPr>
        <w:spacing w:line="480" w:lineRule="auto"/>
        <w:jc w:val="center"/>
        <w:rPr>
          <w:rFonts w:cstheme="minorHAnsi"/>
          <w:b/>
          <w:bCs/>
          <w:lang w:val="en-US"/>
        </w:rPr>
      </w:pPr>
      <w:r w:rsidRPr="00BF0BD8">
        <w:rPr>
          <w:rFonts w:cstheme="minorHAnsi"/>
          <w:b/>
          <w:bCs/>
          <w:lang w:val="en-US"/>
        </w:rPr>
        <w:t>Supplementary appendix 1</w:t>
      </w:r>
    </w:p>
    <w:p w14:paraId="4CA2A65A" w14:textId="7C5678F9" w:rsidR="00823BD6" w:rsidRDefault="00BF0BD8" w:rsidP="007E7679">
      <w:pPr>
        <w:spacing w:line="480" w:lineRule="auto"/>
        <w:jc w:val="center"/>
        <w:rPr>
          <w:rFonts w:cstheme="minorHAnsi"/>
          <w:b/>
          <w:bCs/>
          <w:lang w:val="en-US"/>
        </w:rPr>
      </w:pPr>
      <w:r>
        <w:rPr>
          <w:rFonts w:cstheme="minorHAnsi"/>
          <w:b/>
          <w:bCs/>
          <w:lang w:val="en-US"/>
        </w:rPr>
        <w:t xml:space="preserve">Neurocritical Care Society (NCS) and </w:t>
      </w:r>
      <w:r w:rsidRPr="00BF0BD8">
        <w:rPr>
          <w:rFonts w:cstheme="minorHAnsi"/>
          <w:b/>
          <w:bCs/>
          <w:lang w:val="en-US"/>
        </w:rPr>
        <w:t>Deutsche Gesellschaft für Neurointensivmedizin (DGNI)</w:t>
      </w:r>
      <w:r>
        <w:rPr>
          <w:rFonts w:cstheme="minorHAnsi"/>
          <w:b/>
          <w:bCs/>
          <w:lang w:val="en-US"/>
        </w:rPr>
        <w:t xml:space="preserve"> </w:t>
      </w:r>
      <w:r w:rsidRPr="00BF0BD8">
        <w:rPr>
          <w:rFonts w:cstheme="minorHAnsi"/>
          <w:b/>
          <w:bCs/>
          <w:lang w:val="en-US"/>
        </w:rPr>
        <w:t>Neuroprognostication guidelines: Methodology</w:t>
      </w:r>
    </w:p>
    <w:p w14:paraId="70CAAACA" w14:textId="77777777" w:rsidR="00823BD6" w:rsidRPr="00534E88" w:rsidRDefault="00823BD6" w:rsidP="00823BD6">
      <w:pPr>
        <w:spacing w:line="480" w:lineRule="auto"/>
        <w:rPr>
          <w:rFonts w:cstheme="minorHAnsi"/>
          <w:b/>
          <w:bCs/>
          <w:lang w:val="en-US"/>
        </w:rPr>
      </w:pPr>
      <w:r w:rsidRPr="00534E88">
        <w:rPr>
          <w:rFonts w:cstheme="minorHAnsi"/>
          <w:b/>
          <w:bCs/>
          <w:lang w:val="en-US"/>
        </w:rPr>
        <w:t>How to use these guidelines</w:t>
      </w:r>
    </w:p>
    <w:p w14:paraId="2A070663" w14:textId="00247B42" w:rsidR="00823BD6" w:rsidRDefault="00823BD6" w:rsidP="008D0771">
      <w:pPr>
        <w:spacing w:line="480" w:lineRule="auto"/>
        <w:rPr>
          <w:rFonts w:cstheme="minorHAnsi"/>
          <w:lang w:val="en-US"/>
        </w:rPr>
      </w:pPr>
      <w:r w:rsidRPr="00534E88">
        <w:rPr>
          <w:rFonts w:cstheme="minorHAnsi"/>
          <w:lang w:val="en-US"/>
        </w:rPr>
        <w:t>These guidelines provide recommendations on the reliability of select</w:t>
      </w:r>
      <w:r>
        <w:rPr>
          <w:rFonts w:cstheme="minorHAnsi"/>
          <w:lang w:val="en-US"/>
        </w:rPr>
        <w:t>ed</w:t>
      </w:r>
      <w:r w:rsidRPr="00534E88">
        <w:rPr>
          <w:rFonts w:cstheme="minorHAnsi"/>
          <w:lang w:val="en-US"/>
        </w:rPr>
        <w:t xml:space="preserve"> </w:t>
      </w:r>
      <w:r>
        <w:rPr>
          <w:rFonts w:cstheme="minorHAnsi"/>
          <w:lang w:val="en-US"/>
        </w:rPr>
        <w:t xml:space="preserve">individual </w:t>
      </w:r>
      <w:r w:rsidRPr="00534E88">
        <w:rPr>
          <w:rFonts w:cstheme="minorHAnsi"/>
          <w:lang w:val="en-US"/>
        </w:rPr>
        <w:t xml:space="preserve">clinical variables and prediction models (both </w:t>
      </w:r>
      <w:r>
        <w:rPr>
          <w:rFonts w:cstheme="minorHAnsi"/>
          <w:lang w:val="en-US"/>
        </w:rPr>
        <w:t xml:space="preserve">hereafter </w:t>
      </w:r>
      <w:r w:rsidRPr="00534E88">
        <w:rPr>
          <w:rFonts w:cstheme="minorHAnsi"/>
          <w:lang w:val="en-US"/>
        </w:rPr>
        <w:t xml:space="preserve">referred to as “predictors”). These predictors have been categorized as reliable, moderately reliable, or not reliable. We based this </w:t>
      </w:r>
      <w:r w:rsidRPr="002B7EE7">
        <w:rPr>
          <w:rFonts w:cstheme="minorHAnsi"/>
          <w:lang w:val="en-US"/>
        </w:rPr>
        <w:t>categorization on the GRADE criteria supporting the use of the predictor in the context of counseling, as well as effect size. This categ</w:t>
      </w:r>
      <w:r w:rsidRPr="00534E88">
        <w:rPr>
          <w:rFonts w:cstheme="minorHAnsi"/>
          <w:lang w:val="en-US"/>
        </w:rPr>
        <w:t xml:space="preserve">orization </w:t>
      </w:r>
      <w:r>
        <w:rPr>
          <w:rFonts w:cstheme="minorHAnsi"/>
          <w:lang w:val="en-US"/>
        </w:rPr>
        <w:t>led to</w:t>
      </w:r>
      <w:r w:rsidRPr="00534E88">
        <w:rPr>
          <w:rFonts w:cstheme="minorHAnsi"/>
          <w:lang w:val="en-US"/>
        </w:rPr>
        <w:t xml:space="preserve"> the recommendation to either use or not use the predictor to formulate a prognosis, caveats to the use of the predictor, and suggested language during counseling (</w:t>
      </w:r>
      <w:r w:rsidR="007D3505">
        <w:rPr>
          <w:rFonts w:cstheme="minorHAnsi"/>
          <w:b/>
          <w:bCs/>
          <w:lang w:val="en-US"/>
        </w:rPr>
        <w:t>T</w:t>
      </w:r>
      <w:r w:rsidR="007E7679">
        <w:rPr>
          <w:rFonts w:cstheme="minorHAnsi"/>
          <w:b/>
          <w:bCs/>
          <w:lang w:val="en-US"/>
        </w:rPr>
        <w:t>able</w:t>
      </w:r>
      <w:r w:rsidRPr="00534E88">
        <w:rPr>
          <w:rFonts w:cstheme="minorHAnsi"/>
          <w:b/>
          <w:bCs/>
          <w:lang w:val="en-US"/>
        </w:rPr>
        <w:t xml:space="preserve"> </w:t>
      </w:r>
      <w:r>
        <w:rPr>
          <w:rFonts w:cstheme="minorHAnsi"/>
          <w:b/>
          <w:bCs/>
          <w:lang w:val="en-US"/>
        </w:rPr>
        <w:t>1</w:t>
      </w:r>
      <w:r w:rsidR="007E7679">
        <w:rPr>
          <w:rFonts w:cstheme="minorHAnsi"/>
          <w:b/>
          <w:bCs/>
          <w:lang w:val="en-US"/>
        </w:rPr>
        <w:t xml:space="preserve">, </w:t>
      </w:r>
      <w:r w:rsidR="00FE4215">
        <w:rPr>
          <w:rFonts w:cstheme="minorHAnsi"/>
          <w:lang w:val="en-US"/>
        </w:rPr>
        <w:t>at the end of this document</w:t>
      </w:r>
      <w:r w:rsidRPr="00534E88">
        <w:rPr>
          <w:rFonts w:cstheme="minorHAnsi"/>
          <w:lang w:val="en-US"/>
        </w:rPr>
        <w:t xml:space="preserve">). </w:t>
      </w:r>
    </w:p>
    <w:p w14:paraId="00CAC386" w14:textId="77777777" w:rsidR="00512103" w:rsidRDefault="00823BD6" w:rsidP="00823BD6">
      <w:pPr>
        <w:spacing w:line="480" w:lineRule="auto"/>
        <w:ind w:firstLine="708"/>
        <w:rPr>
          <w:rFonts w:cstheme="minorHAnsi"/>
          <w:lang w:val="en-US"/>
        </w:rPr>
      </w:pPr>
      <w:r w:rsidRPr="00534E88">
        <w:rPr>
          <w:rFonts w:cstheme="minorHAnsi"/>
          <w:lang w:val="en-US"/>
        </w:rPr>
        <w:t xml:space="preserve">A key distinction exists between a </w:t>
      </w:r>
      <w:r w:rsidRPr="00534E88">
        <w:rPr>
          <w:rFonts w:cstheme="minorHAnsi"/>
          <w:i/>
          <w:iCs/>
          <w:lang w:val="en-US"/>
        </w:rPr>
        <w:t>reliable</w:t>
      </w:r>
      <w:r w:rsidRPr="00534E88">
        <w:rPr>
          <w:rFonts w:cstheme="minorHAnsi"/>
          <w:lang w:val="en-US"/>
        </w:rPr>
        <w:t xml:space="preserve"> predictor of outcome in the context of counseling surrogates </w:t>
      </w:r>
      <w:r>
        <w:rPr>
          <w:rFonts w:cstheme="minorHAnsi"/>
          <w:lang w:val="en-US"/>
        </w:rPr>
        <w:t xml:space="preserve">of patients requiring </w:t>
      </w:r>
      <w:r w:rsidR="00FF0AD2">
        <w:rPr>
          <w:rFonts w:cstheme="minorHAnsi"/>
          <w:lang w:val="en-US"/>
        </w:rPr>
        <w:t>n</w:t>
      </w:r>
      <w:r>
        <w:rPr>
          <w:rFonts w:cstheme="minorHAnsi"/>
          <w:lang w:val="en-US"/>
        </w:rPr>
        <w:t xml:space="preserve">eurocritical care </w:t>
      </w:r>
      <w:r w:rsidRPr="00534E88">
        <w:rPr>
          <w:rFonts w:cstheme="minorHAnsi"/>
          <w:lang w:val="en-US"/>
        </w:rPr>
        <w:t xml:space="preserve">and an </w:t>
      </w:r>
      <w:r w:rsidRPr="00534E88">
        <w:rPr>
          <w:rFonts w:cstheme="minorHAnsi"/>
          <w:i/>
          <w:iCs/>
          <w:lang w:val="en-US"/>
        </w:rPr>
        <w:t>independent</w:t>
      </w:r>
      <w:r w:rsidRPr="00534E88">
        <w:rPr>
          <w:rFonts w:cstheme="minorHAnsi"/>
          <w:lang w:val="en-US"/>
        </w:rPr>
        <w:t xml:space="preserve"> predictor of outcome. An independent predictor fulfills one criterion</w:t>
      </w:r>
      <w:r w:rsidR="00FF0AD2">
        <w:rPr>
          <w:rFonts w:cstheme="minorHAnsi"/>
          <w:lang w:val="en-US"/>
        </w:rPr>
        <w:t>—</w:t>
      </w:r>
      <w:r w:rsidRPr="00534E88">
        <w:rPr>
          <w:rFonts w:cstheme="minorHAnsi"/>
          <w:lang w:val="en-US"/>
        </w:rPr>
        <w:t xml:space="preserve">a statistically significant association with the outcome of interest in an appropriately conducted multivariate analysis. In </w:t>
      </w:r>
      <w:r>
        <w:rPr>
          <w:rFonts w:cstheme="minorHAnsi"/>
          <w:lang w:val="en-US"/>
        </w:rPr>
        <w:t>clinical practice</w:t>
      </w:r>
      <w:r w:rsidR="00FF0AD2">
        <w:rPr>
          <w:rFonts w:cstheme="minorHAnsi"/>
          <w:lang w:val="en-US"/>
        </w:rPr>
        <w:t>,</w:t>
      </w:r>
      <w:r w:rsidRPr="00534E88">
        <w:rPr>
          <w:rFonts w:cstheme="minorHAnsi"/>
          <w:lang w:val="en-US"/>
        </w:rPr>
        <w:t xml:space="preserve"> independent predictors of outcome may be used in risk stratification, selection of patients for targeted treatment (such as chemotherapy regimens for cancer)</w:t>
      </w:r>
      <w:r w:rsidR="00FF0AD2">
        <w:rPr>
          <w:rFonts w:cstheme="minorHAnsi"/>
          <w:lang w:val="en-US"/>
        </w:rPr>
        <w:t>,</w:t>
      </w:r>
      <w:r w:rsidRPr="00534E88">
        <w:rPr>
          <w:rFonts w:cstheme="minorHAnsi"/>
          <w:lang w:val="en-US"/>
        </w:rPr>
        <w:t xml:space="preserve"> or as building blocks of clinical prediction models.</w:t>
      </w:r>
      <w:r w:rsidRPr="00534E88">
        <w:rPr>
          <w:rFonts w:cstheme="minorHAnsi"/>
        </w:rPr>
        <w:fldChar w:fldCharType="begin">
          <w:fldData xml:space="preserve">PEVuZE5vdGU+PENpdGU+PEF1dGhvcj5IZW1pbmd3YXk8L0F1dGhvcj48WWVhcj4yMDEzPC9ZZWFy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</w:fldData>
        </w:fldChar>
      </w:r>
      <w:r w:rsidR="007E7679">
        <w:rPr>
          <w:rFonts w:cstheme="minorHAnsi"/>
        </w:rPr>
        <w:instrText xml:space="preserve"> ADDIN EN.CITE </w:instrText>
      </w:r>
      <w:r w:rsidR="007E7679">
        <w:rPr>
          <w:rFonts w:cstheme="minorHAnsi"/>
        </w:rPr>
        <w:fldChar w:fldCharType="begin">
          <w:fldData xml:space="preserve">PEVuZE5vdGU+PENpdGU+PEF1dGhvcj5IZW1pbmd3YXk8L0F1dGhvcj48WWVhcj4yMDEzPC9ZZWFy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</w:fldData>
        </w:fldChar>
      </w:r>
      <w:r w:rsidR="007E7679">
        <w:rPr>
          <w:rFonts w:cstheme="minorHAnsi"/>
        </w:rPr>
        <w:instrText xml:space="preserve"> ADDIN EN.CITE.DATA </w:instrText>
      </w:r>
      <w:r w:rsidR="007E7679">
        <w:rPr>
          <w:rFonts w:cstheme="minorHAnsi"/>
        </w:rPr>
      </w:r>
      <w:r w:rsidR="007E7679">
        <w:rPr>
          <w:rFonts w:cstheme="minorHAnsi"/>
        </w:rPr>
        <w:fldChar w:fldCharType="end"/>
      </w:r>
      <w:r w:rsidRPr="00534E88">
        <w:rPr>
          <w:rFonts w:cstheme="minorHAnsi"/>
        </w:rPr>
      </w:r>
      <w:r w:rsidRPr="00534E88">
        <w:rPr>
          <w:rFonts w:cstheme="minorHAnsi"/>
        </w:rPr>
        <w:fldChar w:fldCharType="separate"/>
      </w:r>
      <w:r w:rsidR="007E7679" w:rsidRPr="007E7679">
        <w:rPr>
          <w:rFonts w:cstheme="minorHAnsi"/>
          <w:noProof/>
          <w:lang w:val="en-US"/>
        </w:rPr>
        <w:t>[1, 2]</w:t>
      </w:r>
      <w:r w:rsidRPr="00534E88">
        <w:rPr>
          <w:rFonts w:cstheme="minorHAnsi"/>
        </w:rPr>
        <w:fldChar w:fldCharType="end"/>
      </w:r>
      <w:r w:rsidRPr="00534E88">
        <w:rPr>
          <w:rFonts w:cstheme="minorHAnsi"/>
          <w:lang w:val="en-US"/>
        </w:rPr>
        <w:t xml:space="preserve"> A reliable predictor in the context of counseling </w:t>
      </w:r>
      <w:r>
        <w:rPr>
          <w:rFonts w:cstheme="minorHAnsi"/>
          <w:lang w:val="en-US"/>
        </w:rPr>
        <w:t>patients requiring neurocritical care or their family members</w:t>
      </w:r>
      <w:r w:rsidRPr="00534E88">
        <w:rPr>
          <w:rFonts w:cstheme="minorHAnsi"/>
          <w:lang w:val="en-US"/>
        </w:rPr>
        <w:t xml:space="preserve"> must be independent, but also fulfil other criteria as de</w:t>
      </w:r>
      <w:r>
        <w:rPr>
          <w:rFonts w:cstheme="minorHAnsi"/>
          <w:lang w:val="en-US"/>
        </w:rPr>
        <w:t>s</w:t>
      </w:r>
      <w:r w:rsidRPr="00534E88">
        <w:rPr>
          <w:rFonts w:cstheme="minorHAnsi"/>
          <w:lang w:val="en-US"/>
        </w:rPr>
        <w:t>cribed in the “Effect size (Predictor accuracy)” and “Evidence to Recommendation (EtoR)” sections.</w:t>
      </w:r>
    </w:p>
    <w:p w14:paraId="6A8CD94E" w14:textId="62706A81" w:rsidR="00823BD6" w:rsidRPr="00534E88" w:rsidRDefault="00512103" w:rsidP="00512103">
      <w:pPr>
        <w:spacing w:line="480" w:lineRule="auto"/>
        <w:ind w:firstLine="708"/>
        <w:rPr>
          <w:rFonts w:cstheme="minorHAnsi"/>
          <w:lang w:val="en-US"/>
        </w:rPr>
      </w:pPr>
      <w:r w:rsidRPr="00512103">
        <w:rPr>
          <w:rFonts w:cstheme="minorHAnsi"/>
          <w:b/>
          <w:bCs/>
          <w:lang w:val="en-US"/>
        </w:rPr>
        <w:t>Reliable</w:t>
      </w:r>
      <w:r w:rsidRPr="00512103">
        <w:rPr>
          <w:rFonts w:cstheme="minorHAnsi"/>
          <w:lang w:val="en-US"/>
        </w:rPr>
        <w:t xml:space="preserve"> predictors, for the purposes of these guidelines, may be used to formulate a prognosis when the appropriate clinical context is present in the absence of potential confounders. These are predictors with clear actionable thresholds or clinical/ radiographic definitions, and a low rate of error in prediction of poor outcomes and with at least moderate certainty in the body of evidence using GRADE criteria. When the prognosis is formulated </w:t>
      </w:r>
      <w:proofErr w:type="gramStart"/>
      <w:r w:rsidRPr="00512103">
        <w:rPr>
          <w:rFonts w:cstheme="minorHAnsi"/>
          <w:lang w:val="en-US"/>
        </w:rPr>
        <w:t>on the basis of</w:t>
      </w:r>
      <w:proofErr w:type="gramEnd"/>
      <w:r w:rsidRPr="00512103">
        <w:rPr>
          <w:rFonts w:cstheme="minorHAnsi"/>
          <w:lang w:val="en-US"/>
        </w:rPr>
        <w:t xml:space="preserve"> one or more reliable predictors the clinician may describe the outcome as “very likely” during counseling. Given the inherent limitations in </w:t>
      </w:r>
      <w:r w:rsidRPr="00512103">
        <w:rPr>
          <w:rFonts w:cstheme="minorHAnsi"/>
          <w:lang w:val="en-US"/>
        </w:rPr>
        <w:lastRenderedPageBreak/>
        <w:t xml:space="preserve">neuroprognostication research, the clinician must nevertheless acknowledge the presence of uncertainty- albeit low- in the prognosis. </w:t>
      </w:r>
      <w:r w:rsidRPr="00512103">
        <w:rPr>
          <w:rFonts w:cstheme="minorHAnsi"/>
          <w:b/>
          <w:bCs/>
          <w:lang w:val="en-US"/>
        </w:rPr>
        <w:t>Moderately reliable individual predictors</w:t>
      </w:r>
      <w:r w:rsidRPr="00512103">
        <w:rPr>
          <w:rFonts w:cstheme="minorHAnsi"/>
          <w:lang w:val="en-US"/>
        </w:rPr>
        <w:t xml:space="preserve"> may be used for prognostication only when additional reliable or moderately reliable predictors are present, in addition to the appropriate clinical context as specified above. These are also predictors with clear, actionable thresholds or clinical/ radiographic definitions, and a low rate of error in prediction of poor outcomes, but with lower certainty in the body of evidence using GRADE criteria, often a result of smaller studies that result in imprecision. When the prognosis is formulated </w:t>
      </w:r>
      <w:proofErr w:type="gramStart"/>
      <w:r w:rsidRPr="00512103">
        <w:rPr>
          <w:rFonts w:cstheme="minorHAnsi"/>
          <w:lang w:val="en-US"/>
        </w:rPr>
        <w:t>on the basis of</w:t>
      </w:r>
      <w:proofErr w:type="gramEnd"/>
      <w:r w:rsidRPr="00512103">
        <w:rPr>
          <w:rFonts w:cstheme="minorHAnsi"/>
          <w:lang w:val="en-US"/>
        </w:rPr>
        <w:t xml:space="preserve"> multiple moderately reliable predictors the clinician may describe the outcome as “likely” during counseling, but must acknowledge “substantial” uncertainty in the prognosis. </w:t>
      </w:r>
      <w:r w:rsidRPr="00512103">
        <w:rPr>
          <w:rFonts w:cstheme="minorHAnsi"/>
          <w:b/>
          <w:bCs/>
          <w:lang w:val="en-US"/>
        </w:rPr>
        <w:t>Moderately reliable clinical prediction models</w:t>
      </w:r>
      <w:r w:rsidRPr="00512103">
        <w:rPr>
          <w:rFonts w:cstheme="minorHAnsi"/>
          <w:lang w:val="en-US"/>
        </w:rPr>
        <w:t xml:space="preserve"> that generate predicted probabilities of outcomes, in contrast, may be used for prognostication during counseling in the absence of other reliable or moderately reliable predictors. However, it is recommended that the clinician describe the predicted probability of the outcome as “an objective estimate only, subject to considerable uncertainty”. While the panelists recognize that predictors that do not meet the criteria to be described as reliable or moderately reliable are often used by clinicians in formulating their subjective impressions of prognosis, they have nevertheless been deemed </w:t>
      </w:r>
      <w:r w:rsidRPr="00512103">
        <w:rPr>
          <w:rFonts w:cstheme="minorHAnsi"/>
          <w:b/>
          <w:bCs/>
          <w:lang w:val="en-US"/>
        </w:rPr>
        <w:t>not reliable</w:t>
      </w:r>
      <w:r w:rsidRPr="00512103">
        <w:rPr>
          <w:rFonts w:cstheme="minorHAnsi"/>
          <w:lang w:val="en-US"/>
        </w:rPr>
        <w:t xml:space="preserve"> for the purposes of these guidelines and cannot be formally recommended for prognostication on their own. Variables deemed not reliable however may be a component of reliable or moderately reliable prediction models.</w:t>
      </w:r>
      <w:r w:rsidR="00823BD6" w:rsidRPr="00534E88">
        <w:rPr>
          <w:rFonts w:cstheme="minorHAnsi"/>
          <w:lang w:val="en-US"/>
        </w:rPr>
        <w:t xml:space="preserve"> </w:t>
      </w:r>
    </w:p>
    <w:p w14:paraId="417D7DFF" w14:textId="16D49746" w:rsidR="00732414" w:rsidRPr="0007157E" w:rsidRDefault="00732414" w:rsidP="00534E88">
      <w:pPr>
        <w:spacing w:line="480" w:lineRule="auto"/>
        <w:rPr>
          <w:rFonts w:cstheme="minorHAnsi"/>
          <w:b/>
          <w:bCs/>
          <w:lang w:val="en-US"/>
        </w:rPr>
      </w:pPr>
      <w:r w:rsidRPr="00F07F42">
        <w:rPr>
          <w:rFonts w:cstheme="minorHAnsi"/>
          <w:b/>
          <w:bCs/>
          <w:lang w:val="en-US"/>
        </w:rPr>
        <w:t>Guideline panel</w:t>
      </w:r>
    </w:p>
    <w:p w14:paraId="065778CF" w14:textId="07FF46F4" w:rsidR="00732414" w:rsidRDefault="0007157E" w:rsidP="008D0771">
      <w:pPr>
        <w:spacing w:line="480" w:lineRule="auto"/>
        <w:rPr>
          <w:rFonts w:cstheme="minorHAnsi"/>
          <w:lang w:val="en-US"/>
        </w:rPr>
      </w:pPr>
      <w:r>
        <w:rPr>
          <w:bCs/>
          <w:lang w:val="en-US"/>
        </w:rPr>
        <w:t>The NCS and DGNI recruited 20 professionals in neurocritical care, nursing, and pharmacy to create a panel of experts for the neurocritical condition considered</w:t>
      </w:r>
      <w:r w:rsidR="00FF0AD2">
        <w:rPr>
          <w:bCs/>
          <w:lang w:val="en-US"/>
        </w:rPr>
        <w:t>;</w:t>
      </w:r>
      <w:r>
        <w:rPr>
          <w:bCs/>
          <w:lang w:val="en-US"/>
        </w:rPr>
        <w:t xml:space="preserve"> including a </w:t>
      </w:r>
      <w:r w:rsidRPr="0007157E">
        <w:rPr>
          <w:rFonts w:cstheme="minorHAnsi"/>
          <w:lang w:val="en-US"/>
        </w:rPr>
        <w:t>NCS-assigned GRADE methodologist</w:t>
      </w:r>
      <w:r>
        <w:rPr>
          <w:bCs/>
          <w:lang w:val="en-US"/>
        </w:rPr>
        <w:t xml:space="preserve"> in 2018. </w:t>
      </w:r>
      <w:r w:rsidR="00732414" w:rsidRPr="0007157E">
        <w:rPr>
          <w:rFonts w:cstheme="minorHAnsi"/>
          <w:lang w:val="en-US"/>
        </w:rPr>
        <w:t xml:space="preserve">The guideline panel consisted of two to four content experts who served as the primary authors for each disease, an affected patient or family member who served as the public representative, and the content experts of the other seven disease states which included the two chairs of the entire neuroprognostication guidelines. </w:t>
      </w:r>
      <w:r w:rsidR="00A61953">
        <w:rPr>
          <w:rFonts w:cstheme="minorHAnsi"/>
          <w:lang w:val="en-US"/>
        </w:rPr>
        <w:t>The inclusion of</w:t>
      </w:r>
      <w:r w:rsidR="00732414" w:rsidRPr="0007157E">
        <w:rPr>
          <w:rFonts w:cstheme="minorHAnsi"/>
          <w:lang w:val="en-US"/>
        </w:rPr>
        <w:t xml:space="preserve"> neurointensivists, neurosurgeons, advanced practice providers</w:t>
      </w:r>
      <w:r w:rsidR="00521BA2">
        <w:rPr>
          <w:rFonts w:cstheme="minorHAnsi"/>
          <w:lang w:val="en-US"/>
        </w:rPr>
        <w:t xml:space="preserve"> (nurse practitioners)</w:t>
      </w:r>
      <w:r w:rsidR="00732414" w:rsidRPr="0007157E">
        <w:rPr>
          <w:rFonts w:cstheme="minorHAnsi"/>
          <w:lang w:val="en-US"/>
        </w:rPr>
        <w:t>, pharmacists</w:t>
      </w:r>
      <w:r w:rsidR="00FF0AD2">
        <w:rPr>
          <w:rFonts w:cstheme="minorHAnsi"/>
          <w:lang w:val="en-US"/>
        </w:rPr>
        <w:t>,</w:t>
      </w:r>
      <w:r w:rsidR="00732414" w:rsidRPr="0007157E">
        <w:rPr>
          <w:rFonts w:cstheme="minorHAnsi"/>
          <w:lang w:val="en-US"/>
        </w:rPr>
        <w:t xml:space="preserve"> and</w:t>
      </w:r>
      <w:r w:rsidR="00A61953">
        <w:rPr>
          <w:rFonts w:cstheme="minorHAnsi"/>
          <w:lang w:val="en-US"/>
        </w:rPr>
        <w:t xml:space="preserve"> </w:t>
      </w:r>
      <w:r w:rsidR="00732414" w:rsidRPr="0007157E">
        <w:rPr>
          <w:rFonts w:cstheme="minorHAnsi"/>
          <w:lang w:val="en-US"/>
        </w:rPr>
        <w:t>a neuropalliative care expert</w:t>
      </w:r>
      <w:r w:rsidR="00A61953">
        <w:rPr>
          <w:rFonts w:cstheme="minorHAnsi"/>
          <w:lang w:val="en-US"/>
        </w:rPr>
        <w:t xml:space="preserve"> </w:t>
      </w:r>
      <w:r w:rsidR="00FF0AD2">
        <w:rPr>
          <w:rFonts w:cstheme="minorHAnsi"/>
          <w:lang w:val="en-US"/>
        </w:rPr>
        <w:t>on</w:t>
      </w:r>
      <w:r w:rsidR="00A61953">
        <w:rPr>
          <w:rFonts w:cstheme="minorHAnsi"/>
          <w:lang w:val="en-US"/>
        </w:rPr>
        <w:t xml:space="preserve"> the guideline panel created a multidisciplinary collaboration</w:t>
      </w:r>
      <w:r w:rsidR="00732414" w:rsidRPr="0007157E">
        <w:rPr>
          <w:rFonts w:cstheme="minorHAnsi"/>
          <w:lang w:val="en-US"/>
        </w:rPr>
        <w:t xml:space="preserve">. A statistician-epidemiologist with expertise in </w:t>
      </w:r>
      <w:r w:rsidR="00732414" w:rsidRPr="0007157E">
        <w:rPr>
          <w:rFonts w:cstheme="minorHAnsi"/>
          <w:lang w:val="en-US"/>
        </w:rPr>
        <w:lastRenderedPageBreak/>
        <w:t>neuroprognostication and medical decision making served as a consultant. The panel convened in monthly video-conferences, with in-person meetings at two consecutive annual meetings of the NCS</w:t>
      </w:r>
      <w:r w:rsidR="00A61953">
        <w:rPr>
          <w:rFonts w:cstheme="minorHAnsi"/>
          <w:lang w:val="en-US"/>
        </w:rPr>
        <w:t xml:space="preserve"> and one annual meeting of DGNI</w:t>
      </w:r>
      <w:r w:rsidR="00732414" w:rsidRPr="0007157E">
        <w:rPr>
          <w:rFonts w:cstheme="minorHAnsi"/>
          <w:lang w:val="en-US"/>
        </w:rPr>
        <w:t xml:space="preserve">. Additional small group video and telephone meetings occurred ad hoc </w:t>
      </w:r>
      <w:r w:rsidR="00FF0AD2">
        <w:rPr>
          <w:rFonts w:cstheme="minorHAnsi"/>
          <w:lang w:val="en-US"/>
        </w:rPr>
        <w:t>among</w:t>
      </w:r>
      <w:r w:rsidR="00732414" w:rsidRPr="0007157E">
        <w:rPr>
          <w:rFonts w:cstheme="minorHAnsi"/>
          <w:lang w:val="en-US"/>
        </w:rPr>
        <w:t xml:space="preserve"> </w:t>
      </w:r>
      <w:r w:rsidR="00A61953">
        <w:rPr>
          <w:rFonts w:cstheme="minorHAnsi"/>
          <w:lang w:val="en-US"/>
        </w:rPr>
        <w:t>content</w:t>
      </w:r>
      <w:r w:rsidR="00732414" w:rsidRPr="0007157E">
        <w:rPr>
          <w:rFonts w:cstheme="minorHAnsi"/>
          <w:lang w:val="en-US"/>
        </w:rPr>
        <w:t xml:space="preserve"> experts, </w:t>
      </w:r>
      <w:r w:rsidR="00A61953">
        <w:rPr>
          <w:rFonts w:cstheme="minorHAnsi"/>
          <w:lang w:val="en-US"/>
        </w:rPr>
        <w:t xml:space="preserve">the chairs, the GRADE expert, </w:t>
      </w:r>
      <w:r w:rsidR="00732414" w:rsidRPr="0007157E">
        <w:rPr>
          <w:rFonts w:cstheme="minorHAnsi"/>
          <w:lang w:val="en-US"/>
        </w:rPr>
        <w:t>and the public representative. Recommendations were voted on using online survey software (Google Forms</w:t>
      </w:r>
      <w:r w:rsidR="00A61953">
        <w:rPr>
          <w:rFonts w:cstheme="minorHAnsi"/>
          <w:lang w:val="en-US"/>
        </w:rPr>
        <w:t xml:space="preserve">, Google </w:t>
      </w:r>
      <w:r w:rsidR="004E55F1">
        <w:rPr>
          <w:rFonts w:cstheme="minorHAnsi"/>
          <w:lang w:val="en-US"/>
        </w:rPr>
        <w:t>Inc., Mountain View, California, United States</w:t>
      </w:r>
      <w:r w:rsidR="00732414" w:rsidRPr="0007157E">
        <w:rPr>
          <w:rFonts w:cstheme="minorHAnsi"/>
          <w:lang w:val="en-US"/>
        </w:rPr>
        <w:t>). Panelists were required to disclose all potential conflicts of interest prior to participation. Potential conflicts were reviewed by the co-chairs of the panel, as well as the NCS guidelines committee, and managed in accordance with policies of NCS.</w:t>
      </w:r>
    </w:p>
    <w:p w14:paraId="268D41D5" w14:textId="77777777" w:rsidR="006E2A54" w:rsidRPr="0007157E" w:rsidRDefault="006E2A54" w:rsidP="0007157E">
      <w:pPr>
        <w:spacing w:line="480" w:lineRule="auto"/>
        <w:ind w:firstLine="708"/>
        <w:rPr>
          <w:rFonts w:cstheme="minorHAnsi"/>
          <w:lang w:val="en-US"/>
        </w:rPr>
      </w:pPr>
    </w:p>
    <w:p w14:paraId="0C30BEF3" w14:textId="64EA34D8" w:rsidR="00732414" w:rsidRPr="0007157E" w:rsidRDefault="00732414" w:rsidP="00534E88">
      <w:pPr>
        <w:spacing w:line="480" w:lineRule="auto"/>
        <w:rPr>
          <w:rFonts w:cstheme="minorHAnsi"/>
          <w:b/>
          <w:bCs/>
          <w:lang w:val="en-US"/>
        </w:rPr>
      </w:pPr>
      <w:r w:rsidRPr="0007157E">
        <w:rPr>
          <w:rFonts w:cstheme="minorHAnsi"/>
          <w:b/>
          <w:bCs/>
          <w:lang w:val="en-US"/>
        </w:rPr>
        <w:t>Selection of guideline questions</w:t>
      </w:r>
    </w:p>
    <w:p w14:paraId="6610BC12" w14:textId="10F18A3C" w:rsidR="003A5950" w:rsidRDefault="00732414" w:rsidP="008D0771">
      <w:pPr>
        <w:spacing w:before="100" w:beforeAutospacing="1" w:after="100" w:afterAutospacing="1" w:line="480" w:lineRule="auto"/>
        <w:rPr>
          <w:rFonts w:cstheme="minorHAnsi"/>
          <w:lang w:val="en-US"/>
        </w:rPr>
      </w:pPr>
      <w:r w:rsidRPr="007E50A2">
        <w:rPr>
          <w:rFonts w:cstheme="minorHAnsi"/>
          <w:lang w:val="en-US"/>
        </w:rPr>
        <w:t xml:space="preserve">An initial </w:t>
      </w:r>
      <w:r w:rsidR="007E50A2" w:rsidRPr="007E50A2">
        <w:rPr>
          <w:rFonts w:cstheme="minorHAnsi"/>
          <w:bCs/>
          <w:color w:val="202124"/>
          <w:shd w:val="clear" w:color="auto" w:fill="FFFFFF"/>
          <w:lang w:val="en-US"/>
        </w:rPr>
        <w:t>Patient, Intervention, Comparison, Outcome and Time</w:t>
      </w:r>
      <w:r w:rsidR="007E50A2" w:rsidRPr="007E50A2">
        <w:rPr>
          <w:rFonts w:cstheme="minorHAnsi"/>
          <w:lang w:val="en-US"/>
        </w:rPr>
        <w:t xml:space="preserve"> (PICOTS) </w:t>
      </w:r>
      <w:r w:rsidRPr="007E50A2">
        <w:rPr>
          <w:rFonts w:cstheme="minorHAnsi"/>
          <w:lang w:val="en-US"/>
        </w:rPr>
        <w:t>question</w:t>
      </w:r>
      <w:r w:rsidRPr="0007157E">
        <w:rPr>
          <w:rFonts w:cstheme="minorHAnsi"/>
          <w:lang w:val="en-US"/>
        </w:rPr>
        <w:t xml:space="preserve"> was framed to help</w:t>
      </w:r>
      <w:r w:rsidR="007E50A2">
        <w:rPr>
          <w:rFonts w:cstheme="minorHAnsi"/>
          <w:lang w:val="en-US"/>
        </w:rPr>
        <w:t xml:space="preserve"> identify candidate predictors:</w:t>
      </w:r>
      <w:r w:rsidRPr="0007157E">
        <w:rPr>
          <w:rFonts w:cstheme="minorHAnsi"/>
          <w:lang w:val="en-US"/>
        </w:rPr>
        <w:t xml:space="preserve"> </w:t>
      </w:r>
      <w:r w:rsidRPr="007E50A2">
        <w:rPr>
          <w:rFonts w:cstheme="minorHAnsi"/>
          <w:i/>
          <w:lang w:val="en-US"/>
        </w:rPr>
        <w:t xml:space="preserve">“What are the reliable predictors (prognostic factors, variables, tests, scores, and multivariable models), prior to and on admission as well as during the hospital course to predict patient outcome at different follow up time points following </w:t>
      </w:r>
      <w:r w:rsidR="007E50A2" w:rsidRPr="007E50A2">
        <w:rPr>
          <w:rFonts w:cstheme="minorHAnsi"/>
          <w:i/>
          <w:lang w:val="en-US"/>
        </w:rPr>
        <w:t>each specific disease</w:t>
      </w:r>
      <w:r w:rsidRPr="007E50A2">
        <w:rPr>
          <w:rFonts w:cstheme="minorHAnsi"/>
          <w:i/>
          <w:lang w:val="en-US"/>
        </w:rPr>
        <w:t>?”</w:t>
      </w:r>
      <w:r w:rsidRPr="0007157E">
        <w:rPr>
          <w:rFonts w:cstheme="minorHAnsi"/>
          <w:lang w:val="en-US"/>
        </w:rPr>
        <w:t xml:space="preserve">. </w:t>
      </w:r>
      <w:r w:rsidR="007E50A2">
        <w:rPr>
          <w:bCs/>
          <w:lang w:val="en-US"/>
        </w:rPr>
        <w:t>A professional librarian executed a comprehensive literature search</w:t>
      </w:r>
      <w:r w:rsidR="007E50A2" w:rsidRPr="0007157E">
        <w:rPr>
          <w:rFonts w:cstheme="minorHAnsi"/>
          <w:lang w:val="en-US"/>
        </w:rPr>
        <w:t xml:space="preserve"> </w:t>
      </w:r>
      <w:r w:rsidRPr="0007157E">
        <w:rPr>
          <w:rFonts w:cstheme="minorHAnsi"/>
          <w:lang w:val="en-US"/>
        </w:rPr>
        <w:t>using search criteria appropriate to this initial question. Since this search was expected to generate a large volume of articles, additional criteria were used to select studies with a focus on reliability of predictors and appropriate outcomes. These criteria are described below in the “systematic review methodology” section. The content experts reviewed the full-text articles that fulfilled selection criteria. Candidate predictors were then selected by these experts and confirmed by the panel, based on clinical relevance</w:t>
      </w:r>
      <w:r w:rsidR="003A5950">
        <w:rPr>
          <w:rFonts w:cstheme="minorHAnsi"/>
          <w:lang w:val="en-US"/>
        </w:rPr>
        <w:t>, availability in daily clinical practice</w:t>
      </w:r>
      <w:r w:rsidR="00FF0AD2">
        <w:rPr>
          <w:rFonts w:cstheme="minorHAnsi"/>
          <w:lang w:val="en-US"/>
        </w:rPr>
        <w:t>,</w:t>
      </w:r>
      <w:r w:rsidRPr="0007157E">
        <w:rPr>
          <w:rFonts w:cstheme="minorHAnsi"/>
          <w:lang w:val="en-US"/>
        </w:rPr>
        <w:t xml:space="preserve"> AND the presence of an appropriate body of literature. Candidate predictors and prediction models were considered “clinically relevant” if, in the subjective opinion of the content experts and guideline chairs</w:t>
      </w:r>
      <w:r w:rsidR="00FF0AD2">
        <w:rPr>
          <w:rFonts w:cstheme="minorHAnsi"/>
          <w:lang w:val="en-US"/>
        </w:rPr>
        <w:t>,</w:t>
      </w:r>
      <w:r w:rsidRPr="0007157E">
        <w:rPr>
          <w:rFonts w:cstheme="minorHAnsi"/>
          <w:lang w:val="en-US"/>
        </w:rPr>
        <w:t xml:space="preserve"> the predictor or components of</w:t>
      </w:r>
      <w:r w:rsidR="003A5950">
        <w:rPr>
          <w:rFonts w:cstheme="minorHAnsi"/>
          <w:lang w:val="en-US"/>
        </w:rPr>
        <w:t xml:space="preserve"> the prediction models were </w:t>
      </w:r>
      <w:r w:rsidRPr="0007157E">
        <w:rPr>
          <w:rFonts w:cstheme="minorHAnsi"/>
          <w:lang w:val="en-US"/>
        </w:rPr>
        <w:t>accessible to clinicians</w:t>
      </w:r>
      <w:r w:rsidR="00FF0AD2">
        <w:rPr>
          <w:rFonts w:cstheme="minorHAnsi"/>
          <w:lang w:val="en-US"/>
        </w:rPr>
        <w:t>;</w:t>
      </w:r>
      <w:r w:rsidRPr="0007157E">
        <w:rPr>
          <w:rFonts w:cstheme="minorHAnsi"/>
          <w:lang w:val="en-US"/>
        </w:rPr>
        <w:t xml:space="preserve"> although universal avail</w:t>
      </w:r>
      <w:r w:rsidR="003A5950">
        <w:rPr>
          <w:rFonts w:cstheme="minorHAnsi"/>
          <w:lang w:val="en-US"/>
        </w:rPr>
        <w:t xml:space="preserve">ability was not required AND </w:t>
      </w:r>
      <w:r w:rsidRPr="0007157E">
        <w:rPr>
          <w:rFonts w:cstheme="minorHAnsi"/>
          <w:lang w:val="en-US"/>
        </w:rPr>
        <w:t xml:space="preserve">likely to be considered by clinicians while formulating a </w:t>
      </w:r>
      <w:r w:rsidR="003A5950">
        <w:rPr>
          <w:rFonts w:cstheme="minorHAnsi"/>
          <w:lang w:val="en-US"/>
        </w:rPr>
        <w:t xml:space="preserve">prognosis. </w:t>
      </w:r>
      <w:r w:rsidRPr="0007157E">
        <w:rPr>
          <w:rFonts w:cstheme="minorHAnsi"/>
          <w:lang w:val="en-US"/>
        </w:rPr>
        <w:t xml:space="preserve">An appropriate body of literature was considered present for any </w:t>
      </w:r>
      <w:r w:rsidR="003A5950">
        <w:rPr>
          <w:rFonts w:cstheme="minorHAnsi"/>
          <w:lang w:val="en-US"/>
        </w:rPr>
        <w:t>predictor</w:t>
      </w:r>
      <w:r w:rsidRPr="0007157E">
        <w:rPr>
          <w:rFonts w:cstheme="minorHAnsi"/>
          <w:lang w:val="en-US"/>
        </w:rPr>
        <w:t xml:space="preserve"> that fulfilled two criteria</w:t>
      </w:r>
      <w:r w:rsidR="00FF0AD2">
        <w:rPr>
          <w:rFonts w:cstheme="minorHAnsi"/>
          <w:lang w:val="en-US"/>
        </w:rPr>
        <w:t>—</w:t>
      </w:r>
      <w:r w:rsidRPr="0007157E">
        <w:rPr>
          <w:rFonts w:cstheme="minorHAnsi"/>
          <w:lang w:val="en-US"/>
        </w:rPr>
        <w:t xml:space="preserve">1) </w:t>
      </w:r>
      <w:r w:rsidR="00FF0AD2">
        <w:rPr>
          <w:rFonts w:cstheme="minorHAnsi"/>
          <w:lang w:val="en-US"/>
        </w:rPr>
        <w:lastRenderedPageBreak/>
        <w:t>e</w:t>
      </w:r>
      <w:r w:rsidRPr="0007157E">
        <w:rPr>
          <w:rFonts w:cstheme="minorHAnsi"/>
          <w:lang w:val="en-US"/>
        </w:rPr>
        <w:t xml:space="preserve">valuated in at least two published studies that included a minimum of </w:t>
      </w:r>
      <w:r w:rsidR="003A5950">
        <w:rPr>
          <w:rFonts w:cstheme="minorHAnsi"/>
          <w:lang w:val="en-US"/>
        </w:rPr>
        <w:t>3</w:t>
      </w:r>
      <w:r w:rsidR="00BB22D7">
        <w:rPr>
          <w:rFonts w:cstheme="minorHAnsi"/>
          <w:lang w:val="en-US"/>
        </w:rPr>
        <w:t>5</w:t>
      </w:r>
      <w:r w:rsidR="003A5950">
        <w:rPr>
          <w:rFonts w:cstheme="minorHAnsi"/>
          <w:lang w:val="en-US"/>
        </w:rPr>
        <w:t>-</w:t>
      </w:r>
      <w:r w:rsidRPr="0007157E">
        <w:rPr>
          <w:rFonts w:cstheme="minorHAnsi"/>
          <w:lang w:val="en-US"/>
        </w:rPr>
        <w:t>100 subjects</w:t>
      </w:r>
      <w:r w:rsidR="003A5950">
        <w:rPr>
          <w:rFonts w:cstheme="minorHAnsi"/>
          <w:lang w:val="en-US"/>
        </w:rPr>
        <w:t xml:space="preserve"> (number of patients required was dependent on the disease state: 3</w:t>
      </w:r>
      <w:r w:rsidR="00BB22D7">
        <w:rPr>
          <w:rFonts w:cstheme="minorHAnsi"/>
          <w:lang w:val="en-US"/>
        </w:rPr>
        <w:t>5</w:t>
      </w:r>
      <w:r w:rsidR="003A5950">
        <w:rPr>
          <w:rFonts w:cstheme="minorHAnsi"/>
          <w:lang w:val="en-US"/>
        </w:rPr>
        <w:t xml:space="preserve"> for </w:t>
      </w:r>
      <w:r w:rsidR="00785238">
        <w:rPr>
          <w:rFonts w:cstheme="minorHAnsi"/>
          <w:lang w:val="en-US"/>
        </w:rPr>
        <w:t>Guillain</w:t>
      </w:r>
      <w:r w:rsidR="003A5950">
        <w:rPr>
          <w:rFonts w:cstheme="minorHAnsi"/>
          <w:lang w:val="en-US"/>
        </w:rPr>
        <w:t>-Barré Syndrome</w:t>
      </w:r>
      <w:r w:rsidR="00FF0AD2">
        <w:rPr>
          <w:rFonts w:cstheme="minorHAnsi"/>
          <w:lang w:val="en-US"/>
        </w:rPr>
        <w:t>;</w:t>
      </w:r>
      <w:r w:rsidR="003A5950">
        <w:rPr>
          <w:rFonts w:cstheme="minorHAnsi"/>
          <w:lang w:val="en-US"/>
        </w:rPr>
        <w:t xml:space="preserve"> 50 for spinal cord injury and status epilepticus</w:t>
      </w:r>
      <w:r w:rsidR="00FF0AD2">
        <w:rPr>
          <w:rFonts w:cstheme="minorHAnsi"/>
          <w:lang w:val="en-US"/>
        </w:rPr>
        <w:t>;</w:t>
      </w:r>
      <w:r w:rsidR="003A5950">
        <w:rPr>
          <w:rFonts w:cstheme="minorHAnsi"/>
          <w:lang w:val="en-US"/>
        </w:rPr>
        <w:t xml:space="preserve"> 100 for cardiac arrest</w:t>
      </w:r>
      <w:r w:rsidRPr="0007157E">
        <w:rPr>
          <w:rFonts w:cstheme="minorHAnsi"/>
          <w:lang w:val="en-US"/>
        </w:rPr>
        <w:t xml:space="preserve">, </w:t>
      </w:r>
      <w:r w:rsidR="003A5950">
        <w:rPr>
          <w:rFonts w:cstheme="minorHAnsi"/>
          <w:lang w:val="en-US"/>
        </w:rPr>
        <w:t xml:space="preserve">traumatic brain injury, acute ischemic stroke, intracerebral hemorrhage, and subarachnoid hemorrhage) </w:t>
      </w:r>
      <w:r w:rsidRPr="0007157E">
        <w:rPr>
          <w:rFonts w:cstheme="minorHAnsi"/>
          <w:lang w:val="en-US"/>
        </w:rPr>
        <w:t xml:space="preserve">and 2) </w:t>
      </w:r>
      <w:r w:rsidR="00FF0AD2">
        <w:rPr>
          <w:rFonts w:cstheme="minorHAnsi"/>
          <w:lang w:val="en-US"/>
        </w:rPr>
        <w:t>e</w:t>
      </w:r>
      <w:r w:rsidRPr="0007157E">
        <w:rPr>
          <w:rFonts w:cstheme="minorHAnsi"/>
          <w:lang w:val="en-US"/>
        </w:rPr>
        <w:t xml:space="preserve">stablished as an independent predictor in a multivariate analysis. An appropriate body of literature was considered present for clinical prediction models with at least one external validation study of at least </w:t>
      </w:r>
      <w:r w:rsidR="003A5950">
        <w:rPr>
          <w:rFonts w:cstheme="minorHAnsi"/>
          <w:lang w:val="en-US"/>
        </w:rPr>
        <w:t>3</w:t>
      </w:r>
      <w:r w:rsidR="00BB22D7">
        <w:rPr>
          <w:rFonts w:cstheme="minorHAnsi"/>
          <w:lang w:val="en-US"/>
        </w:rPr>
        <w:t>5</w:t>
      </w:r>
      <w:r w:rsidR="003A5950">
        <w:rPr>
          <w:rFonts w:cstheme="minorHAnsi"/>
          <w:lang w:val="en-US"/>
        </w:rPr>
        <w:t>-</w:t>
      </w:r>
      <w:r w:rsidRPr="0007157E">
        <w:rPr>
          <w:rFonts w:cstheme="minorHAnsi"/>
          <w:lang w:val="en-US"/>
        </w:rPr>
        <w:t>100 patients</w:t>
      </w:r>
      <w:r w:rsidR="003A5950">
        <w:rPr>
          <w:rFonts w:cstheme="minorHAnsi"/>
          <w:lang w:val="en-US"/>
        </w:rPr>
        <w:t xml:space="preserve"> (dependent on the disease state as above)</w:t>
      </w:r>
      <w:r w:rsidRPr="0007157E">
        <w:rPr>
          <w:rFonts w:cstheme="minorHAnsi"/>
          <w:lang w:val="en-US"/>
        </w:rPr>
        <w:t xml:space="preserve"> in addition to the initial report on development of the model (also with a minimum of </w:t>
      </w:r>
      <w:r w:rsidR="003A5950">
        <w:rPr>
          <w:rFonts w:cstheme="minorHAnsi"/>
          <w:lang w:val="en-US"/>
        </w:rPr>
        <w:t>3</w:t>
      </w:r>
      <w:r w:rsidR="00BB22D7">
        <w:rPr>
          <w:rFonts w:cstheme="minorHAnsi"/>
          <w:lang w:val="en-US"/>
        </w:rPr>
        <w:t>5</w:t>
      </w:r>
      <w:r w:rsidR="003A5950">
        <w:rPr>
          <w:rFonts w:cstheme="minorHAnsi"/>
          <w:lang w:val="en-US"/>
        </w:rPr>
        <w:t>-</w:t>
      </w:r>
      <w:r w:rsidRPr="0007157E">
        <w:rPr>
          <w:rFonts w:cstheme="minorHAnsi"/>
          <w:lang w:val="en-US"/>
        </w:rPr>
        <w:t>100 patients).</w:t>
      </w:r>
    </w:p>
    <w:p w14:paraId="70CC48B1" w14:textId="755C03F5" w:rsidR="00984E8A" w:rsidRPr="00984E8A" w:rsidRDefault="00984E8A" w:rsidP="00534E88">
      <w:pPr>
        <w:spacing w:before="100" w:beforeAutospacing="1" w:after="100" w:afterAutospacing="1" w:line="480" w:lineRule="auto"/>
        <w:rPr>
          <w:rFonts w:cstheme="minorHAnsi"/>
          <w:b/>
          <w:bCs/>
          <w:lang w:val="en-US"/>
        </w:rPr>
      </w:pPr>
      <w:r w:rsidRPr="00984E8A">
        <w:rPr>
          <w:rFonts w:cstheme="minorHAnsi"/>
          <w:b/>
          <w:bCs/>
          <w:lang w:val="en-US"/>
        </w:rPr>
        <w:t>Selection of outcomes</w:t>
      </w:r>
    </w:p>
    <w:p w14:paraId="4839D63E" w14:textId="60F5DB3A" w:rsidR="00197E1D" w:rsidRPr="00281CB6" w:rsidRDefault="00984E8A" w:rsidP="008D0771">
      <w:pPr>
        <w:spacing w:before="100" w:beforeAutospacing="1" w:after="100" w:afterAutospacing="1" w:line="480" w:lineRule="auto"/>
        <w:rPr>
          <w:rFonts w:cstheme="minorHAnsi"/>
          <w:lang w:val="en-US"/>
        </w:rPr>
      </w:pPr>
      <w:r w:rsidRPr="00984E8A">
        <w:rPr>
          <w:rFonts w:cstheme="minorHAnsi"/>
          <w:lang w:val="en-US"/>
        </w:rPr>
        <w:t xml:space="preserve">Outcomes relevant to the question </w:t>
      </w:r>
      <w:r w:rsidR="00BB22D7">
        <w:rPr>
          <w:rFonts w:cstheme="minorHAnsi"/>
          <w:lang w:val="en-US"/>
        </w:rPr>
        <w:t xml:space="preserve">and each disease </w:t>
      </w:r>
      <w:r w:rsidRPr="00984E8A">
        <w:rPr>
          <w:rFonts w:cstheme="minorHAnsi"/>
          <w:lang w:val="en-US"/>
        </w:rPr>
        <w:t xml:space="preserve">were identified by the panel, then rated by the primary content experts and the public representative. The outcomes </w:t>
      </w:r>
      <w:r w:rsidR="00BB22D7">
        <w:rPr>
          <w:rFonts w:cstheme="minorHAnsi"/>
          <w:lang w:val="en-US"/>
        </w:rPr>
        <w:t xml:space="preserve">were rated </w:t>
      </w:r>
      <w:r w:rsidRPr="00984E8A">
        <w:rPr>
          <w:rFonts w:cstheme="minorHAnsi"/>
          <w:lang w:val="en-US"/>
        </w:rPr>
        <w:t>using the GRADE 1-9 scale</w:t>
      </w:r>
      <w:r w:rsidR="00BB22D7">
        <w:rPr>
          <w:rFonts w:cstheme="minorHAnsi"/>
          <w:lang w:val="en-US"/>
        </w:rPr>
        <w:t xml:space="preserve"> and the score averaged. An outcome with an average score of greater than 6 was considered “critical” and included in the evaluation. The range of outcomes and the </w:t>
      </w:r>
      <w:proofErr w:type="gramStart"/>
      <w:r w:rsidR="00BB22D7">
        <w:rPr>
          <w:rFonts w:cstheme="minorHAnsi"/>
          <w:lang w:val="en-US"/>
        </w:rPr>
        <w:t>time period</w:t>
      </w:r>
      <w:proofErr w:type="gramEnd"/>
      <w:r w:rsidR="00BB22D7">
        <w:rPr>
          <w:rFonts w:cstheme="minorHAnsi"/>
          <w:lang w:val="en-US"/>
        </w:rPr>
        <w:t xml:space="preserve"> of outcome assessment was specific for each disease. The only outcomes included at the time of discharge from the acute care facility were mortality at discharge and beyond for most disease states and the need for mechanical ventilation with 14 days of onset of Guillain-Barré-Syndrome. </w:t>
      </w:r>
      <w:r w:rsidR="00281CB6">
        <w:rPr>
          <w:rFonts w:cstheme="minorHAnsi"/>
          <w:lang w:val="en-US"/>
        </w:rPr>
        <w:t xml:space="preserve">Other outcomes considered were required to be assessed after a disease-specific longer </w:t>
      </w:r>
      <w:proofErr w:type="gramStart"/>
      <w:r w:rsidR="00281CB6">
        <w:rPr>
          <w:rFonts w:cstheme="minorHAnsi"/>
          <w:lang w:val="en-US"/>
        </w:rPr>
        <w:t>time period</w:t>
      </w:r>
      <w:proofErr w:type="gramEnd"/>
      <w:r w:rsidR="00281CB6">
        <w:rPr>
          <w:rFonts w:cstheme="minorHAnsi"/>
          <w:lang w:val="en-US"/>
        </w:rPr>
        <w:t xml:space="preserve"> for recovery and beyond. </w:t>
      </w:r>
      <w:r w:rsidR="00197E1D" w:rsidRPr="00281CB6">
        <w:rPr>
          <w:lang w:val="en-US"/>
        </w:rPr>
        <w:t>While a longer duration from time of injury to outcome assessment is ideal to capture the entirety of functional recovery, this</w:t>
      </w:r>
      <w:r w:rsidR="002401D0">
        <w:rPr>
          <w:lang w:val="en-US"/>
        </w:rPr>
        <w:t xml:space="preserve"> prioritization</w:t>
      </w:r>
      <w:r w:rsidR="00197E1D" w:rsidRPr="00281CB6">
        <w:rPr>
          <w:lang w:val="en-US"/>
        </w:rPr>
        <w:t xml:space="preserve"> may result in loss to follow-up. Significant loss to follow-up in observational studies may result in a selection bias</w:t>
      </w:r>
      <w:r w:rsidR="002401D0">
        <w:rPr>
          <w:lang w:val="en-US"/>
        </w:rPr>
        <w:t>,</w:t>
      </w:r>
      <w:r w:rsidR="00197E1D" w:rsidRPr="00281CB6">
        <w:rPr>
          <w:lang w:val="en-US"/>
        </w:rPr>
        <w:t xml:space="preserve"> based on the patients most likely to respond or return to the index hospital for further medical care.</w:t>
      </w:r>
      <w:r w:rsidR="00197E1D" w:rsidRPr="00197E1D">
        <w:rPr>
          <w:lang w:val="en-US"/>
        </w:rPr>
        <w:t xml:space="preserve"> </w:t>
      </w:r>
    </w:p>
    <w:p w14:paraId="54BD63D2" w14:textId="77777777" w:rsidR="00197E1D" w:rsidRPr="00197E1D" w:rsidRDefault="00197E1D" w:rsidP="00534E88">
      <w:pPr>
        <w:spacing w:before="100" w:beforeAutospacing="1" w:after="100" w:afterAutospacing="1" w:line="480" w:lineRule="auto"/>
        <w:rPr>
          <w:rFonts w:cstheme="minorHAnsi"/>
          <w:b/>
          <w:bCs/>
          <w:lang w:val="en-US"/>
        </w:rPr>
      </w:pPr>
      <w:r w:rsidRPr="00197E1D">
        <w:rPr>
          <w:rFonts w:cstheme="minorHAnsi"/>
          <w:b/>
          <w:bCs/>
          <w:lang w:val="en-US"/>
        </w:rPr>
        <w:t>Systematic review methodology</w:t>
      </w:r>
    </w:p>
    <w:p w14:paraId="47631AA0" w14:textId="77777777" w:rsidR="002E3185" w:rsidRDefault="00DC65F0" w:rsidP="008D0771">
      <w:pPr>
        <w:spacing w:before="100" w:beforeAutospacing="1" w:after="100" w:afterAutospacing="1" w:line="480" w:lineRule="auto"/>
        <w:rPr>
          <w:rFonts w:cstheme="minorHAnsi"/>
          <w:lang w:val="en-US"/>
        </w:rPr>
      </w:pPr>
      <w:r w:rsidRPr="00281CB6">
        <w:rPr>
          <w:rFonts w:cstheme="minorHAnsi"/>
          <w:lang w:val="en-US"/>
        </w:rPr>
        <w:t xml:space="preserve">Since the literature on prognosis was expected to be heterogenous, a narrative systematic review was performed. As described earlier, the </w:t>
      </w:r>
      <w:r w:rsidR="002E3185">
        <w:rPr>
          <w:rFonts w:cstheme="minorHAnsi"/>
          <w:lang w:val="en-US"/>
        </w:rPr>
        <w:t xml:space="preserve">initial librarian search string </w:t>
      </w:r>
      <w:r w:rsidRPr="00281CB6">
        <w:rPr>
          <w:rFonts w:cstheme="minorHAnsi"/>
          <w:lang w:val="en-US"/>
        </w:rPr>
        <w:t xml:space="preserve">was appropriate to the question </w:t>
      </w:r>
      <w:r w:rsidRPr="002E3185">
        <w:rPr>
          <w:rFonts w:cstheme="minorHAnsi"/>
          <w:i/>
          <w:lang w:val="en-US"/>
        </w:rPr>
        <w:t xml:space="preserve">“What are the reliable predictors (prognostic factors, variables, tests, scores, and  multivariable  models), prior to </w:t>
      </w:r>
      <w:r w:rsidRPr="002E3185">
        <w:rPr>
          <w:rFonts w:cstheme="minorHAnsi"/>
          <w:i/>
          <w:lang w:val="en-US"/>
        </w:rPr>
        <w:lastRenderedPageBreak/>
        <w:t xml:space="preserve">and on admission as well as during the hospital course to predict  patient outcome at different follow up time points following </w:t>
      </w:r>
      <w:r w:rsidR="002E3185" w:rsidRPr="002E3185">
        <w:rPr>
          <w:rFonts w:cstheme="minorHAnsi"/>
          <w:i/>
          <w:lang w:val="en-US"/>
        </w:rPr>
        <w:t xml:space="preserve">each specific disease </w:t>
      </w:r>
      <w:r w:rsidRPr="002E3185">
        <w:rPr>
          <w:rFonts w:cstheme="minorHAnsi"/>
          <w:i/>
          <w:lang w:val="en-US"/>
        </w:rPr>
        <w:t>?”</w:t>
      </w:r>
      <w:r w:rsidRPr="00281CB6">
        <w:rPr>
          <w:rFonts w:cstheme="minorHAnsi"/>
          <w:lang w:val="en-US"/>
        </w:rPr>
        <w:t xml:space="preserve">, to identify candidate predictors. Screening of articles was completed using DistillerSR software (Evidence Partners, Ottawa, Canada). </w:t>
      </w:r>
    </w:p>
    <w:p w14:paraId="64C620FB" w14:textId="3C36B2BF" w:rsidR="00DC65F0" w:rsidRPr="00281CB6" w:rsidRDefault="002E3185" w:rsidP="002E3185">
      <w:pPr>
        <w:spacing w:before="100" w:beforeAutospacing="1" w:after="100" w:afterAutospacing="1" w:line="480" w:lineRule="auto"/>
        <w:ind w:firstLine="708"/>
        <w:rPr>
          <w:rFonts w:cstheme="minorHAnsi"/>
          <w:lang w:val="en-US"/>
        </w:rPr>
      </w:pPr>
      <w:r>
        <w:rPr>
          <w:rFonts w:cstheme="minorHAnsi"/>
          <w:lang w:val="en-US"/>
        </w:rPr>
        <w:t xml:space="preserve">Abstract </w:t>
      </w:r>
      <w:r w:rsidR="00DC65F0" w:rsidRPr="00281CB6">
        <w:rPr>
          <w:rFonts w:cstheme="minorHAnsi"/>
          <w:lang w:val="en-US"/>
        </w:rPr>
        <w:t>screening</w:t>
      </w:r>
      <w:r>
        <w:rPr>
          <w:rFonts w:cstheme="minorHAnsi"/>
          <w:lang w:val="en-US"/>
        </w:rPr>
        <w:t xml:space="preserve"> (Level I)</w:t>
      </w:r>
      <w:r w:rsidR="00DC65F0" w:rsidRPr="00281CB6">
        <w:rPr>
          <w:rFonts w:cstheme="minorHAnsi"/>
          <w:lang w:val="en-US"/>
        </w:rPr>
        <w:t xml:space="preserve"> was performed with the question “Does this study address prognostication in the focus disease (Yes/ No)?”. Pediatric (&lt;16 years) and animal studies were excluded, as were studies evaluating the efficacy of a therapeutic intervention. </w:t>
      </w:r>
    </w:p>
    <w:p w14:paraId="064863AA" w14:textId="1C34A02C" w:rsidR="002E3185" w:rsidRDefault="002E3185" w:rsidP="002E3185">
      <w:pPr>
        <w:spacing w:before="100" w:beforeAutospacing="1" w:after="100" w:afterAutospacing="1" w:line="480" w:lineRule="auto"/>
        <w:ind w:firstLine="708"/>
        <w:rPr>
          <w:rFonts w:cstheme="minorHAnsi"/>
          <w:lang w:val="en-US"/>
        </w:rPr>
      </w:pPr>
      <w:r>
        <w:rPr>
          <w:rFonts w:cstheme="minorHAnsi"/>
          <w:lang w:val="en-US"/>
        </w:rPr>
        <w:t xml:space="preserve">Full text </w:t>
      </w:r>
      <w:r w:rsidR="00DC65F0" w:rsidRPr="00281CB6">
        <w:rPr>
          <w:rFonts w:cstheme="minorHAnsi"/>
          <w:lang w:val="en-US"/>
        </w:rPr>
        <w:t>screening</w:t>
      </w:r>
      <w:r>
        <w:rPr>
          <w:rFonts w:cstheme="minorHAnsi"/>
          <w:lang w:val="en-US"/>
        </w:rPr>
        <w:t xml:space="preserve"> (Level II) </w:t>
      </w:r>
      <w:r w:rsidR="00DC65F0" w:rsidRPr="00281CB6">
        <w:rPr>
          <w:rFonts w:cstheme="minorHAnsi"/>
          <w:lang w:val="en-US"/>
        </w:rPr>
        <w:t>was performed with the following exclusion criteria</w:t>
      </w:r>
      <w:r>
        <w:rPr>
          <w:rFonts w:cstheme="minorHAnsi"/>
          <w:lang w:val="en-US"/>
        </w:rPr>
        <w:t>:</w:t>
      </w:r>
    </w:p>
    <w:p w14:paraId="07A955A4" w14:textId="5D66BC42" w:rsidR="002E3185" w:rsidRPr="008D0771" w:rsidRDefault="002E3185"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w:t>
      </w:r>
      <w:r w:rsidR="00DC65F0" w:rsidRPr="008D0771">
        <w:rPr>
          <w:rFonts w:cstheme="minorHAnsi"/>
          <w:sz w:val="22"/>
          <w:szCs w:val="22"/>
        </w:rPr>
        <w:t>ample size less than 3</w:t>
      </w:r>
      <w:r w:rsidRPr="008D0771">
        <w:rPr>
          <w:rFonts w:cstheme="minorHAnsi"/>
          <w:sz w:val="22"/>
          <w:szCs w:val="22"/>
        </w:rPr>
        <w:t>5</w:t>
      </w:r>
      <w:r w:rsidR="00DC65F0" w:rsidRPr="008D0771">
        <w:rPr>
          <w:rFonts w:cstheme="minorHAnsi"/>
          <w:sz w:val="22"/>
          <w:szCs w:val="22"/>
        </w:rPr>
        <w:t xml:space="preserve">/50/100 patients depending on the </w:t>
      </w:r>
      <w:r w:rsidRPr="008D0771">
        <w:rPr>
          <w:rFonts w:cstheme="minorHAnsi"/>
          <w:sz w:val="22"/>
          <w:szCs w:val="22"/>
        </w:rPr>
        <w:t>prevalence of the disease,</w:t>
      </w:r>
    </w:p>
    <w:p w14:paraId="495117C1" w14:textId="647C407B"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confined to a mild form the disease,</w:t>
      </w:r>
    </w:p>
    <w:p w14:paraId="526D2759" w14:textId="53D9527D" w:rsidR="00F51441" w:rsidRPr="008D0771" w:rsidRDefault="002E3185"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w:t>
      </w:r>
      <w:r w:rsidR="00DC65F0" w:rsidRPr="008D0771">
        <w:rPr>
          <w:rFonts w:cstheme="minorHAnsi"/>
          <w:sz w:val="22"/>
          <w:szCs w:val="22"/>
        </w:rPr>
        <w:t>tudies focused on a highly selected subgroup</w:t>
      </w:r>
      <w:r w:rsidR="00F51441" w:rsidRPr="008D0771">
        <w:rPr>
          <w:rFonts w:cstheme="minorHAnsi"/>
          <w:sz w:val="22"/>
          <w:szCs w:val="22"/>
        </w:rPr>
        <w:t xml:space="preserve"> </w:t>
      </w:r>
      <w:r w:rsidR="00DC65F0" w:rsidRPr="008D0771">
        <w:rPr>
          <w:rFonts w:cstheme="minorHAnsi"/>
          <w:sz w:val="22"/>
          <w:szCs w:val="22"/>
        </w:rPr>
        <w:t>(</w:t>
      </w:r>
      <w:r w:rsidRPr="008D0771">
        <w:rPr>
          <w:rFonts w:cstheme="minorHAnsi"/>
          <w:sz w:val="22"/>
          <w:szCs w:val="22"/>
        </w:rPr>
        <w:t>for example penetrating traumatic brain i</w:t>
      </w:r>
      <w:r w:rsidR="00F51441" w:rsidRPr="008D0771">
        <w:rPr>
          <w:rFonts w:cstheme="minorHAnsi"/>
          <w:sz w:val="22"/>
          <w:szCs w:val="22"/>
        </w:rPr>
        <w:t>njury, traumatic cardiac arrest, paraneoplastic Guillain-Barré-Syndrome, etc.),</w:t>
      </w:r>
    </w:p>
    <w:p w14:paraId="533E67B7" w14:textId="4C6E7E7E"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focused entirely on genetic polymorphism,</w:t>
      </w:r>
    </w:p>
    <w:p w14:paraId="45F7971E" w14:textId="30860D89"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that include multiple disease states and without an adequate sample size and separate analysis of the disease of interest,</w:t>
      </w:r>
    </w:p>
    <w:p w14:paraId="21C21969" w14:textId="7373EDC0"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of an intervention,</w:t>
      </w:r>
    </w:p>
    <w:p w14:paraId="4174D344" w14:textId="34C25923"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with neuroimaging not consistent with contemporary standards used to confirm the diagnosis,</w:t>
      </w:r>
    </w:p>
    <w:p w14:paraId="1EE260EE" w14:textId="4AAA092E" w:rsidR="00F51441" w:rsidRPr="008D0771" w:rsidRDefault="00F51441" w:rsidP="002E3185">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Studies that did not include one of the selected outcomes for the specific disease,</w:t>
      </w:r>
    </w:p>
    <w:p w14:paraId="1B80E662" w14:textId="5831C3FF" w:rsidR="00F51441" w:rsidRPr="008D0771" w:rsidRDefault="00F51441" w:rsidP="00F51441">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 xml:space="preserve">Studies of </w:t>
      </w:r>
      <w:r w:rsidR="00DC65F0" w:rsidRPr="008D0771">
        <w:rPr>
          <w:rFonts w:cstheme="minorHAnsi"/>
          <w:sz w:val="22"/>
          <w:szCs w:val="22"/>
        </w:rPr>
        <w:t xml:space="preserve">predictors not established as independent with </w:t>
      </w:r>
      <w:r w:rsidR="00A2131D" w:rsidRPr="008D0771">
        <w:rPr>
          <w:rFonts w:cstheme="minorHAnsi"/>
          <w:sz w:val="22"/>
          <w:szCs w:val="22"/>
        </w:rPr>
        <w:t xml:space="preserve">appropriate </w:t>
      </w:r>
      <w:r w:rsidR="00DC65F0" w:rsidRPr="008D0771">
        <w:rPr>
          <w:rFonts w:cstheme="minorHAnsi"/>
          <w:sz w:val="22"/>
          <w:szCs w:val="22"/>
        </w:rPr>
        <w:t>multivariate anal</w:t>
      </w:r>
      <w:r w:rsidRPr="008D0771">
        <w:rPr>
          <w:rFonts w:cstheme="minorHAnsi"/>
          <w:sz w:val="22"/>
          <w:szCs w:val="22"/>
        </w:rPr>
        <w:t xml:space="preserve">ysis, </w:t>
      </w:r>
    </w:p>
    <w:p w14:paraId="19BC0731" w14:textId="52E827B2" w:rsidR="00A2131D" w:rsidRPr="008D0771" w:rsidRDefault="00F51441" w:rsidP="00A2131D">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S</w:t>
      </w:r>
      <w:r w:rsidR="00DC65F0" w:rsidRPr="008D0771">
        <w:rPr>
          <w:rFonts w:cstheme="minorHAnsi"/>
          <w:sz w:val="22"/>
          <w:szCs w:val="22"/>
        </w:rPr>
        <w:t>tudies of clinical prediction models that did not report model discrimination</w:t>
      </w:r>
      <w:r w:rsidR="002401D0">
        <w:rPr>
          <w:rFonts w:cstheme="minorHAnsi"/>
          <w:sz w:val="22"/>
          <w:szCs w:val="22"/>
        </w:rPr>
        <w:t>,</w:t>
      </w:r>
      <w:r w:rsidR="00DC65F0" w:rsidRPr="008D0771">
        <w:rPr>
          <w:rFonts w:cstheme="minorHAnsi"/>
          <w:sz w:val="22"/>
          <w:szCs w:val="22"/>
        </w:rPr>
        <w:t xml:space="preserve">  </w:t>
      </w:r>
    </w:p>
    <w:p w14:paraId="1FEC3525" w14:textId="2243AFCD" w:rsidR="00DC65F0" w:rsidRPr="008D0771" w:rsidRDefault="00DC65F0" w:rsidP="00A2131D">
      <w:pPr>
        <w:pStyle w:val="ListParagraph"/>
        <w:numPr>
          <w:ilvl w:val="0"/>
          <w:numId w:val="4"/>
        </w:numPr>
        <w:spacing w:before="100" w:beforeAutospacing="1" w:after="100" w:afterAutospacing="1" w:line="480" w:lineRule="auto"/>
        <w:rPr>
          <w:rFonts w:cstheme="minorHAnsi"/>
          <w:sz w:val="22"/>
          <w:szCs w:val="22"/>
        </w:rPr>
      </w:pPr>
      <w:r w:rsidRPr="008D0771">
        <w:rPr>
          <w:rFonts w:cstheme="minorHAnsi"/>
          <w:sz w:val="22"/>
          <w:szCs w:val="22"/>
        </w:rPr>
        <w:t xml:space="preserve">Studies of laboratory biomarkers were included only if the biomarker was considered clinically relevant, and had been evaluated in more than one published study that met other criteria. </w:t>
      </w:r>
    </w:p>
    <w:p w14:paraId="0918EFB0" w14:textId="2FB0025D" w:rsidR="00F22CC5" w:rsidRDefault="00F51441" w:rsidP="008D0771">
      <w:pPr>
        <w:spacing w:before="100" w:beforeAutospacing="1" w:after="100" w:afterAutospacing="1" w:line="480" w:lineRule="auto"/>
        <w:ind w:firstLine="720"/>
        <w:rPr>
          <w:rFonts w:cstheme="minorHAnsi"/>
          <w:lang w:val="en-US"/>
        </w:rPr>
      </w:pPr>
      <w:r>
        <w:rPr>
          <w:rFonts w:cstheme="minorHAnsi"/>
          <w:lang w:val="en-US"/>
        </w:rPr>
        <w:t>D</w:t>
      </w:r>
      <w:r w:rsidR="00DC65F0" w:rsidRPr="00281CB6">
        <w:rPr>
          <w:rFonts w:cstheme="minorHAnsi"/>
          <w:lang w:val="en-US"/>
        </w:rPr>
        <w:t xml:space="preserve">ata extraction </w:t>
      </w:r>
      <w:r>
        <w:rPr>
          <w:rFonts w:cstheme="minorHAnsi"/>
          <w:lang w:val="en-US"/>
        </w:rPr>
        <w:t>and a</w:t>
      </w:r>
      <w:r w:rsidRPr="00281CB6">
        <w:rPr>
          <w:rFonts w:cstheme="minorHAnsi"/>
          <w:lang w:val="en-US"/>
        </w:rPr>
        <w:t xml:space="preserve">ssessment for risk of bias (RoB) and </w:t>
      </w:r>
      <w:r w:rsidR="00DC65F0" w:rsidRPr="00281CB6">
        <w:rPr>
          <w:rFonts w:cstheme="minorHAnsi"/>
          <w:lang w:val="en-US"/>
        </w:rPr>
        <w:t xml:space="preserve">was then performed only for studies that addressed the PICOTS question for each selected candidate predictor AND fulfilled full-text selection </w:t>
      </w:r>
      <w:r w:rsidR="00DC65F0" w:rsidRPr="00281CB6">
        <w:rPr>
          <w:rFonts w:cstheme="minorHAnsi"/>
          <w:lang w:val="en-US"/>
        </w:rPr>
        <w:lastRenderedPageBreak/>
        <w:t>criteria. The Quality in Prognostic Studies (QUIPS) RoB instrument was used to evaluate studies of individual prognostic variables,</w:t>
      </w:r>
      <w:r w:rsidR="00DC65F0" w:rsidRPr="00281CB6">
        <w:rPr>
          <w:rFonts w:cstheme="minorHAnsi"/>
        </w:rPr>
        <w:fldChar w:fldCharType="begin"/>
      </w:r>
      <w:r w:rsidR="007E7679">
        <w:rPr>
          <w:rFonts w:cstheme="minorHAnsi"/>
        </w:rPr>
        <w:instrText xml:space="preserve"> ADDIN EN.CITE &lt;EndNote&gt;&lt;Cite&gt;&lt;Author&gt;Hayden&lt;/Author&gt;&lt;Year&gt;2013&lt;/Year&gt;&lt;RecNum&gt;117&lt;/RecNum&gt;&lt;DisplayText&gt;[3]&lt;/DisplayText&gt;&lt;record&gt;&lt;rec-number&gt;117&lt;/rec-number&gt;&lt;foreign-keys&gt;&lt;key app="EN" db-id="wstp92wz7wtstnestz4p92fr52xwavz5a55f" timestamp="1639703530"&gt;117&lt;/key&gt;&lt;/foreign-keys&gt;&lt;ref-type name="Journal Article"&gt;17&lt;/ref-type&gt;&lt;contributors&gt;&lt;authors&gt;&lt;author&gt;Hayden, J. A.&lt;/author&gt;&lt;author&gt;van der Windt, D. A.&lt;/author&gt;&lt;author&gt;Cartwright, J. L.&lt;/author&gt;&lt;author&gt;Cote, P.&lt;/author&gt;&lt;author&gt;Bombardier, C.&lt;/author&gt;&lt;/authors&gt;&lt;/contributors&gt;&lt;auth-address&gt;Department of Community Health &amp;amp; Epidemiology, Dalhousie University, 5790 University Avenue, Room 222, Halifax, Nova Scotia B3H 1V7, Canada. jhayden@dal.ca&lt;/auth-address&gt;&lt;titles&gt;&lt;title&gt;Assessing bias in studies of prognostic factors&lt;/title&gt;&lt;secondary-title&gt;Ann Intern Med&lt;/secondary-title&gt;&lt;/titles&gt;&lt;periodical&gt;&lt;full-title&gt;Ann Intern Med&lt;/full-title&gt;&lt;/periodical&gt;&lt;pages&gt;280-6&lt;/pages&gt;&lt;volume&gt;158&lt;/volume&gt;&lt;number&gt;4&lt;/number&gt;&lt;edition&gt;2013/02/20&lt;/edition&gt;&lt;keywords&gt;&lt;keyword&gt;*Bias&lt;/keyword&gt;&lt;keyword&gt;Humans&lt;/keyword&gt;&lt;keyword&gt;Low Back Pain/therapy&lt;/keyword&gt;&lt;keyword&gt;*Prognosis&lt;/keyword&gt;&lt;keyword&gt;*Research Design&lt;/keyword&gt;&lt;keyword&gt;*Review Literature as Topic&lt;/keyword&gt;&lt;/keywords&gt;&lt;dates&gt;&lt;year&gt;2013&lt;/year&gt;&lt;pub-dates&gt;&lt;date&gt;Feb 19&lt;/date&gt;&lt;/pub-dates&gt;&lt;/dates&gt;&lt;isbn&gt;1539-3704 (Electronic)&amp;#xD;0003-4819 (Linking)&lt;/isbn&gt;&lt;accession-num&gt;23420236&lt;/accession-num&gt;&lt;urls&gt;&lt;related-urls&gt;&lt;url&gt;https://www.ncbi.nlm.nih.gov/pubmed/23420236&lt;/url&gt;&lt;/related-urls&gt;&lt;/urls&gt;&lt;electronic-resource-num&gt;10.7326/0003-4819-158-4-201302190-00009&lt;/electronic-resource-num&gt;&lt;/record&gt;&lt;/Cite&gt;&lt;/EndNote&gt;</w:instrText>
      </w:r>
      <w:r w:rsidR="00DC65F0" w:rsidRPr="00281CB6">
        <w:rPr>
          <w:rFonts w:cstheme="minorHAnsi"/>
        </w:rPr>
        <w:fldChar w:fldCharType="separate"/>
      </w:r>
      <w:r w:rsidR="007E7679">
        <w:rPr>
          <w:rFonts w:cstheme="minorHAnsi"/>
          <w:noProof/>
        </w:rPr>
        <w:t>[3]</w:t>
      </w:r>
      <w:r w:rsidR="00DC65F0" w:rsidRPr="00281CB6">
        <w:rPr>
          <w:rFonts w:cstheme="minorHAnsi"/>
        </w:rPr>
        <w:fldChar w:fldCharType="end"/>
      </w:r>
      <w:r w:rsidR="00DC65F0" w:rsidRPr="00281CB6">
        <w:rPr>
          <w:rFonts w:cstheme="minorHAnsi"/>
          <w:lang w:val="en-US"/>
        </w:rPr>
        <w:t xml:space="preserve"> and the Prediction model Risk Of Bias ASsessment Tool (PROBAST) instrument used to evaluate</w:t>
      </w:r>
      <w:r w:rsidR="00F22CC5">
        <w:rPr>
          <w:rFonts w:cstheme="minorHAnsi"/>
          <w:lang w:val="en-US"/>
        </w:rPr>
        <w:t xml:space="preserve"> </w:t>
      </w:r>
      <w:r w:rsidR="00DC65F0" w:rsidRPr="00281CB6">
        <w:rPr>
          <w:rFonts w:cstheme="minorHAnsi"/>
          <w:lang w:val="en-US"/>
        </w:rPr>
        <w:t>studies of clinical prediction models.</w:t>
      </w:r>
      <w:r w:rsidR="00DC65F0" w:rsidRPr="00281CB6">
        <w:rPr>
          <w:rFonts w:cstheme="minorHAnsi"/>
        </w:rPr>
        <w:fldChar w:fldCharType="begin">
          <w:fldData xml:space="preserve">PEVuZE5vdGU+PENpdGU+PEF1dGhvcj5Nb29uczwvQXV0aG9yPjxZZWFyPjIwMTk8L1llYXI+PFJl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</w:fldData>
        </w:fldChar>
      </w:r>
      <w:r w:rsidR="007E7679">
        <w:rPr>
          <w:rFonts w:cstheme="minorHAnsi"/>
        </w:rPr>
        <w:instrText xml:space="preserve"> ADDIN EN.CITE </w:instrText>
      </w:r>
      <w:r w:rsidR="007E7679">
        <w:rPr>
          <w:rFonts w:cstheme="minorHAnsi"/>
        </w:rPr>
        <w:fldChar w:fldCharType="begin">
          <w:fldData xml:space="preserve">PEVuZE5vdGU+PENpdGU+PEF1dGhvcj5Nb29uczwvQXV0aG9yPjxZZWFyPjIwMTk8L1llYXI+PFJl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</w:fldData>
        </w:fldChar>
      </w:r>
      <w:r w:rsidR="007E7679">
        <w:rPr>
          <w:rFonts w:cstheme="minorHAnsi"/>
        </w:rPr>
        <w:instrText xml:space="preserve"> ADDIN EN.CITE.DATA </w:instrText>
      </w:r>
      <w:r w:rsidR="007E7679">
        <w:rPr>
          <w:rFonts w:cstheme="minorHAnsi"/>
        </w:rPr>
      </w:r>
      <w:r w:rsidR="007E7679">
        <w:rPr>
          <w:rFonts w:cstheme="minorHAnsi"/>
        </w:rPr>
        <w:fldChar w:fldCharType="end"/>
      </w:r>
      <w:r w:rsidR="00DC65F0" w:rsidRPr="00281CB6">
        <w:rPr>
          <w:rFonts w:cstheme="minorHAnsi"/>
        </w:rPr>
      </w:r>
      <w:r w:rsidR="00DC65F0" w:rsidRPr="00281CB6">
        <w:rPr>
          <w:rFonts w:cstheme="minorHAnsi"/>
        </w:rPr>
        <w:fldChar w:fldCharType="separate"/>
      </w:r>
      <w:r w:rsidR="007E7679">
        <w:rPr>
          <w:rFonts w:cstheme="minorHAnsi"/>
          <w:noProof/>
        </w:rPr>
        <w:t>[4, 5]</w:t>
      </w:r>
      <w:r w:rsidR="00DC65F0" w:rsidRPr="00281CB6">
        <w:rPr>
          <w:rFonts w:cstheme="minorHAnsi"/>
        </w:rPr>
        <w:fldChar w:fldCharType="end"/>
      </w:r>
      <w:r w:rsidR="00DC65F0" w:rsidRPr="00281CB6">
        <w:rPr>
          <w:rFonts w:cstheme="minorHAnsi"/>
          <w:lang w:val="en-US"/>
        </w:rPr>
        <w:t xml:space="preserve"> In addition to the standard domains of these RoB instruments, studies were evaluated for the risk of bias related to the self-filling prophecy with an additional domain that included three questions- whether a treatment suspension policy was used in the study, whether clinicians were blinded to the predictor and whether the predictor was systematically utilized by clinicians for prognostication during the time period of the study. Following assessment of risk of bias in each domain, an overall risk of bias- </w:t>
      </w:r>
      <w:r w:rsidR="00DC65F0" w:rsidRPr="00F22CC5">
        <w:rPr>
          <w:rFonts w:cstheme="minorHAnsi"/>
          <w:i/>
          <w:lang w:val="en-US"/>
        </w:rPr>
        <w:t xml:space="preserve">high, </w:t>
      </w:r>
      <w:proofErr w:type="gramStart"/>
      <w:r w:rsidR="00DC65F0" w:rsidRPr="00F22CC5">
        <w:rPr>
          <w:rFonts w:cstheme="minorHAnsi"/>
          <w:i/>
          <w:lang w:val="en-US"/>
        </w:rPr>
        <w:t>moderate</w:t>
      </w:r>
      <w:proofErr w:type="gramEnd"/>
      <w:r w:rsidR="00DC65F0" w:rsidRPr="00F22CC5">
        <w:rPr>
          <w:rFonts w:cstheme="minorHAnsi"/>
          <w:i/>
          <w:lang w:val="en-US"/>
        </w:rPr>
        <w:t xml:space="preserve"> or low</w:t>
      </w:r>
      <w:r w:rsidR="00DC65F0" w:rsidRPr="00281CB6">
        <w:rPr>
          <w:rFonts w:cstheme="minorHAnsi"/>
          <w:lang w:val="en-US"/>
        </w:rPr>
        <w:t xml:space="preserve">- was assigned to each study. </w:t>
      </w:r>
    </w:p>
    <w:p w14:paraId="293E56A2" w14:textId="6E06C821" w:rsidR="00DC65F0" w:rsidRPr="00281CB6" w:rsidRDefault="00DC65F0" w:rsidP="00F22CC5">
      <w:pPr>
        <w:spacing w:before="100" w:beforeAutospacing="1" w:after="100" w:afterAutospacing="1" w:line="480" w:lineRule="auto"/>
        <w:ind w:firstLine="708"/>
        <w:rPr>
          <w:rFonts w:cstheme="minorHAnsi"/>
          <w:lang w:val="en-US"/>
        </w:rPr>
      </w:pPr>
      <w:r w:rsidRPr="00281CB6">
        <w:rPr>
          <w:rFonts w:cstheme="minorHAnsi"/>
          <w:lang w:val="en-US"/>
        </w:rPr>
        <w:t>Following</w:t>
      </w:r>
      <w:r w:rsidR="00F22CC5">
        <w:rPr>
          <w:rFonts w:cstheme="minorHAnsi"/>
          <w:lang w:val="en-US"/>
        </w:rPr>
        <w:t xml:space="preserve"> data extraction and</w:t>
      </w:r>
      <w:r w:rsidRPr="00281CB6">
        <w:rPr>
          <w:rFonts w:cstheme="minorHAnsi"/>
          <w:lang w:val="en-US"/>
        </w:rPr>
        <w:t xml:space="preserve"> assessment of risk of bias </w:t>
      </w:r>
      <w:r w:rsidR="00F22CC5">
        <w:rPr>
          <w:rFonts w:cstheme="minorHAnsi"/>
          <w:lang w:val="en-US"/>
        </w:rPr>
        <w:t>of</w:t>
      </w:r>
      <w:r w:rsidRPr="00281CB6">
        <w:rPr>
          <w:rFonts w:cstheme="minorHAnsi"/>
          <w:lang w:val="en-US"/>
        </w:rPr>
        <w:t xml:space="preserve"> individual studies, a GRADE evidence profile with summary of findings table was constructed. Statistical measures of effect size varied across studies and were recorded in narrative form in the summary of findings. Decisions to downgrade the body of evidence for </w:t>
      </w:r>
      <w:r w:rsidR="00F22CC5">
        <w:rPr>
          <w:rFonts w:cstheme="minorHAnsi"/>
          <w:lang w:val="en-US"/>
        </w:rPr>
        <w:t>risk</w:t>
      </w:r>
      <w:r w:rsidRPr="00281CB6">
        <w:rPr>
          <w:rFonts w:cstheme="minorHAnsi"/>
          <w:lang w:val="en-US"/>
        </w:rPr>
        <w:t xml:space="preserve"> were based on review of </w:t>
      </w:r>
      <w:r w:rsidR="00F22CC5">
        <w:rPr>
          <w:rFonts w:cstheme="minorHAnsi"/>
          <w:lang w:val="en-US"/>
        </w:rPr>
        <w:t>risk of bias</w:t>
      </w:r>
      <w:r w:rsidRPr="00281CB6">
        <w:rPr>
          <w:rFonts w:cstheme="minorHAnsi"/>
          <w:lang w:val="en-US"/>
        </w:rPr>
        <w:t xml:space="preserve"> across all individual studies for the PICOTS question. The body of evidence for a specific predictor was downgraded for inconsistency only when the results of studies with approximately equal risk of bias were in conflict, with some studies suggesting the predictor was reliable and other studies </w:t>
      </w:r>
      <w:r w:rsidR="00F22CC5">
        <w:rPr>
          <w:rFonts w:cstheme="minorHAnsi"/>
          <w:lang w:val="en-US"/>
        </w:rPr>
        <w:t xml:space="preserve">showing </w:t>
      </w:r>
      <w:r w:rsidRPr="00281CB6">
        <w:rPr>
          <w:rFonts w:cstheme="minorHAnsi"/>
          <w:lang w:val="en-US"/>
        </w:rPr>
        <w:t>a lack of statistical significance or a high rate of error. The evidence was downgra</w:t>
      </w:r>
      <w:r w:rsidR="00F22CC5">
        <w:rPr>
          <w:rFonts w:cstheme="minorHAnsi"/>
          <w:lang w:val="en-US"/>
        </w:rPr>
        <w:t xml:space="preserve">ded for indirectness when </w:t>
      </w:r>
      <w:r w:rsidRPr="00281CB6">
        <w:rPr>
          <w:rFonts w:cstheme="minorHAnsi"/>
          <w:lang w:val="en-US"/>
        </w:rPr>
        <w:t xml:space="preserve">population, predictor, outcome, or time of assessment varied significantly from the specifications of the PICOTS question. </w:t>
      </w:r>
      <w:r w:rsidR="00F22CC5">
        <w:rPr>
          <w:rFonts w:cstheme="minorHAnsi"/>
          <w:lang w:val="en-US"/>
        </w:rPr>
        <w:t xml:space="preserve">Downgrading of the evidence </w:t>
      </w:r>
      <w:r w:rsidRPr="00281CB6">
        <w:rPr>
          <w:rFonts w:cstheme="minorHAnsi"/>
          <w:lang w:val="en-US"/>
        </w:rPr>
        <w:t xml:space="preserve">for imprecision </w:t>
      </w:r>
      <w:r w:rsidR="00F22CC5">
        <w:rPr>
          <w:rFonts w:cstheme="minorHAnsi"/>
          <w:lang w:val="en-US"/>
        </w:rPr>
        <w:t xml:space="preserve">was applied </w:t>
      </w:r>
      <w:r w:rsidRPr="00281CB6">
        <w:rPr>
          <w:rFonts w:cstheme="minorHAnsi"/>
          <w:lang w:val="en-US"/>
        </w:rPr>
        <w:t xml:space="preserve">when the </w:t>
      </w:r>
      <w:r w:rsidR="003D3EEF">
        <w:rPr>
          <w:rFonts w:cstheme="minorHAnsi"/>
          <w:lang w:val="en-US"/>
        </w:rPr>
        <w:t>estimated</w:t>
      </w:r>
      <w:r w:rsidR="003D3EEF" w:rsidRPr="00281CB6">
        <w:rPr>
          <w:rFonts w:cstheme="minorHAnsi"/>
          <w:lang w:val="en-US"/>
        </w:rPr>
        <w:t xml:space="preserve"> </w:t>
      </w:r>
      <w:r w:rsidRPr="00281CB6">
        <w:rPr>
          <w:rFonts w:cstheme="minorHAnsi"/>
          <w:lang w:val="en-US"/>
        </w:rPr>
        <w:t xml:space="preserve">confidence intervals were thought to be excessive for the clinical question. Publication bias could not be meaningfully evaluated, and the GRADE reasons to upgrade were not thought to be applicable to this body of evidence. Judgments on </w:t>
      </w:r>
      <w:r w:rsidR="00F22CC5">
        <w:rPr>
          <w:rFonts w:cstheme="minorHAnsi"/>
          <w:lang w:val="en-US"/>
        </w:rPr>
        <w:t>risk of bias</w:t>
      </w:r>
      <w:r w:rsidRPr="00281CB6">
        <w:rPr>
          <w:rFonts w:cstheme="minorHAnsi"/>
          <w:lang w:val="en-US"/>
        </w:rPr>
        <w:t xml:space="preserve">, indirectness, </w:t>
      </w:r>
      <w:proofErr w:type="gramStart"/>
      <w:r w:rsidRPr="00281CB6">
        <w:rPr>
          <w:rFonts w:cstheme="minorHAnsi"/>
          <w:lang w:val="en-US"/>
        </w:rPr>
        <w:t>inconsistency</w:t>
      </w:r>
      <w:proofErr w:type="gramEnd"/>
      <w:r w:rsidRPr="00281CB6">
        <w:rPr>
          <w:rFonts w:cstheme="minorHAnsi"/>
          <w:lang w:val="en-US"/>
        </w:rPr>
        <w:t xml:space="preserve"> and imprecision were inherently subjective </w:t>
      </w:r>
      <w:r w:rsidR="00F22CC5">
        <w:rPr>
          <w:rFonts w:cstheme="minorHAnsi"/>
          <w:lang w:val="en-US"/>
        </w:rPr>
        <w:t>and</w:t>
      </w:r>
      <w:r w:rsidRPr="00281CB6">
        <w:rPr>
          <w:rFonts w:cstheme="minorHAnsi"/>
          <w:lang w:val="en-US"/>
        </w:rPr>
        <w:t xml:space="preserve"> focused on </w:t>
      </w:r>
      <w:r w:rsidR="00F22CC5">
        <w:rPr>
          <w:rFonts w:cstheme="minorHAnsi"/>
          <w:lang w:val="en-US"/>
        </w:rPr>
        <w:t>the respective</w:t>
      </w:r>
      <w:r w:rsidRPr="00281CB6">
        <w:rPr>
          <w:rFonts w:cstheme="minorHAnsi"/>
          <w:lang w:val="en-US"/>
        </w:rPr>
        <w:t xml:space="preserve"> prognostication question.</w:t>
      </w:r>
    </w:p>
    <w:p w14:paraId="0B591F9C" w14:textId="77777777" w:rsidR="00083715" w:rsidRPr="00281CB6" w:rsidRDefault="00083715" w:rsidP="00534E88">
      <w:pPr>
        <w:spacing w:before="100" w:beforeAutospacing="1" w:after="100" w:afterAutospacing="1" w:line="480" w:lineRule="auto"/>
        <w:rPr>
          <w:rFonts w:cstheme="minorHAnsi"/>
          <w:b/>
          <w:bCs/>
          <w:lang w:val="en-US"/>
        </w:rPr>
      </w:pPr>
      <w:r w:rsidRPr="00281CB6">
        <w:rPr>
          <w:rFonts w:cstheme="minorHAnsi"/>
          <w:b/>
          <w:bCs/>
          <w:lang w:val="en-US"/>
        </w:rPr>
        <w:t>Effect size (Predictor accuracy)</w:t>
      </w:r>
    </w:p>
    <w:p w14:paraId="4A1EE1FE" w14:textId="1C6D8F4D" w:rsidR="00197E1D" w:rsidRPr="00281CB6" w:rsidRDefault="00083715" w:rsidP="00976103">
      <w:pPr>
        <w:spacing w:line="480" w:lineRule="auto"/>
        <w:rPr>
          <w:lang w:val="en-US"/>
        </w:rPr>
      </w:pPr>
      <w:r w:rsidRPr="00281CB6">
        <w:rPr>
          <w:lang w:val="en-US"/>
        </w:rPr>
        <w:lastRenderedPageBreak/>
        <w:t xml:space="preserve">Predictor accuracy is often described using measures such as the odds ratio (OR), which measures the </w:t>
      </w:r>
      <w:r w:rsidRPr="00281CB6">
        <w:rPr>
          <w:i/>
          <w:iCs/>
          <w:lang w:val="en-US"/>
        </w:rPr>
        <w:t>relative</w:t>
      </w:r>
      <w:r w:rsidRPr="00281CB6">
        <w:rPr>
          <w:lang w:val="en-US"/>
        </w:rPr>
        <w:t xml:space="preserve"> probability of the outcome when the predictor is present</w:t>
      </w:r>
      <w:r w:rsidR="00281FBE">
        <w:rPr>
          <w:lang w:val="en-US"/>
        </w:rPr>
        <w:t>,</w:t>
      </w:r>
      <w:r w:rsidRPr="00281CB6">
        <w:rPr>
          <w:lang w:val="en-US"/>
        </w:rPr>
        <w:t xml:space="preserve"> compared to the probability of the outcome in the absence of the predictor. In the context of neuroprognostication, </w:t>
      </w:r>
      <w:r w:rsidR="003C16F0">
        <w:rPr>
          <w:lang w:val="en-US"/>
        </w:rPr>
        <w:t>predictors of good and poor outcomes are considered. H</w:t>
      </w:r>
      <w:r w:rsidRPr="00281CB6">
        <w:rPr>
          <w:lang w:val="en-US"/>
        </w:rPr>
        <w:t>owever, the absolute probability of the outcome when the predictor is present is also important. For example, an older patient may be statistically more likely to suffer a poor outcome than a younger patient, but a large proportion of older individuals may nevertheless have a good outcome.</w:t>
      </w:r>
      <w:r w:rsidRPr="00281CB6">
        <w:fldChar w:fldCharType="begin"/>
      </w:r>
      <w:r w:rsidR="007E7679">
        <w:instrText xml:space="preserve"> ADDIN EN.CITE &lt;EndNote&gt;&lt;Cite&gt;&lt;Author&gt;Gattellari&lt;/Author&gt;&lt;Year&gt;2012&lt;/Year&gt;&lt;RecNum&gt;272&lt;/RecNum&gt;&lt;DisplayText&gt;[6]&lt;/DisplayText&gt;&lt;record&gt;&lt;rec-number&gt;272&lt;/rec-number&gt;&lt;foreign-keys&gt;&lt;key app="EN" db-id="wstp92wz7wtstnestz4p92fr52xwavz5a55f" timestamp="1644458355"&gt;272&lt;/key&gt;&lt;/foreign-keys&gt;&lt;ref-type name="Journal Article"&gt;17&lt;/ref-type&gt;&lt;contributors&gt;&lt;authors&gt;&lt;author&gt;Gattellari, M.&lt;/author&gt;&lt;author&gt;Goumas, C.&lt;/author&gt;&lt;author&gt;Garden, F.&lt;/author&gt;&lt;author&gt;Worthington, J. M.&lt;/author&gt;&lt;/authors&gt;&lt;/contributors&gt;&lt;auth-address&gt;School of Public Health and Community Medicine, The University of New South Wales, Sydney, Australia. Melina.Gattellari@sswahs.nsw.gov.au&lt;/auth-address&gt;&lt;titles&gt;&lt;title&gt;Relative survival after transient ischaemic attack: results from the Program of Research Informing Stroke Management (PRISM) study&lt;/title&gt;&lt;secondary-title&gt;Stroke&lt;/secondary-title&gt;&lt;/titles&gt;&lt;periodical&gt;&lt;full-title&gt;Stroke&lt;/full-title&gt;&lt;/periodical&gt;&lt;pages&gt;79-85&lt;/pages&gt;&lt;volume&gt;43&lt;/volume&gt;&lt;number&gt;1&lt;/number&gt;&lt;edition&gt;2011/11/15&lt;/edition&gt;&lt;keywords&gt;&lt;keyword&gt;Aged&lt;/keyword&gt;&lt;keyword&gt;Aged, 80 and over&lt;/keyword&gt;&lt;keyword&gt;Australia/epidemiology&lt;/keyword&gt;&lt;keyword&gt;Female&lt;/keyword&gt;&lt;keyword&gt;Follow-Up Studies&lt;/keyword&gt;&lt;keyword&gt;Hospitalization&lt;/keyword&gt;&lt;keyword&gt;Humans&lt;/keyword&gt;&lt;keyword&gt;Ischemic Attack, Transient/*mortality&lt;/keyword&gt;&lt;keyword&gt;Male&lt;/keyword&gt;&lt;keyword&gt;Middle Aged&lt;/keyword&gt;&lt;keyword&gt;Prognosis&lt;/keyword&gt;&lt;keyword&gt;Risk Factors&lt;/keyword&gt;&lt;keyword&gt;Sex Factors&lt;/keyword&gt;&lt;keyword&gt;Stroke/*mortality&lt;/keyword&gt;&lt;keyword&gt;Survival Rate&lt;/keyword&gt;&lt;/keywords&gt;&lt;dates&gt;&lt;year&gt;2012&lt;/year&gt;&lt;pub-dates&gt;&lt;date&gt;Jan&lt;/date&gt;&lt;/pub-dates&gt;&lt;/dates&gt;&lt;isbn&gt;1524-4628 (Electronic)&amp;#xD;0039-2499 (Linking)&lt;/isbn&gt;&lt;accession-num&gt;22076008&lt;/accession-num&gt;&lt;urls&gt;&lt;related-urls&gt;&lt;url&gt;https://www.ncbi.nlm.nih.gov/pubmed/22076008&lt;/url&gt;&lt;/related-urls&gt;&lt;/urls&gt;&lt;electronic-resource-num&gt;10.1161/STROKEAHA.111.636233&lt;/electronic-resource-num&gt;&lt;/record&gt;&lt;/Cite&gt;&lt;/EndNote&gt;</w:instrText>
      </w:r>
      <w:r w:rsidRPr="00281CB6">
        <w:fldChar w:fldCharType="separate"/>
      </w:r>
      <w:r w:rsidR="007E7679">
        <w:rPr>
          <w:noProof/>
        </w:rPr>
        <w:t>[6]</w:t>
      </w:r>
      <w:r w:rsidRPr="00281CB6">
        <w:fldChar w:fldCharType="end"/>
      </w:r>
      <w:r w:rsidRPr="00281CB6">
        <w:rPr>
          <w:lang w:val="en-US"/>
        </w:rPr>
        <w:t xml:space="preserve"> While surrogates of </w:t>
      </w:r>
      <w:r w:rsidR="003C16F0">
        <w:rPr>
          <w:lang w:val="en-US"/>
        </w:rPr>
        <w:t>n</w:t>
      </w:r>
      <w:r w:rsidRPr="00281CB6">
        <w:rPr>
          <w:lang w:val="en-US"/>
        </w:rPr>
        <w:t>eurocritical care patients may be interested in factors that increase the probability of poor outcome, the absolute probability of a poor outcome is most</w:t>
      </w:r>
      <w:r w:rsidR="003C16F0">
        <w:rPr>
          <w:lang w:val="en-US"/>
        </w:rPr>
        <w:t xml:space="preserve"> likely used to make </w:t>
      </w:r>
      <w:r w:rsidRPr="00281CB6">
        <w:rPr>
          <w:lang w:val="en-US"/>
        </w:rPr>
        <w:t xml:space="preserve">decisions on escalation or withdrawal of treatment measures. </w:t>
      </w:r>
      <w:r w:rsidR="00197E1D" w:rsidRPr="00281CB6">
        <w:rPr>
          <w:lang w:val="en-US"/>
        </w:rPr>
        <w:t xml:space="preserve">The performance of a clinical prediction model is evaluated using its ability to discriminate binary (good vs poor) outcomes, with measures such as the c-statistic or area under the receiver operating characteristic curve (AUC). Another important measure is model calibration, or the ability to correctly specify the probability of an outcome. Model calibration is typically reported as a goodness of fit, often using the Hosmer-Lemeshow test, or with a calibration curve, </w:t>
      </w:r>
      <w:proofErr w:type="gramStart"/>
      <w:r w:rsidR="00197E1D" w:rsidRPr="00281CB6">
        <w:rPr>
          <w:lang w:val="en-US"/>
        </w:rPr>
        <w:t>slope</w:t>
      </w:r>
      <w:proofErr w:type="gramEnd"/>
      <w:r w:rsidR="00197E1D" w:rsidRPr="00281CB6">
        <w:rPr>
          <w:lang w:val="en-US"/>
        </w:rPr>
        <w:t xml:space="preserve"> or intercept.</w:t>
      </w:r>
      <w:r w:rsidR="00197E1D" w:rsidRPr="00281CB6">
        <w:fldChar w:fldCharType="begin">
          <w:fldData xml:space="preserve">PEVuZE5vdGU+PENpdGU+PEF1dGhvcj5WYW4gQ2Fsc3RlcjwvQXV0aG9yPjxZZWFyPjIwMTk8L1ll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</w:fldData>
        </w:fldChar>
      </w:r>
      <w:r w:rsidR="007E7679">
        <w:instrText xml:space="preserve"> ADDIN EN.CITE </w:instrText>
      </w:r>
      <w:r w:rsidR="007E7679">
        <w:fldChar w:fldCharType="begin">
          <w:fldData xml:space="preserve">PEVuZE5vdGU+PENpdGU+PEF1dGhvcj5WYW4gQ2Fsc3RlcjwvQXV0aG9yPjxZZWFyPjIwMTk8L1ll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</w:fldData>
        </w:fldChar>
      </w:r>
      <w:r w:rsidR="007E7679">
        <w:instrText xml:space="preserve"> ADDIN EN.CITE.DATA </w:instrText>
      </w:r>
      <w:r w:rsidR="007E7679">
        <w:fldChar w:fldCharType="end"/>
      </w:r>
      <w:r w:rsidR="00197E1D" w:rsidRPr="00281CB6">
        <w:fldChar w:fldCharType="separate"/>
      </w:r>
      <w:r w:rsidR="007E7679">
        <w:rPr>
          <w:noProof/>
        </w:rPr>
        <w:t>[7]</w:t>
      </w:r>
      <w:r w:rsidR="00197E1D" w:rsidRPr="00281CB6">
        <w:fldChar w:fldCharType="end"/>
      </w:r>
    </w:p>
    <w:p w14:paraId="6BBE51A4" w14:textId="54AE388A" w:rsidR="00197E1D" w:rsidRPr="00281CB6" w:rsidRDefault="00197E1D" w:rsidP="00534E88">
      <w:pPr>
        <w:spacing w:before="100" w:beforeAutospacing="1" w:after="100" w:afterAutospacing="1" w:line="480" w:lineRule="auto"/>
        <w:rPr>
          <w:rFonts w:cstheme="minorHAnsi"/>
          <w:b/>
          <w:bCs/>
          <w:lang w:val="en-US"/>
        </w:rPr>
      </w:pPr>
      <w:r w:rsidRPr="00281CB6">
        <w:rPr>
          <w:rFonts w:cstheme="minorHAnsi"/>
          <w:b/>
          <w:bCs/>
          <w:lang w:val="en-US"/>
        </w:rPr>
        <w:t>Ev</w:t>
      </w:r>
      <w:r w:rsidR="003C16F0">
        <w:rPr>
          <w:rFonts w:cstheme="minorHAnsi"/>
          <w:b/>
          <w:bCs/>
          <w:lang w:val="en-US"/>
        </w:rPr>
        <w:t xml:space="preserve">idence to recommendation </w:t>
      </w:r>
      <w:r w:rsidRPr="00281CB6">
        <w:rPr>
          <w:rFonts w:cstheme="minorHAnsi"/>
          <w:b/>
          <w:bCs/>
          <w:lang w:val="en-US"/>
        </w:rPr>
        <w:t>criteria</w:t>
      </w:r>
    </w:p>
    <w:p w14:paraId="1A4268EB" w14:textId="7844DD75" w:rsidR="00F82375" w:rsidRPr="00667FB4" w:rsidRDefault="00F82375" w:rsidP="008D0771">
      <w:pPr>
        <w:spacing w:before="100" w:beforeAutospacing="1" w:after="100" w:afterAutospacing="1" w:line="480" w:lineRule="auto"/>
        <w:rPr>
          <w:rFonts w:cstheme="minorHAnsi"/>
          <w:lang w:val="en-US"/>
        </w:rPr>
      </w:pPr>
      <w:r w:rsidRPr="00281CB6">
        <w:rPr>
          <w:rFonts w:cstheme="minorHAnsi"/>
          <w:lang w:val="en-US"/>
        </w:rPr>
        <w:t>The GRADE Evidence</w:t>
      </w:r>
      <w:r w:rsidR="00281FBE">
        <w:rPr>
          <w:rFonts w:cstheme="minorHAnsi"/>
          <w:lang w:val="en-US"/>
        </w:rPr>
        <w:t>-</w:t>
      </w:r>
      <w:r w:rsidRPr="00281CB6">
        <w:rPr>
          <w:rFonts w:cstheme="minorHAnsi"/>
          <w:lang w:val="en-US"/>
        </w:rPr>
        <w:t>to</w:t>
      </w:r>
      <w:r w:rsidR="00281FBE">
        <w:rPr>
          <w:rFonts w:cstheme="minorHAnsi"/>
          <w:lang w:val="en-US"/>
        </w:rPr>
        <w:t>-R</w:t>
      </w:r>
      <w:r w:rsidRPr="00281CB6">
        <w:rPr>
          <w:rFonts w:cstheme="minorHAnsi"/>
          <w:lang w:val="en-US"/>
        </w:rPr>
        <w:t xml:space="preserve">ecommendation criteria </w:t>
      </w:r>
      <w:r w:rsidR="003C16F0">
        <w:rPr>
          <w:rFonts w:cstheme="minorHAnsi"/>
          <w:lang w:val="en-US"/>
        </w:rPr>
        <w:t>encompassed</w:t>
      </w:r>
      <w:r w:rsidRPr="00281CB6">
        <w:rPr>
          <w:rFonts w:cstheme="minorHAnsi"/>
          <w:lang w:val="en-US"/>
        </w:rPr>
        <w:t xml:space="preserve"> the overall quality of evidence, balance between desirable and undesirable outcomes, confidence in values and preferences, and resource use. </w:t>
      </w:r>
      <w:r w:rsidR="00793A44">
        <w:rPr>
          <w:rFonts w:cstheme="minorHAnsi"/>
          <w:lang w:val="en-US"/>
        </w:rPr>
        <w:t>C</w:t>
      </w:r>
      <w:r w:rsidRPr="00281CB6">
        <w:rPr>
          <w:rFonts w:cstheme="minorHAnsi"/>
          <w:lang w:val="en-US"/>
        </w:rPr>
        <w:t>ommon principles</w:t>
      </w:r>
      <w:r w:rsidR="00793A44">
        <w:rPr>
          <w:rFonts w:cstheme="minorHAnsi"/>
          <w:lang w:val="en-US"/>
        </w:rPr>
        <w:t xml:space="preserve"> were </w:t>
      </w:r>
      <w:r w:rsidRPr="00281CB6">
        <w:rPr>
          <w:rFonts w:cstheme="minorHAnsi"/>
          <w:lang w:val="en-US"/>
        </w:rPr>
        <w:t xml:space="preserve">established </w:t>
      </w:r>
      <w:r w:rsidR="00793A44">
        <w:rPr>
          <w:rFonts w:cstheme="minorHAnsi"/>
          <w:lang w:val="en-US"/>
        </w:rPr>
        <w:t xml:space="preserve">for each disease state </w:t>
      </w:r>
      <w:r w:rsidRPr="00281CB6">
        <w:rPr>
          <w:rFonts w:cstheme="minorHAnsi"/>
          <w:lang w:val="en-US"/>
        </w:rPr>
        <w:t xml:space="preserve">by the guideline panel in consultation with the patient </w:t>
      </w:r>
      <w:r w:rsidR="003C16F0">
        <w:rPr>
          <w:rFonts w:cstheme="minorHAnsi"/>
          <w:lang w:val="en-US"/>
        </w:rPr>
        <w:t xml:space="preserve"> or family </w:t>
      </w:r>
      <w:r w:rsidRPr="00281CB6">
        <w:rPr>
          <w:rFonts w:cstheme="minorHAnsi"/>
          <w:lang w:val="en-US"/>
        </w:rPr>
        <w:t>representative, when considering these criteria</w:t>
      </w:r>
      <w:r w:rsidR="00793A44">
        <w:rPr>
          <w:rFonts w:cstheme="minorHAnsi"/>
          <w:lang w:val="en-US"/>
        </w:rPr>
        <w:t>.</w:t>
      </w:r>
    </w:p>
    <w:p w14:paraId="00BFD159" w14:textId="77777777" w:rsidR="00F82375" w:rsidRPr="00F82375" w:rsidRDefault="00F82375" w:rsidP="00534E88">
      <w:pPr>
        <w:spacing w:before="100" w:beforeAutospacing="1" w:after="100" w:afterAutospacing="1" w:line="480" w:lineRule="auto"/>
        <w:rPr>
          <w:rFonts w:cstheme="minorHAnsi"/>
          <w:b/>
          <w:bCs/>
          <w:lang w:val="en-US"/>
        </w:rPr>
      </w:pPr>
      <w:r w:rsidRPr="00F82375">
        <w:rPr>
          <w:rFonts w:cstheme="minorHAnsi"/>
          <w:b/>
          <w:bCs/>
          <w:lang w:val="en-US"/>
        </w:rPr>
        <w:t>Good practice statements</w:t>
      </w:r>
    </w:p>
    <w:p w14:paraId="53CD4A15" w14:textId="4A13DAB2" w:rsidR="008D6D59" w:rsidRPr="00667FB4" w:rsidRDefault="007D6AA1" w:rsidP="008D0771">
      <w:pPr>
        <w:spacing w:before="100" w:beforeAutospacing="1" w:after="100" w:afterAutospacing="1" w:line="480" w:lineRule="auto"/>
        <w:rPr>
          <w:rFonts w:cstheme="minorHAnsi"/>
          <w:color w:val="C00000"/>
          <w:lang w:val="en-US"/>
        </w:rPr>
      </w:pPr>
      <w:r>
        <w:rPr>
          <w:rFonts w:cstheme="minorHAnsi"/>
          <w:lang w:val="en-US"/>
        </w:rPr>
        <w:t>During literature review, the content experts recognized a lack of direct evidence to support the response to the PICOTS question for the specific disease,</w:t>
      </w:r>
      <w:r w:rsidRPr="007D6AA1">
        <w:rPr>
          <w:rFonts w:cstheme="minorHAnsi"/>
          <w:lang w:val="en-US"/>
        </w:rPr>
        <w:t xml:space="preserve"> </w:t>
      </w:r>
      <w:r w:rsidRPr="00F82375">
        <w:rPr>
          <w:rFonts w:cstheme="minorHAnsi"/>
          <w:lang w:val="en-US"/>
        </w:rPr>
        <w:t>often because of insufficient clinical equipoise</w:t>
      </w:r>
      <w:r>
        <w:rPr>
          <w:rFonts w:cstheme="minorHAnsi"/>
          <w:lang w:val="en-US"/>
        </w:rPr>
        <w:t>. Therefore, the panel decided to provide good clinical practice stateme</w:t>
      </w:r>
      <w:r w:rsidR="00281FBE">
        <w:rPr>
          <w:rFonts w:cstheme="minorHAnsi"/>
          <w:lang w:val="en-US"/>
        </w:rPr>
        <w:t>n</w:t>
      </w:r>
      <w:r>
        <w:rPr>
          <w:rFonts w:cstheme="minorHAnsi"/>
          <w:lang w:val="en-US"/>
        </w:rPr>
        <w:t xml:space="preserve">ts. </w:t>
      </w:r>
      <w:r w:rsidR="00F82375" w:rsidRPr="00944E9F">
        <w:rPr>
          <w:rFonts w:cstheme="minorHAnsi"/>
          <w:lang w:val="en-US"/>
        </w:rPr>
        <w:t>Explicit statement of these clinical practice principles was considered essential to provide context as well as appropriate guidance</w:t>
      </w:r>
      <w:r w:rsidR="00793A44">
        <w:rPr>
          <w:rFonts w:cstheme="minorHAnsi"/>
          <w:lang w:val="en-US"/>
        </w:rPr>
        <w:t>.</w:t>
      </w:r>
    </w:p>
    <w:p w14:paraId="1076037E" w14:textId="61125062" w:rsidR="00944E9F" w:rsidRPr="00944E9F" w:rsidRDefault="00944E9F" w:rsidP="00534E88">
      <w:pPr>
        <w:spacing w:line="480" w:lineRule="auto"/>
        <w:rPr>
          <w:rFonts w:cstheme="minorHAnsi"/>
          <w:lang w:val="en-US"/>
        </w:rPr>
      </w:pPr>
    </w:p>
    <w:p w14:paraId="17C1F63D" w14:textId="77777777" w:rsidR="00075939" w:rsidRPr="0026178A" w:rsidRDefault="00075939" w:rsidP="00075939">
      <w:pPr>
        <w:spacing w:line="360" w:lineRule="auto"/>
        <w:rPr>
          <w:rFonts w:cstheme="minorHAnsi"/>
          <w:b/>
          <w:bCs/>
          <w:lang w:val="en-US"/>
        </w:rPr>
      </w:pPr>
      <w:r w:rsidRPr="0026178A">
        <w:rPr>
          <w:rFonts w:cstheme="minorHAnsi"/>
          <w:b/>
          <w:bCs/>
          <w:lang w:val="en-US"/>
        </w:rPr>
        <w:t>REFERENCES:</w:t>
      </w:r>
    </w:p>
    <w:p w14:paraId="278893FF" w14:textId="77777777" w:rsidR="007E7679" w:rsidRPr="007E7679" w:rsidRDefault="0026178A" w:rsidP="007E7679">
      <w:pPr>
        <w:pStyle w:val="EndNoteBibliography"/>
        <w:spacing w:after="0"/>
        <w:ind w:left="720" w:hanging="720"/>
        <w:rPr>
          <w:noProof/>
        </w:rPr>
      </w:pPr>
      <w:r>
        <w:rPr>
          <w:b/>
        </w:rPr>
        <w:fldChar w:fldCharType="begin"/>
      </w:r>
      <w:r>
        <w:rPr>
          <w:b/>
        </w:rPr>
        <w:instrText xml:space="preserve"> ADDIN EN.REFLIST </w:instrText>
      </w:r>
      <w:r>
        <w:rPr>
          <w:b/>
        </w:rPr>
        <w:fldChar w:fldCharType="separate"/>
      </w:r>
      <w:r w:rsidR="007E7679" w:rsidRPr="007E7679">
        <w:rPr>
          <w:noProof/>
        </w:rPr>
        <w:t>1.</w:t>
      </w:r>
      <w:r w:rsidR="007E7679" w:rsidRPr="007E7679">
        <w:rPr>
          <w:noProof/>
        </w:rPr>
        <w:tab/>
        <w:t>Hemingway, H., Croft, P., Perel, P., et al.  Prognosis research strategy (PROGRESS) 1: a framework for researching clinical outcomes</w:t>
      </w:r>
      <w:r w:rsidR="007E7679" w:rsidRPr="007E7679">
        <w:rPr>
          <w:i/>
          <w:noProof/>
        </w:rPr>
        <w:t>.</w:t>
      </w:r>
      <w:r w:rsidR="007E7679" w:rsidRPr="007E7679">
        <w:rPr>
          <w:noProof/>
        </w:rPr>
        <w:t xml:space="preserve"> BMJ 2013;346:e5595.</w:t>
      </w:r>
    </w:p>
    <w:p w14:paraId="4C51EB59" w14:textId="77777777" w:rsidR="007E7679" w:rsidRPr="007E7679" w:rsidRDefault="007E7679" w:rsidP="007E7679">
      <w:pPr>
        <w:pStyle w:val="EndNoteBibliography"/>
        <w:spacing w:after="0"/>
        <w:ind w:left="720" w:hanging="720"/>
        <w:rPr>
          <w:noProof/>
        </w:rPr>
      </w:pPr>
      <w:r w:rsidRPr="007E7679">
        <w:rPr>
          <w:noProof/>
        </w:rPr>
        <w:t>2.</w:t>
      </w:r>
      <w:r w:rsidRPr="007E7679">
        <w:rPr>
          <w:noProof/>
        </w:rPr>
        <w:tab/>
        <w:t>Riley, R.D., Hayden, J.A., Steyerberg, E.W., et al.  Prognosis Research Strategy (PROGRESS) 2: prognostic factor research</w:t>
      </w:r>
      <w:r w:rsidRPr="007E7679">
        <w:rPr>
          <w:i/>
          <w:noProof/>
        </w:rPr>
        <w:t>.</w:t>
      </w:r>
      <w:r w:rsidRPr="007E7679">
        <w:rPr>
          <w:noProof/>
        </w:rPr>
        <w:t xml:space="preserve"> PLoS Med 2013;10(2):e1001380.</w:t>
      </w:r>
    </w:p>
    <w:p w14:paraId="139E301D" w14:textId="77777777" w:rsidR="007E7679" w:rsidRPr="007E7679" w:rsidRDefault="007E7679" w:rsidP="007E7679">
      <w:pPr>
        <w:pStyle w:val="EndNoteBibliography"/>
        <w:spacing w:after="0"/>
        <w:ind w:left="720" w:hanging="720"/>
        <w:rPr>
          <w:noProof/>
        </w:rPr>
      </w:pPr>
      <w:r w:rsidRPr="007E7679">
        <w:rPr>
          <w:noProof/>
        </w:rPr>
        <w:t>3.</w:t>
      </w:r>
      <w:r w:rsidRPr="007E7679">
        <w:rPr>
          <w:noProof/>
        </w:rPr>
        <w:tab/>
        <w:t>Hayden, J.A., van der Windt, D.A., Cartwright, J.L., Cote, P.Bombardier, C.  Assessing bias in studies of prognostic factors</w:t>
      </w:r>
      <w:r w:rsidRPr="007E7679">
        <w:rPr>
          <w:i/>
          <w:noProof/>
        </w:rPr>
        <w:t>.</w:t>
      </w:r>
      <w:r w:rsidRPr="007E7679">
        <w:rPr>
          <w:noProof/>
        </w:rPr>
        <w:t xml:space="preserve"> Ann Intern Med 2013;158(4):280-6.</w:t>
      </w:r>
    </w:p>
    <w:p w14:paraId="0139EA4F" w14:textId="77777777" w:rsidR="007E7679" w:rsidRPr="007E7679" w:rsidRDefault="007E7679" w:rsidP="007E7679">
      <w:pPr>
        <w:pStyle w:val="EndNoteBibliography"/>
        <w:spacing w:after="0"/>
        <w:ind w:left="720" w:hanging="720"/>
        <w:rPr>
          <w:noProof/>
        </w:rPr>
      </w:pPr>
      <w:r w:rsidRPr="007E7679">
        <w:rPr>
          <w:noProof/>
        </w:rPr>
        <w:t>4.</w:t>
      </w:r>
      <w:r w:rsidRPr="007E7679">
        <w:rPr>
          <w:noProof/>
        </w:rPr>
        <w:tab/>
        <w:t>Moons, K.G.M., Wolff, R.F., Riley, R.D., et al.  PROBAST: A Tool to Assess Risk of Bias and Applicability of Prediction Model Studies: Explanation and Elaboration</w:t>
      </w:r>
      <w:r w:rsidRPr="007E7679">
        <w:rPr>
          <w:i/>
          <w:noProof/>
        </w:rPr>
        <w:t>.</w:t>
      </w:r>
      <w:r w:rsidRPr="007E7679">
        <w:rPr>
          <w:noProof/>
        </w:rPr>
        <w:t xml:space="preserve"> Ann Intern Med 2019;170(1):W1-W33.</w:t>
      </w:r>
    </w:p>
    <w:p w14:paraId="425DBDDB" w14:textId="77777777" w:rsidR="007E7679" w:rsidRPr="007E7679" w:rsidRDefault="007E7679" w:rsidP="007E7679">
      <w:pPr>
        <w:pStyle w:val="EndNoteBibliography"/>
        <w:spacing w:after="0"/>
        <w:ind w:left="720" w:hanging="720"/>
        <w:rPr>
          <w:noProof/>
        </w:rPr>
      </w:pPr>
      <w:r w:rsidRPr="007E7679">
        <w:rPr>
          <w:noProof/>
        </w:rPr>
        <w:t>5.</w:t>
      </w:r>
      <w:r w:rsidRPr="007E7679">
        <w:rPr>
          <w:noProof/>
        </w:rPr>
        <w:tab/>
        <w:t>Wolff, R.F., Moons, K.G.M., Riley, R.D., et al.  PROBAST: A Tool to Assess the Risk of Bias and Applicability of Prediction Model Studies</w:t>
      </w:r>
      <w:r w:rsidRPr="007E7679">
        <w:rPr>
          <w:i/>
          <w:noProof/>
        </w:rPr>
        <w:t>.</w:t>
      </w:r>
      <w:r w:rsidRPr="007E7679">
        <w:rPr>
          <w:noProof/>
        </w:rPr>
        <w:t xml:space="preserve"> Ann Intern Med 2019;170(1):51-8.</w:t>
      </w:r>
    </w:p>
    <w:p w14:paraId="746FF640" w14:textId="77777777" w:rsidR="007E7679" w:rsidRPr="007E7679" w:rsidRDefault="007E7679" w:rsidP="007E7679">
      <w:pPr>
        <w:pStyle w:val="EndNoteBibliography"/>
        <w:spacing w:after="0"/>
        <w:ind w:left="720" w:hanging="720"/>
        <w:rPr>
          <w:noProof/>
        </w:rPr>
      </w:pPr>
      <w:r w:rsidRPr="007E7679">
        <w:rPr>
          <w:noProof/>
        </w:rPr>
        <w:t>6.</w:t>
      </w:r>
      <w:r w:rsidRPr="007E7679">
        <w:rPr>
          <w:noProof/>
        </w:rPr>
        <w:tab/>
        <w:t>Gattellari, M., Goumas, C., Garden, F.Worthington, J.M.  Relative survival after transient ischaemic attack: results from the Program of Research Informing Stroke Management (PRISM) study</w:t>
      </w:r>
      <w:r w:rsidRPr="007E7679">
        <w:rPr>
          <w:i/>
          <w:noProof/>
        </w:rPr>
        <w:t>.</w:t>
      </w:r>
      <w:r w:rsidRPr="007E7679">
        <w:rPr>
          <w:noProof/>
        </w:rPr>
        <w:t xml:space="preserve"> Stroke 2012;43(1):79-85.</w:t>
      </w:r>
    </w:p>
    <w:p w14:paraId="6A7FBDAE" w14:textId="77777777" w:rsidR="007E7679" w:rsidRPr="007E7679" w:rsidRDefault="007E7679" w:rsidP="007E7679">
      <w:pPr>
        <w:pStyle w:val="EndNoteBibliography"/>
        <w:ind w:left="720" w:hanging="720"/>
        <w:rPr>
          <w:noProof/>
        </w:rPr>
      </w:pPr>
      <w:r w:rsidRPr="007E7679">
        <w:rPr>
          <w:noProof/>
        </w:rPr>
        <w:t>7.</w:t>
      </w:r>
      <w:r w:rsidRPr="007E7679">
        <w:rPr>
          <w:noProof/>
        </w:rPr>
        <w:tab/>
        <w:t>Van Calster, B., McLernon, D.J., van Smeden, M., et al.  Calibration: the Achilles heel of predictive analytics</w:t>
      </w:r>
      <w:r w:rsidRPr="007E7679">
        <w:rPr>
          <w:i/>
          <w:noProof/>
        </w:rPr>
        <w:t>.</w:t>
      </w:r>
      <w:r w:rsidRPr="007E7679">
        <w:rPr>
          <w:noProof/>
        </w:rPr>
        <w:t xml:space="preserve"> BMC Med 2019;17(1):230.</w:t>
      </w:r>
    </w:p>
    <w:p w14:paraId="6BC2EF12" w14:textId="0646F05C" w:rsidR="004E61BF" w:rsidRDefault="0026178A" w:rsidP="00F33E92">
      <w:pPr>
        <w:spacing w:after="0" w:line="480" w:lineRule="auto"/>
        <w:rPr>
          <w:b/>
          <w:lang w:val="en-US"/>
        </w:rPr>
      </w:pPr>
      <w:r>
        <w:rPr>
          <w:b/>
          <w:lang w:val="en-US"/>
        </w:rPr>
        <w:fldChar w:fldCharType="end"/>
      </w:r>
    </w:p>
    <w:p w14:paraId="1C05AF44" w14:textId="77777777" w:rsidR="00FE4215" w:rsidRDefault="004E61BF" w:rsidP="008D0771">
      <w:pPr>
        <w:rPr>
          <w:b/>
          <w:lang w:val="en-US"/>
        </w:rPr>
        <w:sectPr w:rsidR="00FE4215" w:rsidSect="008D0771">
          <w:pgSz w:w="11906" w:h="16838"/>
          <w:pgMar w:top="1417" w:right="991" w:bottom="1134" w:left="1417" w:header="708" w:footer="708" w:gutter="0"/>
          <w:cols w:space="708"/>
          <w:docGrid w:linePitch="360"/>
        </w:sectPr>
      </w:pPr>
      <w:r>
        <w:rPr>
          <w:b/>
          <w:lang w:val="en-US"/>
        </w:rPr>
        <w:br w:type="page"/>
      </w:r>
    </w:p>
    <w:p w14:paraId="4FE44936" w14:textId="136BDBD7" w:rsidR="00E93EF5" w:rsidRDefault="00E93EF5" w:rsidP="00E93EF5">
      <w:pPr>
        <w:jc w:val="center"/>
      </w:pPr>
      <w:r>
        <w:lastRenderedPageBreak/>
        <w:t>Table 1: Reliable and moderately reliable predictors</w:t>
      </w:r>
    </w:p>
    <w:tbl>
      <w:tblPr>
        <w:tblW w:w="12911" w:type="dxa"/>
        <w:jc w:val="center"/>
        <w:tblCellMar>
          <w:left w:w="0" w:type="dxa"/>
          <w:right w:w="0" w:type="dxa"/>
        </w:tblCellMar>
        <w:tblLook w:val="04A0" w:firstRow="1" w:lastRow="0" w:firstColumn="1" w:lastColumn="0" w:noHBand="0" w:noVBand="1"/>
      </w:tblPr>
      <w:tblGrid>
        <w:gridCol w:w="1141"/>
        <w:gridCol w:w="1095"/>
        <w:gridCol w:w="1272"/>
        <w:gridCol w:w="1122"/>
        <w:gridCol w:w="1161"/>
        <w:gridCol w:w="986"/>
        <w:gridCol w:w="1043"/>
        <w:gridCol w:w="1080"/>
        <w:gridCol w:w="1350"/>
        <w:gridCol w:w="1260"/>
        <w:gridCol w:w="1401"/>
      </w:tblGrid>
      <w:tr w:rsidR="00E93EF5" w:rsidRPr="00E93EF5" w14:paraId="0D7CFABB" w14:textId="77777777" w:rsidTr="004D224F">
        <w:trPr>
          <w:trHeight w:val="228"/>
          <w:jc w:val="center"/>
        </w:trPr>
        <w:tc>
          <w:tcPr>
            <w:tcW w:w="114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03D984EC" w14:textId="77777777" w:rsidR="00E93EF5" w:rsidRPr="00E93EF5" w:rsidRDefault="00E93EF5" w:rsidP="00751FD4">
            <w:pPr>
              <w:jc w:val="center"/>
              <w:rPr>
                <w:rFonts w:cstheme="minorHAnsi"/>
                <w:sz w:val="20"/>
                <w:szCs w:val="20"/>
              </w:rPr>
            </w:pPr>
            <w:r w:rsidRPr="00E93EF5">
              <w:rPr>
                <w:rFonts w:cstheme="minorHAnsi"/>
                <w:sz w:val="20"/>
                <w:szCs w:val="20"/>
              </w:rPr>
              <w:t>Category of predictor/ model</w:t>
            </w:r>
          </w:p>
        </w:tc>
        <w:tc>
          <w:tcPr>
            <w:tcW w:w="5636"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4ACCFF37" w14:textId="77777777" w:rsidR="00E93EF5" w:rsidRPr="00E93EF5" w:rsidRDefault="00E93EF5" w:rsidP="00751FD4">
            <w:pPr>
              <w:jc w:val="center"/>
              <w:rPr>
                <w:rFonts w:cstheme="minorHAnsi"/>
                <w:sz w:val="20"/>
                <w:szCs w:val="20"/>
              </w:rPr>
            </w:pPr>
            <w:r w:rsidRPr="00E93EF5">
              <w:rPr>
                <w:rFonts w:cstheme="minorHAnsi"/>
                <w:sz w:val="20"/>
                <w:szCs w:val="20"/>
              </w:rPr>
              <w:t>GRADE criteria</w:t>
            </w:r>
          </w:p>
        </w:tc>
        <w:tc>
          <w:tcPr>
            <w:tcW w:w="104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567C4A3" w14:textId="77777777" w:rsidR="00E93EF5" w:rsidRPr="00E93EF5" w:rsidRDefault="00E93EF5" w:rsidP="00751FD4">
            <w:pPr>
              <w:jc w:val="center"/>
              <w:rPr>
                <w:rFonts w:cstheme="minorHAnsi"/>
                <w:sz w:val="20"/>
                <w:szCs w:val="20"/>
              </w:rPr>
            </w:pPr>
            <w:r w:rsidRPr="00E93EF5">
              <w:rPr>
                <w:rFonts w:cstheme="minorHAnsi"/>
                <w:sz w:val="20"/>
                <w:szCs w:val="20"/>
              </w:rPr>
              <w:t>Point estimates of accuracy in the body of evidence</w:t>
            </w:r>
          </w:p>
        </w:tc>
        <w:tc>
          <w:tcPr>
            <w:tcW w:w="1080" w:type="dxa"/>
            <w:vMerge w:val="restart"/>
            <w:tcBorders>
              <w:top w:val="single" w:sz="8" w:space="0" w:color="000000"/>
              <w:left w:val="single" w:sz="8" w:space="0" w:color="000000"/>
              <w:right w:val="single" w:sz="8" w:space="0" w:color="000000"/>
            </w:tcBorders>
          </w:tcPr>
          <w:p w14:paraId="68EF6B04" w14:textId="77777777" w:rsidR="00E93EF5" w:rsidRPr="00E93EF5" w:rsidRDefault="00E93EF5" w:rsidP="00751FD4">
            <w:pPr>
              <w:jc w:val="center"/>
              <w:rPr>
                <w:rFonts w:cstheme="minorHAnsi"/>
                <w:sz w:val="20"/>
                <w:szCs w:val="20"/>
              </w:rPr>
            </w:pPr>
            <w:r w:rsidRPr="00E93EF5">
              <w:rPr>
                <w:rFonts w:cstheme="minorHAnsi"/>
                <w:sz w:val="20"/>
                <w:szCs w:val="20"/>
              </w:rPr>
              <w:t>Use during counseling of patients or surrogates?</w:t>
            </w:r>
          </w:p>
          <w:p w14:paraId="43E9756F" w14:textId="77777777" w:rsidR="00E93EF5" w:rsidRPr="00E93EF5" w:rsidRDefault="00E93EF5" w:rsidP="00751FD4">
            <w:pPr>
              <w:jc w:val="center"/>
              <w:rPr>
                <w:rFonts w:cstheme="minorHAnsi"/>
                <w:sz w:val="20"/>
                <w:szCs w:val="20"/>
              </w:rPr>
            </w:pPr>
          </w:p>
        </w:tc>
        <w:tc>
          <w:tcPr>
            <w:tcW w:w="1350" w:type="dxa"/>
            <w:vMerge w:val="restart"/>
            <w:tcBorders>
              <w:top w:val="single" w:sz="8" w:space="0" w:color="000000"/>
              <w:left w:val="single" w:sz="8" w:space="0" w:color="000000"/>
              <w:right w:val="single" w:sz="4" w:space="0" w:color="auto"/>
            </w:tcBorders>
          </w:tcPr>
          <w:p w14:paraId="4DBC877B" w14:textId="7A8B6642" w:rsidR="00E93EF5" w:rsidRPr="00E93EF5" w:rsidRDefault="00E93EF5" w:rsidP="00E93EF5">
            <w:pPr>
              <w:jc w:val="center"/>
              <w:rPr>
                <w:rFonts w:cstheme="minorHAnsi"/>
                <w:sz w:val="20"/>
                <w:szCs w:val="20"/>
              </w:rPr>
            </w:pPr>
            <w:r w:rsidRPr="00E93EF5">
              <w:rPr>
                <w:rFonts w:cstheme="minorHAnsi"/>
                <w:sz w:val="20"/>
                <w:szCs w:val="20"/>
              </w:rPr>
              <w:t>Presence of additional specific reliable or moderately predictors required for use during counseling?</w:t>
            </w:r>
          </w:p>
        </w:tc>
        <w:tc>
          <w:tcPr>
            <w:tcW w:w="2661" w:type="dxa"/>
            <w:gridSpan w:val="2"/>
            <w:tcBorders>
              <w:top w:val="single" w:sz="4" w:space="0" w:color="auto"/>
              <w:left w:val="single" w:sz="4" w:space="0" w:color="auto"/>
              <w:bottom w:val="single" w:sz="4" w:space="0" w:color="auto"/>
              <w:right w:val="single" w:sz="4" w:space="0" w:color="auto"/>
            </w:tcBorders>
          </w:tcPr>
          <w:p w14:paraId="54A65E50" w14:textId="77777777" w:rsidR="00E93EF5" w:rsidRPr="00E93EF5" w:rsidRDefault="00E93EF5" w:rsidP="00751FD4">
            <w:pPr>
              <w:jc w:val="center"/>
              <w:rPr>
                <w:rFonts w:cstheme="minorHAnsi"/>
                <w:sz w:val="20"/>
                <w:szCs w:val="20"/>
              </w:rPr>
            </w:pPr>
            <w:r w:rsidRPr="00E93EF5">
              <w:rPr>
                <w:rFonts w:cstheme="minorHAnsi"/>
                <w:sz w:val="20"/>
                <w:szCs w:val="20"/>
              </w:rPr>
              <w:t>Suggested language during counseling of patients or surrogates</w:t>
            </w:r>
          </w:p>
        </w:tc>
      </w:tr>
      <w:tr w:rsidR="00E93EF5" w:rsidRPr="00E93EF5" w14:paraId="0FB12CB1" w14:textId="77777777" w:rsidTr="004D224F">
        <w:trPr>
          <w:trHeight w:val="1774"/>
          <w:jc w:val="center"/>
        </w:trPr>
        <w:tc>
          <w:tcPr>
            <w:tcW w:w="1141" w:type="dxa"/>
            <w:vMerge/>
            <w:tcBorders>
              <w:top w:val="single" w:sz="8" w:space="0" w:color="000000"/>
              <w:left w:val="single" w:sz="8" w:space="0" w:color="000000"/>
              <w:bottom w:val="single" w:sz="8" w:space="0" w:color="000000"/>
              <w:right w:val="single" w:sz="8" w:space="0" w:color="000000"/>
            </w:tcBorders>
            <w:vAlign w:val="center"/>
            <w:hideMark/>
          </w:tcPr>
          <w:p w14:paraId="0EAB9F58" w14:textId="77777777" w:rsidR="00E93EF5" w:rsidRPr="00E93EF5" w:rsidRDefault="00E93EF5" w:rsidP="00751FD4">
            <w:pPr>
              <w:rPr>
                <w:rFonts w:cstheme="minorHAnsi"/>
                <w:sz w:val="20"/>
                <w:szCs w:val="20"/>
              </w:rPr>
            </w:pPr>
          </w:p>
        </w:tc>
        <w:tc>
          <w:tcPr>
            <w:tcW w:w="1095"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690CAA6A" w14:textId="77777777" w:rsidR="00E93EF5" w:rsidRPr="00E93EF5" w:rsidRDefault="00E93EF5" w:rsidP="00751FD4">
            <w:pPr>
              <w:rPr>
                <w:rFonts w:cstheme="minorHAnsi"/>
                <w:sz w:val="20"/>
                <w:szCs w:val="20"/>
              </w:rPr>
            </w:pPr>
            <w:r w:rsidRPr="00E93EF5">
              <w:rPr>
                <w:rFonts w:cstheme="minorHAnsi"/>
                <w:sz w:val="20"/>
                <w:szCs w:val="20"/>
              </w:rPr>
              <w:t>Risk of Bias</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25F28E3C" w14:textId="77777777" w:rsidR="00E93EF5" w:rsidRPr="00E93EF5" w:rsidRDefault="00E93EF5" w:rsidP="00751FD4">
            <w:pPr>
              <w:rPr>
                <w:rFonts w:cstheme="minorHAnsi"/>
                <w:sz w:val="20"/>
                <w:szCs w:val="20"/>
              </w:rPr>
            </w:pPr>
            <w:r w:rsidRPr="00E93EF5">
              <w:rPr>
                <w:rFonts w:cstheme="minorHAnsi"/>
                <w:sz w:val="20"/>
                <w:szCs w:val="20"/>
              </w:rPr>
              <w:t>Inconsistency</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65475296" w14:textId="77777777" w:rsidR="00E93EF5" w:rsidRPr="00E93EF5" w:rsidRDefault="00E93EF5" w:rsidP="00751FD4">
            <w:pPr>
              <w:rPr>
                <w:rFonts w:cstheme="minorHAnsi"/>
                <w:sz w:val="20"/>
                <w:szCs w:val="20"/>
              </w:rPr>
            </w:pPr>
            <w:r w:rsidRPr="00E93EF5">
              <w:rPr>
                <w:rFonts w:cstheme="minorHAnsi"/>
                <w:sz w:val="20"/>
                <w:szCs w:val="20"/>
              </w:rPr>
              <w:t>Imprecision</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7C382692" w14:textId="77777777" w:rsidR="00E93EF5" w:rsidRPr="00E93EF5" w:rsidRDefault="00E93EF5" w:rsidP="00751FD4">
            <w:pPr>
              <w:rPr>
                <w:rFonts w:cstheme="minorHAnsi"/>
                <w:sz w:val="20"/>
                <w:szCs w:val="20"/>
              </w:rPr>
            </w:pPr>
            <w:r w:rsidRPr="00E93EF5">
              <w:rPr>
                <w:rFonts w:cstheme="minorHAnsi"/>
                <w:sz w:val="20"/>
                <w:szCs w:val="20"/>
              </w:rPr>
              <w:t>Indirectness</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112CA654" w14:textId="77777777" w:rsidR="00E93EF5" w:rsidRPr="00E93EF5" w:rsidRDefault="00E93EF5" w:rsidP="00751FD4">
            <w:pPr>
              <w:rPr>
                <w:rFonts w:cstheme="minorHAnsi"/>
                <w:sz w:val="20"/>
                <w:szCs w:val="20"/>
              </w:rPr>
            </w:pPr>
            <w:r w:rsidRPr="00E93EF5">
              <w:rPr>
                <w:rFonts w:cstheme="minorHAnsi"/>
                <w:sz w:val="20"/>
                <w:szCs w:val="20"/>
              </w:rPr>
              <w:t>Quality of Evidence- Overall</w:t>
            </w:r>
          </w:p>
        </w:tc>
        <w:tc>
          <w:tcPr>
            <w:tcW w:w="1043" w:type="dxa"/>
            <w:vMerge/>
            <w:tcBorders>
              <w:top w:val="single" w:sz="8" w:space="0" w:color="000000"/>
              <w:left w:val="single" w:sz="8" w:space="0" w:color="000000"/>
              <w:bottom w:val="single" w:sz="8" w:space="0" w:color="000000"/>
              <w:right w:val="single" w:sz="8" w:space="0" w:color="000000"/>
            </w:tcBorders>
            <w:vAlign w:val="center"/>
            <w:hideMark/>
          </w:tcPr>
          <w:p w14:paraId="78F59E95" w14:textId="77777777" w:rsidR="00E93EF5" w:rsidRPr="00E93EF5" w:rsidRDefault="00E93EF5" w:rsidP="00751FD4">
            <w:pPr>
              <w:rPr>
                <w:rFonts w:cstheme="minorHAnsi"/>
                <w:sz w:val="20"/>
                <w:szCs w:val="20"/>
              </w:rPr>
            </w:pPr>
          </w:p>
        </w:tc>
        <w:tc>
          <w:tcPr>
            <w:tcW w:w="1080" w:type="dxa"/>
            <w:vMerge/>
            <w:tcBorders>
              <w:left w:val="single" w:sz="8" w:space="0" w:color="000000"/>
              <w:bottom w:val="single" w:sz="8" w:space="0" w:color="000000"/>
              <w:right w:val="single" w:sz="8" w:space="0" w:color="000000"/>
            </w:tcBorders>
          </w:tcPr>
          <w:p w14:paraId="01D1B192" w14:textId="77777777" w:rsidR="00E93EF5" w:rsidRPr="00E93EF5" w:rsidRDefault="00E93EF5" w:rsidP="00751FD4">
            <w:pPr>
              <w:rPr>
                <w:rFonts w:cstheme="minorHAnsi"/>
                <w:sz w:val="20"/>
                <w:szCs w:val="20"/>
              </w:rPr>
            </w:pPr>
          </w:p>
        </w:tc>
        <w:tc>
          <w:tcPr>
            <w:tcW w:w="1350" w:type="dxa"/>
            <w:vMerge/>
            <w:tcBorders>
              <w:left w:val="single" w:sz="8" w:space="0" w:color="000000"/>
              <w:bottom w:val="single" w:sz="8" w:space="0" w:color="000000"/>
              <w:right w:val="single" w:sz="4" w:space="0" w:color="auto"/>
            </w:tcBorders>
          </w:tcPr>
          <w:p w14:paraId="6495CFD4" w14:textId="77777777" w:rsidR="00E93EF5" w:rsidRPr="00E93EF5" w:rsidRDefault="00E93EF5" w:rsidP="00751FD4">
            <w:pPr>
              <w:rPr>
                <w:rFonts w:cstheme="minorHAnsi"/>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252F525" w14:textId="77777777" w:rsidR="00E93EF5" w:rsidRPr="00E93EF5" w:rsidRDefault="00E93EF5" w:rsidP="00751FD4">
            <w:pPr>
              <w:jc w:val="center"/>
              <w:rPr>
                <w:rFonts w:cstheme="minorHAnsi"/>
                <w:sz w:val="20"/>
                <w:szCs w:val="20"/>
              </w:rPr>
            </w:pPr>
            <w:r w:rsidRPr="00E93EF5">
              <w:rPr>
                <w:rFonts w:cstheme="minorHAnsi"/>
                <w:sz w:val="20"/>
                <w:szCs w:val="20"/>
              </w:rPr>
              <w:t>Likelihood of outcome</w:t>
            </w:r>
          </w:p>
          <w:p w14:paraId="23938A53" w14:textId="77777777" w:rsidR="00E93EF5" w:rsidRPr="00E93EF5" w:rsidRDefault="00E93EF5" w:rsidP="00751FD4">
            <w:pPr>
              <w:jc w:val="center"/>
              <w:rPr>
                <w:rFonts w:cstheme="minorHAnsi"/>
                <w:sz w:val="20"/>
                <w:szCs w:val="20"/>
              </w:rPr>
            </w:pPr>
          </w:p>
        </w:tc>
        <w:tc>
          <w:tcPr>
            <w:tcW w:w="1401" w:type="dxa"/>
            <w:tcBorders>
              <w:top w:val="single" w:sz="4" w:space="0" w:color="auto"/>
              <w:left w:val="single" w:sz="4" w:space="0" w:color="auto"/>
              <w:bottom w:val="single" w:sz="4" w:space="0" w:color="auto"/>
              <w:right w:val="single" w:sz="4" w:space="0" w:color="auto"/>
            </w:tcBorders>
          </w:tcPr>
          <w:p w14:paraId="0117F8D1" w14:textId="50DEDB1A" w:rsidR="00E93EF5" w:rsidRPr="00E93EF5" w:rsidRDefault="00E93EF5" w:rsidP="00E93EF5">
            <w:pPr>
              <w:jc w:val="center"/>
              <w:rPr>
                <w:rFonts w:cstheme="minorHAnsi"/>
                <w:sz w:val="20"/>
                <w:szCs w:val="20"/>
              </w:rPr>
            </w:pPr>
            <w:r w:rsidRPr="00E93EF5">
              <w:rPr>
                <w:rFonts w:cstheme="minorHAnsi"/>
                <w:sz w:val="20"/>
                <w:szCs w:val="20"/>
              </w:rPr>
              <w:t>Disclaimer of Uncertainty during counseling</w:t>
            </w:r>
          </w:p>
        </w:tc>
      </w:tr>
      <w:tr w:rsidR="00E93EF5" w:rsidRPr="00E93EF5" w14:paraId="4E441EB3" w14:textId="77777777" w:rsidTr="004D224F">
        <w:trPr>
          <w:trHeight w:val="766"/>
          <w:jc w:val="center"/>
        </w:trPr>
        <w:tc>
          <w:tcPr>
            <w:tcW w:w="1141" w:type="dxa"/>
            <w:tcBorders>
              <w:top w:val="single" w:sz="8" w:space="0" w:color="000000"/>
              <w:left w:val="single" w:sz="8" w:space="0" w:color="000000"/>
              <w:bottom w:val="single" w:sz="8" w:space="0" w:color="000000"/>
              <w:right w:val="single" w:sz="8" w:space="0" w:color="000000"/>
            </w:tcBorders>
            <w:shd w:val="clear" w:color="auto" w:fill="92D050"/>
            <w:tcMar>
              <w:top w:w="15" w:type="dxa"/>
              <w:left w:w="86" w:type="dxa"/>
              <w:bottom w:w="0" w:type="dxa"/>
              <w:right w:w="86" w:type="dxa"/>
            </w:tcMar>
            <w:hideMark/>
          </w:tcPr>
          <w:p w14:paraId="1B0C2FB6" w14:textId="77777777" w:rsidR="00E93EF5" w:rsidRPr="00E93EF5" w:rsidRDefault="00E93EF5" w:rsidP="00751FD4">
            <w:pPr>
              <w:jc w:val="center"/>
              <w:rPr>
                <w:rFonts w:cstheme="minorHAnsi"/>
                <w:sz w:val="20"/>
                <w:szCs w:val="20"/>
              </w:rPr>
            </w:pPr>
            <w:r w:rsidRPr="00E93EF5">
              <w:rPr>
                <w:rFonts w:cstheme="minorHAnsi"/>
                <w:sz w:val="20"/>
                <w:szCs w:val="20"/>
              </w:rPr>
              <w:t>Reliable</w:t>
            </w:r>
          </w:p>
        </w:tc>
        <w:tc>
          <w:tcPr>
            <w:tcW w:w="1095"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D8F1AF1"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6096C20"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2285DE3F"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04ABC978"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4D5CA502" w14:textId="77777777" w:rsidR="00E93EF5" w:rsidRPr="00E93EF5" w:rsidRDefault="00E93EF5" w:rsidP="00751FD4">
            <w:pPr>
              <w:jc w:val="center"/>
              <w:rPr>
                <w:rFonts w:cstheme="minorHAnsi"/>
                <w:sz w:val="20"/>
                <w:szCs w:val="20"/>
              </w:rPr>
            </w:pPr>
            <w:r w:rsidRPr="00E93EF5">
              <w:rPr>
                <w:rFonts w:cstheme="minorHAnsi"/>
                <w:sz w:val="20"/>
                <w:szCs w:val="20"/>
              </w:rPr>
              <w:t>Moderate or High</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76332234" w14:textId="6BA59772" w:rsidR="00E93EF5" w:rsidRPr="00E93EF5" w:rsidRDefault="004D224F" w:rsidP="00751FD4">
            <w:pPr>
              <w:jc w:val="center"/>
              <w:rPr>
                <w:rFonts w:cstheme="minorHAnsi"/>
                <w:sz w:val="20"/>
                <w:szCs w:val="20"/>
              </w:rPr>
            </w:pPr>
            <w:r>
              <w:rPr>
                <w:rFonts w:cstheme="minorHAnsi"/>
                <w:sz w:val="20"/>
                <w:szCs w:val="20"/>
              </w:rPr>
              <w:t>High</w:t>
            </w:r>
          </w:p>
        </w:tc>
        <w:tc>
          <w:tcPr>
            <w:tcW w:w="1080" w:type="dxa"/>
            <w:tcBorders>
              <w:top w:val="single" w:sz="8" w:space="0" w:color="000000"/>
              <w:left w:val="single" w:sz="8" w:space="0" w:color="000000"/>
              <w:bottom w:val="single" w:sz="8" w:space="0" w:color="000000"/>
              <w:right w:val="single" w:sz="8" w:space="0" w:color="000000"/>
            </w:tcBorders>
          </w:tcPr>
          <w:p w14:paraId="22B414FC" w14:textId="77777777" w:rsidR="00E93EF5" w:rsidRPr="00E93EF5" w:rsidRDefault="00E93EF5" w:rsidP="00751FD4">
            <w:pPr>
              <w:jc w:val="center"/>
              <w:rPr>
                <w:rFonts w:cstheme="minorHAnsi"/>
                <w:sz w:val="20"/>
                <w:szCs w:val="20"/>
              </w:rPr>
            </w:pPr>
            <w:r w:rsidRPr="00E93EF5">
              <w:rPr>
                <w:rFonts w:cstheme="minorHAnsi"/>
                <w:sz w:val="20"/>
                <w:szCs w:val="20"/>
              </w:rPr>
              <w:t>Yes</w:t>
            </w:r>
          </w:p>
        </w:tc>
        <w:tc>
          <w:tcPr>
            <w:tcW w:w="1350" w:type="dxa"/>
            <w:tcBorders>
              <w:top w:val="single" w:sz="8" w:space="0" w:color="000000"/>
              <w:left w:val="single" w:sz="8" w:space="0" w:color="000000"/>
              <w:bottom w:val="single" w:sz="8" w:space="0" w:color="000000"/>
              <w:right w:val="single" w:sz="8" w:space="0" w:color="000000"/>
            </w:tcBorders>
          </w:tcPr>
          <w:p w14:paraId="7195D731" w14:textId="77777777" w:rsidR="00E93EF5" w:rsidRPr="00E93EF5" w:rsidRDefault="00E93EF5" w:rsidP="00751FD4">
            <w:pPr>
              <w:jc w:val="center"/>
              <w:rPr>
                <w:rFonts w:cstheme="minorHAnsi"/>
                <w:sz w:val="20"/>
                <w:szCs w:val="20"/>
              </w:rPr>
            </w:pPr>
            <w:r w:rsidRPr="00E93EF5">
              <w:rPr>
                <w:rFonts w:cstheme="minorHAnsi"/>
                <w:sz w:val="20"/>
                <w:szCs w:val="20"/>
              </w:rPr>
              <w:t>Preferred, but not absolutely required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14:paraId="1C6D763A"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“Very likely”</w:t>
            </w:r>
          </w:p>
        </w:tc>
        <w:tc>
          <w:tcPr>
            <w:tcW w:w="1401" w:type="dxa"/>
            <w:tcBorders>
              <w:top w:val="single" w:sz="8" w:space="0" w:color="000000"/>
              <w:left w:val="single" w:sz="8" w:space="0" w:color="000000"/>
              <w:bottom w:val="single" w:sz="8" w:space="0" w:color="000000"/>
              <w:right w:val="single" w:sz="8" w:space="0" w:color="000000"/>
            </w:tcBorders>
            <w:shd w:val="clear" w:color="auto" w:fill="auto"/>
          </w:tcPr>
          <w:p w14:paraId="2E5D59A0"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Present, but low</w:t>
            </w:r>
          </w:p>
        </w:tc>
      </w:tr>
      <w:tr w:rsidR="00E93EF5" w:rsidRPr="00E93EF5" w14:paraId="21C00B3E" w14:textId="77777777" w:rsidTr="004D224F">
        <w:trPr>
          <w:trHeight w:val="1141"/>
          <w:jc w:val="center"/>
        </w:trPr>
        <w:tc>
          <w:tcPr>
            <w:tcW w:w="1141" w:type="dxa"/>
            <w:tcBorders>
              <w:top w:val="single" w:sz="8" w:space="0" w:color="000000"/>
              <w:left w:val="single" w:sz="8" w:space="0" w:color="000000"/>
              <w:bottom w:val="single" w:sz="8" w:space="0" w:color="000000"/>
              <w:right w:val="single" w:sz="8" w:space="0" w:color="000000"/>
            </w:tcBorders>
            <w:shd w:val="clear" w:color="auto" w:fill="FFC000"/>
            <w:tcMar>
              <w:top w:w="15" w:type="dxa"/>
              <w:left w:w="86" w:type="dxa"/>
              <w:bottom w:w="0" w:type="dxa"/>
              <w:right w:w="86" w:type="dxa"/>
            </w:tcMar>
            <w:hideMark/>
          </w:tcPr>
          <w:p w14:paraId="265A8F1F" w14:textId="77777777" w:rsidR="00E93EF5" w:rsidRPr="00E93EF5" w:rsidRDefault="00E93EF5" w:rsidP="00751FD4">
            <w:pPr>
              <w:jc w:val="center"/>
              <w:rPr>
                <w:rFonts w:cstheme="minorHAnsi"/>
                <w:sz w:val="20"/>
                <w:szCs w:val="20"/>
              </w:rPr>
            </w:pPr>
            <w:r w:rsidRPr="00E93EF5">
              <w:rPr>
                <w:rFonts w:cstheme="minorHAnsi"/>
                <w:sz w:val="20"/>
                <w:szCs w:val="20"/>
              </w:rPr>
              <w:t>Moderately reliable individual predictors</w:t>
            </w:r>
          </w:p>
        </w:tc>
        <w:tc>
          <w:tcPr>
            <w:tcW w:w="1095"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7B3166C9"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14114A6"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28C1DFE0"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0B6575D"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5E424D18" w14:textId="77777777" w:rsidR="00E93EF5" w:rsidRPr="00E93EF5" w:rsidRDefault="00E93EF5" w:rsidP="00751FD4">
            <w:pPr>
              <w:jc w:val="center"/>
              <w:rPr>
                <w:rFonts w:cstheme="minorHAnsi"/>
                <w:sz w:val="20"/>
                <w:szCs w:val="20"/>
              </w:rPr>
            </w:pPr>
            <w:r w:rsidRPr="00E93EF5">
              <w:rPr>
                <w:rFonts w:cstheme="minorHAnsi"/>
                <w:sz w:val="20"/>
                <w:szCs w:val="20"/>
              </w:rPr>
              <w:t>Any</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0948868" w14:textId="69B86FBB" w:rsidR="00E93EF5" w:rsidRPr="00E93EF5" w:rsidRDefault="004D224F" w:rsidP="00751FD4">
            <w:pPr>
              <w:jc w:val="center"/>
              <w:rPr>
                <w:rFonts w:cstheme="minorHAnsi"/>
                <w:sz w:val="20"/>
                <w:szCs w:val="20"/>
              </w:rPr>
            </w:pPr>
            <w:r>
              <w:rPr>
                <w:rFonts w:cstheme="minorHAnsi"/>
                <w:sz w:val="20"/>
                <w:szCs w:val="20"/>
              </w:rPr>
              <w:t>High</w:t>
            </w:r>
          </w:p>
        </w:tc>
        <w:tc>
          <w:tcPr>
            <w:tcW w:w="1080" w:type="dxa"/>
            <w:tcBorders>
              <w:top w:val="single" w:sz="8" w:space="0" w:color="000000"/>
              <w:left w:val="single" w:sz="8" w:space="0" w:color="000000"/>
              <w:bottom w:val="single" w:sz="8" w:space="0" w:color="000000"/>
              <w:right w:val="single" w:sz="8" w:space="0" w:color="000000"/>
            </w:tcBorders>
          </w:tcPr>
          <w:p w14:paraId="4D41CCD5" w14:textId="77777777" w:rsidR="00E93EF5" w:rsidRPr="00E93EF5" w:rsidRDefault="00E93EF5" w:rsidP="00751FD4">
            <w:pPr>
              <w:jc w:val="center"/>
              <w:rPr>
                <w:rFonts w:cstheme="minorHAnsi"/>
                <w:sz w:val="20"/>
                <w:szCs w:val="20"/>
              </w:rPr>
            </w:pPr>
            <w:r w:rsidRPr="00E93EF5">
              <w:rPr>
                <w:rFonts w:cstheme="minorHAnsi"/>
                <w:sz w:val="20"/>
                <w:szCs w:val="20"/>
              </w:rPr>
              <w:t>Yes</w:t>
            </w:r>
          </w:p>
        </w:tc>
        <w:tc>
          <w:tcPr>
            <w:tcW w:w="1350" w:type="dxa"/>
            <w:tcBorders>
              <w:top w:val="single" w:sz="8" w:space="0" w:color="000000"/>
              <w:left w:val="single" w:sz="8" w:space="0" w:color="000000"/>
              <w:bottom w:val="single" w:sz="8" w:space="0" w:color="000000"/>
              <w:right w:val="single" w:sz="8" w:space="0" w:color="000000"/>
            </w:tcBorders>
          </w:tcPr>
          <w:p w14:paraId="705BD30E" w14:textId="77777777" w:rsidR="00E93EF5" w:rsidRPr="00E93EF5" w:rsidRDefault="00E93EF5" w:rsidP="00751FD4">
            <w:pPr>
              <w:jc w:val="center"/>
              <w:rPr>
                <w:rFonts w:cstheme="minorHAnsi"/>
                <w:sz w:val="20"/>
                <w:szCs w:val="20"/>
              </w:rPr>
            </w:pPr>
            <w:r w:rsidRPr="00E93EF5">
              <w:rPr>
                <w:rFonts w:cstheme="minorHAnsi"/>
                <w:sz w:val="20"/>
                <w:szCs w:val="20"/>
              </w:rPr>
              <w:t>Yes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14:paraId="0DBCAB76"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“Likely”</w:t>
            </w:r>
          </w:p>
        </w:tc>
        <w:tc>
          <w:tcPr>
            <w:tcW w:w="1401" w:type="dxa"/>
            <w:tcBorders>
              <w:top w:val="single" w:sz="8" w:space="0" w:color="000000"/>
              <w:left w:val="single" w:sz="8" w:space="0" w:color="000000"/>
              <w:bottom w:val="single" w:sz="8" w:space="0" w:color="000000"/>
              <w:right w:val="single" w:sz="8" w:space="0" w:color="000000"/>
            </w:tcBorders>
            <w:shd w:val="clear" w:color="auto" w:fill="auto"/>
          </w:tcPr>
          <w:p w14:paraId="1A0A8C96"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Substantial</w:t>
            </w:r>
          </w:p>
        </w:tc>
      </w:tr>
      <w:tr w:rsidR="00E93EF5" w:rsidRPr="00E93EF5" w14:paraId="34BC89DB" w14:textId="77777777" w:rsidTr="004D224F">
        <w:trPr>
          <w:trHeight w:val="1414"/>
          <w:jc w:val="center"/>
        </w:trPr>
        <w:tc>
          <w:tcPr>
            <w:tcW w:w="1141" w:type="dxa"/>
            <w:tcBorders>
              <w:top w:val="single" w:sz="8" w:space="0" w:color="000000"/>
              <w:left w:val="single" w:sz="8" w:space="0" w:color="000000"/>
              <w:bottom w:val="single" w:sz="8" w:space="0" w:color="000000"/>
              <w:right w:val="single" w:sz="8" w:space="0" w:color="000000"/>
            </w:tcBorders>
            <w:shd w:val="clear" w:color="auto" w:fill="FFC000"/>
            <w:tcMar>
              <w:top w:w="15" w:type="dxa"/>
              <w:left w:w="86" w:type="dxa"/>
              <w:bottom w:w="0" w:type="dxa"/>
              <w:right w:w="86" w:type="dxa"/>
            </w:tcMar>
          </w:tcPr>
          <w:p w14:paraId="5F7C1E91" w14:textId="77777777" w:rsidR="00E93EF5" w:rsidRPr="00E93EF5" w:rsidRDefault="00E93EF5" w:rsidP="00751FD4">
            <w:pPr>
              <w:jc w:val="center"/>
              <w:rPr>
                <w:rFonts w:cstheme="minorHAnsi"/>
                <w:sz w:val="20"/>
                <w:szCs w:val="20"/>
              </w:rPr>
            </w:pPr>
            <w:r w:rsidRPr="00E93EF5">
              <w:rPr>
                <w:rFonts w:cstheme="minorHAnsi"/>
                <w:sz w:val="20"/>
                <w:szCs w:val="20"/>
              </w:rPr>
              <w:t>Moderately reliable clinical prediction models</w:t>
            </w:r>
          </w:p>
        </w:tc>
        <w:tc>
          <w:tcPr>
            <w:tcW w:w="1095"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37AD80BC"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163080E5"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5DCD8770"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30D1C102"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79E64416" w14:textId="77777777" w:rsidR="00E93EF5" w:rsidRPr="00E93EF5" w:rsidRDefault="00E93EF5" w:rsidP="00751FD4">
            <w:pPr>
              <w:jc w:val="center"/>
              <w:rPr>
                <w:rFonts w:cstheme="minorHAnsi"/>
                <w:sz w:val="20"/>
                <w:szCs w:val="20"/>
              </w:rPr>
            </w:pPr>
            <w:r w:rsidRPr="00E93EF5">
              <w:rPr>
                <w:rFonts w:cstheme="minorHAnsi"/>
                <w:sz w:val="20"/>
                <w:szCs w:val="20"/>
              </w:rPr>
              <w:t>Any</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tcPr>
          <w:p w14:paraId="11CF0272" w14:textId="5EB90AB3" w:rsidR="00E93EF5" w:rsidRPr="00E93EF5" w:rsidRDefault="00E93EF5" w:rsidP="00751FD4">
            <w:pPr>
              <w:jc w:val="center"/>
              <w:rPr>
                <w:rFonts w:cstheme="minorHAnsi"/>
                <w:sz w:val="20"/>
                <w:szCs w:val="20"/>
              </w:rPr>
            </w:pPr>
            <w:r w:rsidRPr="00E93EF5">
              <w:rPr>
                <w:rFonts w:cstheme="minorHAnsi"/>
                <w:sz w:val="20"/>
                <w:szCs w:val="20"/>
              </w:rPr>
              <w:t xml:space="preserve">High. </w:t>
            </w:r>
          </w:p>
        </w:tc>
        <w:tc>
          <w:tcPr>
            <w:tcW w:w="1080" w:type="dxa"/>
            <w:tcBorders>
              <w:top w:val="single" w:sz="8" w:space="0" w:color="000000"/>
              <w:left w:val="single" w:sz="8" w:space="0" w:color="000000"/>
              <w:bottom w:val="single" w:sz="8" w:space="0" w:color="000000"/>
              <w:right w:val="single" w:sz="8" w:space="0" w:color="000000"/>
            </w:tcBorders>
          </w:tcPr>
          <w:p w14:paraId="4D9D8C08" w14:textId="77777777" w:rsidR="00E93EF5" w:rsidRPr="00E93EF5" w:rsidRDefault="00E93EF5" w:rsidP="00751FD4">
            <w:pPr>
              <w:jc w:val="center"/>
              <w:rPr>
                <w:rFonts w:cstheme="minorHAnsi"/>
                <w:sz w:val="20"/>
                <w:szCs w:val="20"/>
              </w:rPr>
            </w:pPr>
            <w:r w:rsidRPr="00E93EF5">
              <w:rPr>
                <w:rFonts w:cstheme="minorHAnsi"/>
                <w:sz w:val="20"/>
                <w:szCs w:val="20"/>
              </w:rPr>
              <w:t>Yes</w:t>
            </w:r>
          </w:p>
        </w:tc>
        <w:tc>
          <w:tcPr>
            <w:tcW w:w="1350" w:type="dxa"/>
            <w:tcBorders>
              <w:top w:val="single" w:sz="8" w:space="0" w:color="000000"/>
              <w:left w:val="single" w:sz="8" w:space="0" w:color="000000"/>
              <w:bottom w:val="single" w:sz="8" w:space="0" w:color="000000"/>
              <w:right w:val="single" w:sz="8" w:space="0" w:color="000000"/>
            </w:tcBorders>
          </w:tcPr>
          <w:p w14:paraId="3011E6B9" w14:textId="77777777" w:rsidR="00E93EF5" w:rsidRPr="00E93EF5" w:rsidRDefault="00E93EF5" w:rsidP="00751FD4">
            <w:pPr>
              <w:jc w:val="center"/>
              <w:rPr>
                <w:rFonts w:cstheme="minorHAnsi"/>
                <w:sz w:val="20"/>
                <w:szCs w:val="20"/>
              </w:rPr>
            </w:pPr>
            <w:r w:rsidRPr="00E93EF5">
              <w:rPr>
                <w:rFonts w:cstheme="minorHAnsi"/>
                <w:sz w:val="20"/>
                <w:szCs w:val="20"/>
              </w:rPr>
              <w:t>No</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14:paraId="39CD1C8D" w14:textId="77777777" w:rsidR="00E93EF5" w:rsidRPr="00E93EF5" w:rsidRDefault="00E93EF5" w:rsidP="00751FD4">
            <w:pPr>
              <w:jc w:val="center"/>
              <w:rPr>
                <w:rFonts w:eastAsia="Calibri" w:cstheme="minorHAnsi"/>
                <w:color w:val="000000" w:themeColor="text1"/>
                <w:kern w:val="24"/>
                <w:sz w:val="20"/>
                <w:szCs w:val="20"/>
              </w:rPr>
            </w:pPr>
            <w:r w:rsidRPr="00E93EF5">
              <w:rPr>
                <w:rFonts w:eastAsia="Calibri" w:cstheme="minorHAnsi"/>
                <w:color w:val="000000" w:themeColor="text1"/>
                <w:kern w:val="24"/>
                <w:sz w:val="20"/>
                <w:szCs w:val="20"/>
              </w:rPr>
              <w:t>Use predicted probability of outcome</w:t>
            </w:r>
          </w:p>
        </w:tc>
        <w:tc>
          <w:tcPr>
            <w:tcW w:w="1401" w:type="dxa"/>
            <w:tcBorders>
              <w:top w:val="single" w:sz="8" w:space="0" w:color="000000"/>
              <w:left w:val="single" w:sz="8" w:space="0" w:color="000000"/>
              <w:bottom w:val="single" w:sz="8" w:space="0" w:color="000000"/>
              <w:right w:val="single" w:sz="8" w:space="0" w:color="000000"/>
            </w:tcBorders>
            <w:shd w:val="clear" w:color="auto" w:fill="auto"/>
          </w:tcPr>
          <w:p w14:paraId="0CCD22CB" w14:textId="77777777" w:rsidR="00E93EF5" w:rsidRPr="00E93EF5" w:rsidRDefault="00E93EF5" w:rsidP="00751FD4">
            <w:pPr>
              <w:jc w:val="center"/>
              <w:rPr>
                <w:rFonts w:eastAsia="Calibri" w:cstheme="minorHAnsi"/>
                <w:color w:val="000000" w:themeColor="text1"/>
                <w:kern w:val="24"/>
                <w:sz w:val="20"/>
                <w:szCs w:val="20"/>
              </w:rPr>
            </w:pPr>
            <w:r w:rsidRPr="00E93EF5">
              <w:rPr>
                <w:rFonts w:eastAsia="Calibri" w:cstheme="minorHAnsi"/>
                <w:color w:val="000000" w:themeColor="text1"/>
                <w:kern w:val="24"/>
                <w:sz w:val="20"/>
                <w:szCs w:val="20"/>
              </w:rPr>
              <w:t>“The predicted probability is an estimate, subject to considerable uncertainty”</w:t>
            </w:r>
          </w:p>
        </w:tc>
      </w:tr>
      <w:tr w:rsidR="00E93EF5" w:rsidRPr="00E93EF5" w14:paraId="3C429F2D" w14:textId="77777777" w:rsidTr="004D224F">
        <w:trPr>
          <w:trHeight w:val="913"/>
          <w:jc w:val="center"/>
        </w:trPr>
        <w:tc>
          <w:tcPr>
            <w:tcW w:w="1141" w:type="dxa"/>
            <w:tcBorders>
              <w:top w:val="single" w:sz="8" w:space="0" w:color="000000"/>
              <w:left w:val="single" w:sz="8" w:space="0" w:color="000000"/>
              <w:bottom w:val="single" w:sz="8" w:space="0" w:color="000000"/>
              <w:right w:val="single" w:sz="8" w:space="0" w:color="000000"/>
            </w:tcBorders>
            <w:shd w:val="clear" w:color="auto" w:fill="FF0000"/>
            <w:tcMar>
              <w:top w:w="15" w:type="dxa"/>
              <w:left w:w="86" w:type="dxa"/>
              <w:bottom w:w="0" w:type="dxa"/>
              <w:right w:w="86" w:type="dxa"/>
            </w:tcMar>
            <w:hideMark/>
          </w:tcPr>
          <w:p w14:paraId="400174AB" w14:textId="77777777" w:rsidR="00E93EF5" w:rsidRPr="00E93EF5" w:rsidRDefault="00E93EF5" w:rsidP="00751FD4">
            <w:pPr>
              <w:jc w:val="center"/>
              <w:rPr>
                <w:rFonts w:cstheme="minorHAnsi"/>
                <w:sz w:val="20"/>
                <w:szCs w:val="20"/>
              </w:rPr>
            </w:pPr>
            <w:r w:rsidRPr="00E93EF5">
              <w:rPr>
                <w:rFonts w:cstheme="minorHAnsi"/>
                <w:sz w:val="20"/>
                <w:szCs w:val="20"/>
              </w:rPr>
              <w:t>Not reliable</w:t>
            </w:r>
          </w:p>
        </w:tc>
        <w:tc>
          <w:tcPr>
            <w:tcW w:w="1095"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12E5A35C"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27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0EB8AEBB" w14:textId="77777777" w:rsidR="00E93EF5" w:rsidRPr="00E93EF5" w:rsidRDefault="00E93EF5" w:rsidP="00751FD4">
            <w:pPr>
              <w:jc w:val="center"/>
              <w:rPr>
                <w:rFonts w:cstheme="minorHAnsi"/>
                <w:sz w:val="20"/>
                <w:szCs w:val="20"/>
              </w:rPr>
            </w:pPr>
            <w:r w:rsidRPr="00E93EF5">
              <w:rPr>
                <w:rFonts w:cstheme="minorHAnsi"/>
                <w:sz w:val="20"/>
                <w:szCs w:val="20"/>
              </w:rPr>
              <w:t>Downgrade NOT permitted</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5E13F926"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3F4A1001" w14:textId="77777777" w:rsidR="00E93EF5" w:rsidRPr="00E93EF5" w:rsidRDefault="00E93EF5" w:rsidP="00751FD4">
            <w:pPr>
              <w:jc w:val="center"/>
              <w:rPr>
                <w:rFonts w:cstheme="minorHAnsi"/>
                <w:sz w:val="20"/>
                <w:szCs w:val="20"/>
              </w:rPr>
            </w:pPr>
            <w:r w:rsidRPr="00E93EF5">
              <w:rPr>
                <w:rFonts w:cstheme="minorHAnsi"/>
                <w:sz w:val="20"/>
                <w:szCs w:val="20"/>
              </w:rPr>
              <w:t>One downgrade permitted</w:t>
            </w:r>
          </w:p>
        </w:tc>
        <w:tc>
          <w:tcPr>
            <w:tcW w:w="986"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1754D11B" w14:textId="77777777" w:rsidR="00E93EF5" w:rsidRPr="00E93EF5" w:rsidRDefault="00E93EF5" w:rsidP="00751FD4">
            <w:pPr>
              <w:jc w:val="center"/>
              <w:rPr>
                <w:rFonts w:cstheme="minorHAnsi"/>
                <w:sz w:val="20"/>
                <w:szCs w:val="20"/>
              </w:rPr>
            </w:pPr>
            <w:r w:rsidRPr="00E93EF5">
              <w:rPr>
                <w:rFonts w:cstheme="minorHAnsi"/>
                <w:sz w:val="20"/>
                <w:szCs w:val="20"/>
              </w:rPr>
              <w:t>Any</w:t>
            </w:r>
          </w:p>
        </w:tc>
        <w:tc>
          <w:tcPr>
            <w:tcW w:w="1043" w:type="dxa"/>
            <w:tcBorders>
              <w:top w:val="single" w:sz="8" w:space="0" w:color="000000"/>
              <w:left w:val="single" w:sz="8" w:space="0" w:color="000000"/>
              <w:bottom w:val="single" w:sz="8" w:space="0" w:color="000000"/>
              <w:right w:val="single" w:sz="8" w:space="0" w:color="000000"/>
            </w:tcBorders>
            <w:shd w:val="clear" w:color="auto" w:fill="auto"/>
            <w:tcMar>
              <w:top w:w="15" w:type="dxa"/>
              <w:left w:w="86" w:type="dxa"/>
              <w:bottom w:w="0" w:type="dxa"/>
              <w:right w:w="86" w:type="dxa"/>
            </w:tcMar>
            <w:hideMark/>
          </w:tcPr>
          <w:p w14:paraId="2BE6AB03" w14:textId="77777777" w:rsidR="00E93EF5" w:rsidRPr="00E93EF5" w:rsidRDefault="00E93EF5" w:rsidP="00751FD4">
            <w:pPr>
              <w:jc w:val="center"/>
              <w:rPr>
                <w:rFonts w:cstheme="minorHAnsi"/>
                <w:sz w:val="20"/>
                <w:szCs w:val="20"/>
              </w:rPr>
            </w:pPr>
            <w:r w:rsidRPr="00E93EF5">
              <w:rPr>
                <w:rFonts w:cstheme="minorHAnsi"/>
                <w:sz w:val="20"/>
                <w:szCs w:val="20"/>
              </w:rPr>
              <w:t>Any</w:t>
            </w:r>
          </w:p>
        </w:tc>
        <w:tc>
          <w:tcPr>
            <w:tcW w:w="1080" w:type="dxa"/>
            <w:tcBorders>
              <w:top w:val="single" w:sz="8" w:space="0" w:color="000000"/>
              <w:left w:val="single" w:sz="8" w:space="0" w:color="000000"/>
              <w:bottom w:val="single" w:sz="8" w:space="0" w:color="000000"/>
              <w:right w:val="single" w:sz="8" w:space="0" w:color="000000"/>
            </w:tcBorders>
          </w:tcPr>
          <w:p w14:paraId="4B3B6064" w14:textId="77777777" w:rsidR="00E93EF5" w:rsidRPr="00E93EF5" w:rsidRDefault="00E93EF5" w:rsidP="00751FD4">
            <w:pPr>
              <w:jc w:val="center"/>
              <w:rPr>
                <w:rFonts w:cstheme="minorHAnsi"/>
                <w:sz w:val="20"/>
                <w:szCs w:val="20"/>
              </w:rPr>
            </w:pPr>
            <w:r w:rsidRPr="00E93EF5">
              <w:rPr>
                <w:rFonts w:cstheme="minorHAnsi"/>
                <w:sz w:val="20"/>
                <w:szCs w:val="20"/>
              </w:rPr>
              <w:t>*No</w:t>
            </w:r>
          </w:p>
        </w:tc>
        <w:tc>
          <w:tcPr>
            <w:tcW w:w="1350" w:type="dxa"/>
            <w:tcBorders>
              <w:top w:val="single" w:sz="8" w:space="0" w:color="000000"/>
              <w:left w:val="single" w:sz="8" w:space="0" w:color="000000"/>
              <w:bottom w:val="single" w:sz="8" w:space="0" w:color="000000"/>
              <w:right w:val="single" w:sz="8" w:space="0" w:color="000000"/>
            </w:tcBorders>
          </w:tcPr>
          <w:p w14:paraId="3FEDAF0D" w14:textId="77777777" w:rsidR="00E93EF5" w:rsidRPr="00E93EF5" w:rsidRDefault="00E93EF5" w:rsidP="00751FD4">
            <w:pPr>
              <w:jc w:val="center"/>
              <w:rPr>
                <w:rFonts w:cstheme="minorHAnsi"/>
                <w:sz w:val="20"/>
                <w:szCs w:val="20"/>
              </w:rPr>
            </w:pPr>
            <w:r w:rsidRPr="00E93EF5">
              <w:rPr>
                <w:rFonts w:cstheme="minorHAnsi"/>
                <w:sz w:val="20"/>
                <w:szCs w:val="20"/>
              </w:rPr>
              <w:t>Not applicable</w:t>
            </w:r>
          </w:p>
        </w:tc>
        <w:tc>
          <w:tcPr>
            <w:tcW w:w="1260" w:type="dxa"/>
            <w:tcBorders>
              <w:top w:val="single" w:sz="8" w:space="0" w:color="000000"/>
              <w:left w:val="single" w:sz="8" w:space="0" w:color="000000"/>
              <w:bottom w:val="single" w:sz="8" w:space="0" w:color="000000"/>
              <w:right w:val="single" w:sz="8" w:space="0" w:color="000000"/>
            </w:tcBorders>
            <w:shd w:val="clear" w:color="auto" w:fill="auto"/>
          </w:tcPr>
          <w:p w14:paraId="1C614D95"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Not applicable</w:t>
            </w:r>
          </w:p>
        </w:tc>
        <w:tc>
          <w:tcPr>
            <w:tcW w:w="1401" w:type="dxa"/>
            <w:tcBorders>
              <w:top w:val="single" w:sz="8" w:space="0" w:color="000000"/>
              <w:left w:val="single" w:sz="8" w:space="0" w:color="000000"/>
              <w:bottom w:val="single" w:sz="8" w:space="0" w:color="000000"/>
              <w:right w:val="single" w:sz="8" w:space="0" w:color="000000"/>
            </w:tcBorders>
            <w:shd w:val="clear" w:color="auto" w:fill="auto"/>
          </w:tcPr>
          <w:p w14:paraId="5BEA0805" w14:textId="77777777" w:rsidR="00E93EF5" w:rsidRPr="00E93EF5" w:rsidRDefault="00E93EF5" w:rsidP="00751FD4">
            <w:pPr>
              <w:jc w:val="center"/>
              <w:rPr>
                <w:rFonts w:cstheme="minorHAnsi"/>
                <w:sz w:val="20"/>
                <w:szCs w:val="20"/>
              </w:rPr>
            </w:pPr>
            <w:r w:rsidRPr="00E93EF5">
              <w:rPr>
                <w:rFonts w:eastAsia="Calibri" w:cstheme="minorHAnsi"/>
                <w:color w:val="000000" w:themeColor="text1"/>
                <w:kern w:val="24"/>
                <w:sz w:val="20"/>
                <w:szCs w:val="20"/>
              </w:rPr>
              <w:t>Not applicable</w:t>
            </w:r>
          </w:p>
        </w:tc>
      </w:tr>
    </w:tbl>
    <w:p w14:paraId="62E168BF" w14:textId="77777777" w:rsidR="00E93EF5" w:rsidRDefault="00E93EF5" w:rsidP="00E93EF5"/>
    <w:p w14:paraId="7C7C5AB3" w14:textId="77777777" w:rsidR="00E93EF5" w:rsidRDefault="00E93EF5" w:rsidP="00E93EF5"/>
    <w:p w14:paraId="49B073C5" w14:textId="77777777" w:rsidR="00E93EF5" w:rsidRDefault="00E93EF5" w:rsidP="00E93EF5">
      <w:pPr>
        <w:pStyle w:val="ListParagraph"/>
        <w:numPr>
          <w:ilvl w:val="0"/>
          <w:numId w:val="8"/>
        </w:numPr>
      </w:pPr>
      <w:r>
        <w:t xml:space="preserve">* </w:t>
      </w:r>
      <w:r w:rsidRPr="00C779F1">
        <w:rPr>
          <w:rFonts w:cstheme="minorHAnsi"/>
        </w:rPr>
        <w:t xml:space="preserve">Many predictors </w:t>
      </w:r>
      <w:r>
        <w:rPr>
          <w:rFonts w:cstheme="minorHAnsi"/>
        </w:rPr>
        <w:t>designated</w:t>
      </w:r>
      <w:r w:rsidRPr="00C779F1">
        <w:rPr>
          <w:rFonts w:cstheme="minorHAnsi"/>
        </w:rPr>
        <w:t xml:space="preserve"> “not reliable” are practically utilized by clinicians in formulating and communicating real-world subjective impressions of prognosis. The purpose of these guidelines is to </w:t>
      </w:r>
      <w:r>
        <w:rPr>
          <w:rFonts w:cstheme="minorHAnsi"/>
        </w:rPr>
        <w:t>identify</w:t>
      </w:r>
      <w:r w:rsidRPr="00C779F1">
        <w:rPr>
          <w:rFonts w:cstheme="minorHAnsi"/>
        </w:rPr>
        <w:t xml:space="preserve"> predictors</w:t>
      </w:r>
      <w:r>
        <w:rPr>
          <w:rFonts w:cstheme="minorHAnsi"/>
        </w:rPr>
        <w:t>, if any,</w:t>
      </w:r>
      <w:r w:rsidRPr="00C779F1">
        <w:rPr>
          <w:rFonts w:cstheme="minorHAnsi"/>
        </w:rPr>
        <w:t xml:space="preserve"> that meet reliable or moderately reliable criteria.</w:t>
      </w:r>
    </w:p>
    <w:p w14:paraId="4B0E554C" w14:textId="0E0446DF" w:rsidR="00B223DB" w:rsidRPr="00FE4215" w:rsidRDefault="00B223DB" w:rsidP="00E93EF5">
      <w:pPr>
        <w:jc w:val="center"/>
      </w:pPr>
    </w:p>
    <w:sectPr w:rsidR="00B223DB" w:rsidRPr="00FE4215" w:rsidSect="003B762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ADDF" w14:textId="77777777" w:rsidR="00407E12" w:rsidRDefault="00407E12" w:rsidP="00BD543C">
      <w:pPr>
        <w:spacing w:after="0" w:line="240" w:lineRule="auto"/>
      </w:pPr>
      <w:r>
        <w:separator/>
      </w:r>
    </w:p>
  </w:endnote>
  <w:endnote w:type="continuationSeparator" w:id="0">
    <w:p w14:paraId="30C4291A" w14:textId="77777777" w:rsidR="00407E12" w:rsidRDefault="00407E12" w:rsidP="00BD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F0FC" w14:textId="77777777" w:rsidR="00407E12" w:rsidRDefault="00407E12" w:rsidP="00BD543C">
      <w:pPr>
        <w:spacing w:after="0" w:line="240" w:lineRule="auto"/>
      </w:pPr>
      <w:r>
        <w:separator/>
      </w:r>
    </w:p>
  </w:footnote>
  <w:footnote w:type="continuationSeparator" w:id="0">
    <w:p w14:paraId="7D9791A2" w14:textId="77777777" w:rsidR="00407E12" w:rsidRDefault="00407E12" w:rsidP="00BD5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00A7"/>
    <w:multiLevelType w:val="hybridMultilevel"/>
    <w:tmpl w:val="8DA4612A"/>
    <w:lvl w:ilvl="0" w:tplc="ED100EA4">
      <w:start w:val="1"/>
      <w:numFmt w:val="bullet"/>
      <w:lvlText w:val="•"/>
      <w:lvlJc w:val="left"/>
      <w:pPr>
        <w:tabs>
          <w:tab w:val="num" w:pos="720"/>
        </w:tabs>
        <w:ind w:left="720" w:hanging="360"/>
      </w:pPr>
      <w:rPr>
        <w:rFonts w:ascii="Arial" w:hAnsi="Arial" w:hint="default"/>
      </w:rPr>
    </w:lvl>
    <w:lvl w:ilvl="1" w:tplc="20748300" w:tentative="1">
      <w:start w:val="1"/>
      <w:numFmt w:val="bullet"/>
      <w:lvlText w:val="•"/>
      <w:lvlJc w:val="left"/>
      <w:pPr>
        <w:tabs>
          <w:tab w:val="num" w:pos="1440"/>
        </w:tabs>
        <w:ind w:left="1440" w:hanging="360"/>
      </w:pPr>
      <w:rPr>
        <w:rFonts w:ascii="Arial" w:hAnsi="Arial" w:hint="default"/>
      </w:rPr>
    </w:lvl>
    <w:lvl w:ilvl="2" w:tplc="031A7D42" w:tentative="1">
      <w:start w:val="1"/>
      <w:numFmt w:val="bullet"/>
      <w:lvlText w:val="•"/>
      <w:lvlJc w:val="left"/>
      <w:pPr>
        <w:tabs>
          <w:tab w:val="num" w:pos="2160"/>
        </w:tabs>
        <w:ind w:left="2160" w:hanging="360"/>
      </w:pPr>
      <w:rPr>
        <w:rFonts w:ascii="Arial" w:hAnsi="Arial" w:hint="default"/>
      </w:rPr>
    </w:lvl>
    <w:lvl w:ilvl="3" w:tplc="B14C46FA" w:tentative="1">
      <w:start w:val="1"/>
      <w:numFmt w:val="bullet"/>
      <w:lvlText w:val="•"/>
      <w:lvlJc w:val="left"/>
      <w:pPr>
        <w:tabs>
          <w:tab w:val="num" w:pos="2880"/>
        </w:tabs>
        <w:ind w:left="2880" w:hanging="360"/>
      </w:pPr>
      <w:rPr>
        <w:rFonts w:ascii="Arial" w:hAnsi="Arial" w:hint="default"/>
      </w:rPr>
    </w:lvl>
    <w:lvl w:ilvl="4" w:tplc="67EC5850" w:tentative="1">
      <w:start w:val="1"/>
      <w:numFmt w:val="bullet"/>
      <w:lvlText w:val="•"/>
      <w:lvlJc w:val="left"/>
      <w:pPr>
        <w:tabs>
          <w:tab w:val="num" w:pos="3600"/>
        </w:tabs>
        <w:ind w:left="3600" w:hanging="360"/>
      </w:pPr>
      <w:rPr>
        <w:rFonts w:ascii="Arial" w:hAnsi="Arial" w:hint="default"/>
      </w:rPr>
    </w:lvl>
    <w:lvl w:ilvl="5" w:tplc="69B25E96" w:tentative="1">
      <w:start w:val="1"/>
      <w:numFmt w:val="bullet"/>
      <w:lvlText w:val="•"/>
      <w:lvlJc w:val="left"/>
      <w:pPr>
        <w:tabs>
          <w:tab w:val="num" w:pos="4320"/>
        </w:tabs>
        <w:ind w:left="4320" w:hanging="360"/>
      </w:pPr>
      <w:rPr>
        <w:rFonts w:ascii="Arial" w:hAnsi="Arial" w:hint="default"/>
      </w:rPr>
    </w:lvl>
    <w:lvl w:ilvl="6" w:tplc="303612F0" w:tentative="1">
      <w:start w:val="1"/>
      <w:numFmt w:val="bullet"/>
      <w:lvlText w:val="•"/>
      <w:lvlJc w:val="left"/>
      <w:pPr>
        <w:tabs>
          <w:tab w:val="num" w:pos="5040"/>
        </w:tabs>
        <w:ind w:left="5040" w:hanging="360"/>
      </w:pPr>
      <w:rPr>
        <w:rFonts w:ascii="Arial" w:hAnsi="Arial" w:hint="default"/>
      </w:rPr>
    </w:lvl>
    <w:lvl w:ilvl="7" w:tplc="FE8498B8" w:tentative="1">
      <w:start w:val="1"/>
      <w:numFmt w:val="bullet"/>
      <w:lvlText w:val="•"/>
      <w:lvlJc w:val="left"/>
      <w:pPr>
        <w:tabs>
          <w:tab w:val="num" w:pos="5760"/>
        </w:tabs>
        <w:ind w:left="5760" w:hanging="360"/>
      </w:pPr>
      <w:rPr>
        <w:rFonts w:ascii="Arial" w:hAnsi="Arial" w:hint="default"/>
      </w:rPr>
    </w:lvl>
    <w:lvl w:ilvl="8" w:tplc="356A98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0619C1"/>
    <w:multiLevelType w:val="hybridMultilevel"/>
    <w:tmpl w:val="3E42E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85C54"/>
    <w:multiLevelType w:val="hybridMultilevel"/>
    <w:tmpl w:val="9E62A1CA"/>
    <w:lvl w:ilvl="0" w:tplc="627CA730">
      <w:start w:val="1"/>
      <w:numFmt w:val="bullet"/>
      <w:lvlText w:val="•"/>
      <w:lvlJc w:val="left"/>
      <w:pPr>
        <w:tabs>
          <w:tab w:val="num" w:pos="720"/>
        </w:tabs>
        <w:ind w:left="720" w:hanging="360"/>
      </w:pPr>
      <w:rPr>
        <w:rFonts w:ascii="Arial" w:hAnsi="Arial" w:hint="default"/>
      </w:rPr>
    </w:lvl>
    <w:lvl w:ilvl="1" w:tplc="780496DC" w:tentative="1">
      <w:start w:val="1"/>
      <w:numFmt w:val="bullet"/>
      <w:lvlText w:val="•"/>
      <w:lvlJc w:val="left"/>
      <w:pPr>
        <w:tabs>
          <w:tab w:val="num" w:pos="1440"/>
        </w:tabs>
        <w:ind w:left="1440" w:hanging="360"/>
      </w:pPr>
      <w:rPr>
        <w:rFonts w:ascii="Arial" w:hAnsi="Arial" w:hint="default"/>
      </w:rPr>
    </w:lvl>
    <w:lvl w:ilvl="2" w:tplc="ECE226AC" w:tentative="1">
      <w:start w:val="1"/>
      <w:numFmt w:val="bullet"/>
      <w:lvlText w:val="•"/>
      <w:lvlJc w:val="left"/>
      <w:pPr>
        <w:tabs>
          <w:tab w:val="num" w:pos="2160"/>
        </w:tabs>
        <w:ind w:left="2160" w:hanging="360"/>
      </w:pPr>
      <w:rPr>
        <w:rFonts w:ascii="Arial" w:hAnsi="Arial" w:hint="default"/>
      </w:rPr>
    </w:lvl>
    <w:lvl w:ilvl="3" w:tplc="ED740888" w:tentative="1">
      <w:start w:val="1"/>
      <w:numFmt w:val="bullet"/>
      <w:lvlText w:val="•"/>
      <w:lvlJc w:val="left"/>
      <w:pPr>
        <w:tabs>
          <w:tab w:val="num" w:pos="2880"/>
        </w:tabs>
        <w:ind w:left="2880" w:hanging="360"/>
      </w:pPr>
      <w:rPr>
        <w:rFonts w:ascii="Arial" w:hAnsi="Arial" w:hint="default"/>
      </w:rPr>
    </w:lvl>
    <w:lvl w:ilvl="4" w:tplc="CEAE8B9C" w:tentative="1">
      <w:start w:val="1"/>
      <w:numFmt w:val="bullet"/>
      <w:lvlText w:val="•"/>
      <w:lvlJc w:val="left"/>
      <w:pPr>
        <w:tabs>
          <w:tab w:val="num" w:pos="3600"/>
        </w:tabs>
        <w:ind w:left="3600" w:hanging="360"/>
      </w:pPr>
      <w:rPr>
        <w:rFonts w:ascii="Arial" w:hAnsi="Arial" w:hint="default"/>
      </w:rPr>
    </w:lvl>
    <w:lvl w:ilvl="5" w:tplc="5DE46C8C" w:tentative="1">
      <w:start w:val="1"/>
      <w:numFmt w:val="bullet"/>
      <w:lvlText w:val="•"/>
      <w:lvlJc w:val="left"/>
      <w:pPr>
        <w:tabs>
          <w:tab w:val="num" w:pos="4320"/>
        </w:tabs>
        <w:ind w:left="4320" w:hanging="360"/>
      </w:pPr>
      <w:rPr>
        <w:rFonts w:ascii="Arial" w:hAnsi="Arial" w:hint="default"/>
      </w:rPr>
    </w:lvl>
    <w:lvl w:ilvl="6" w:tplc="C9206E7A" w:tentative="1">
      <w:start w:val="1"/>
      <w:numFmt w:val="bullet"/>
      <w:lvlText w:val="•"/>
      <w:lvlJc w:val="left"/>
      <w:pPr>
        <w:tabs>
          <w:tab w:val="num" w:pos="5040"/>
        </w:tabs>
        <w:ind w:left="5040" w:hanging="360"/>
      </w:pPr>
      <w:rPr>
        <w:rFonts w:ascii="Arial" w:hAnsi="Arial" w:hint="default"/>
      </w:rPr>
    </w:lvl>
    <w:lvl w:ilvl="7" w:tplc="D1682674" w:tentative="1">
      <w:start w:val="1"/>
      <w:numFmt w:val="bullet"/>
      <w:lvlText w:val="•"/>
      <w:lvlJc w:val="left"/>
      <w:pPr>
        <w:tabs>
          <w:tab w:val="num" w:pos="5760"/>
        </w:tabs>
        <w:ind w:left="5760" w:hanging="360"/>
      </w:pPr>
      <w:rPr>
        <w:rFonts w:ascii="Arial" w:hAnsi="Arial" w:hint="default"/>
      </w:rPr>
    </w:lvl>
    <w:lvl w:ilvl="8" w:tplc="9466AB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EF1D0F"/>
    <w:multiLevelType w:val="hybridMultilevel"/>
    <w:tmpl w:val="779AEF6C"/>
    <w:lvl w:ilvl="0" w:tplc="C402F4C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12DFB"/>
    <w:multiLevelType w:val="hybridMultilevel"/>
    <w:tmpl w:val="81426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E35E9F"/>
    <w:multiLevelType w:val="hybridMultilevel"/>
    <w:tmpl w:val="55AE58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BEA46C3"/>
    <w:multiLevelType w:val="hybridMultilevel"/>
    <w:tmpl w:val="F1D41440"/>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EC0CB6"/>
    <w:multiLevelType w:val="multilevel"/>
    <w:tmpl w:val="BA9A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706221">
    <w:abstractNumId w:val="1"/>
  </w:num>
  <w:num w:numId="2" w16cid:durableId="1285885631">
    <w:abstractNumId w:val="5"/>
  </w:num>
  <w:num w:numId="3" w16cid:durableId="876822007">
    <w:abstractNumId w:val="6"/>
  </w:num>
  <w:num w:numId="4" w16cid:durableId="1940795774">
    <w:abstractNumId w:val="4"/>
  </w:num>
  <w:num w:numId="5" w16cid:durableId="429087284">
    <w:abstractNumId w:val="2"/>
  </w:num>
  <w:num w:numId="6" w16cid:durableId="662507684">
    <w:abstractNumId w:val="0"/>
  </w:num>
  <w:num w:numId="7" w16cid:durableId="1550142140">
    <w:abstractNumId w:val="7"/>
  </w:num>
  <w:num w:numId="8" w16cid:durableId="625476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critical C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tp92wz7wtstnestz4p92fr52xwavz5a55f&quot;&gt;Neuroprognostication following cardiac arrest-Converted&lt;record-ids&gt;&lt;item&gt;117&lt;/item&gt;&lt;item&gt;118&lt;/item&gt;&lt;item&gt;119&lt;/item&gt;&lt;item&gt;272&lt;/item&gt;&lt;item&gt;273&lt;/item&gt;&lt;item&gt;274&lt;/item&gt;&lt;item&gt;275&lt;/item&gt;&lt;/record-ids&gt;&lt;/item&gt;&lt;/Libraries&gt;"/>
  </w:docVars>
  <w:rsids>
    <w:rsidRoot w:val="00F33E92"/>
    <w:rsid w:val="00003499"/>
    <w:rsid w:val="00026D61"/>
    <w:rsid w:val="0007157E"/>
    <w:rsid w:val="00071D42"/>
    <w:rsid w:val="00072F1E"/>
    <w:rsid w:val="00075939"/>
    <w:rsid w:val="00083715"/>
    <w:rsid w:val="00091874"/>
    <w:rsid w:val="00095BE4"/>
    <w:rsid w:val="000C5436"/>
    <w:rsid w:val="00173BAD"/>
    <w:rsid w:val="00180B7B"/>
    <w:rsid w:val="00197E1D"/>
    <w:rsid w:val="001C1576"/>
    <w:rsid w:val="001D2405"/>
    <w:rsid w:val="001E48F3"/>
    <w:rsid w:val="002160DC"/>
    <w:rsid w:val="00224AB7"/>
    <w:rsid w:val="002401D0"/>
    <w:rsid w:val="0026178A"/>
    <w:rsid w:val="0027496E"/>
    <w:rsid w:val="00281CB6"/>
    <w:rsid w:val="00281FBE"/>
    <w:rsid w:val="0029795B"/>
    <w:rsid w:val="002B7EE7"/>
    <w:rsid w:val="002C56E0"/>
    <w:rsid w:val="002E3185"/>
    <w:rsid w:val="002F0696"/>
    <w:rsid w:val="00381E6D"/>
    <w:rsid w:val="003A5950"/>
    <w:rsid w:val="003C16F0"/>
    <w:rsid w:val="003C2340"/>
    <w:rsid w:val="003D3EEF"/>
    <w:rsid w:val="00407E12"/>
    <w:rsid w:val="00411604"/>
    <w:rsid w:val="0041665B"/>
    <w:rsid w:val="00447208"/>
    <w:rsid w:val="0046056B"/>
    <w:rsid w:val="004901FC"/>
    <w:rsid w:val="004C1FA7"/>
    <w:rsid w:val="004D224F"/>
    <w:rsid w:val="004E55F1"/>
    <w:rsid w:val="004E61BF"/>
    <w:rsid w:val="004F095D"/>
    <w:rsid w:val="004F310B"/>
    <w:rsid w:val="004F369E"/>
    <w:rsid w:val="00512103"/>
    <w:rsid w:val="00515A03"/>
    <w:rsid w:val="00521BA2"/>
    <w:rsid w:val="00533C10"/>
    <w:rsid w:val="00534E88"/>
    <w:rsid w:val="00556384"/>
    <w:rsid w:val="00573CDE"/>
    <w:rsid w:val="005A1BB5"/>
    <w:rsid w:val="005B32C9"/>
    <w:rsid w:val="005C304F"/>
    <w:rsid w:val="005C3ECB"/>
    <w:rsid w:val="005D242D"/>
    <w:rsid w:val="005E3418"/>
    <w:rsid w:val="005E39B3"/>
    <w:rsid w:val="00667FB4"/>
    <w:rsid w:val="00693834"/>
    <w:rsid w:val="006C119B"/>
    <w:rsid w:val="006C6D89"/>
    <w:rsid w:val="006D0842"/>
    <w:rsid w:val="006E0C81"/>
    <w:rsid w:val="006E2A54"/>
    <w:rsid w:val="006F147A"/>
    <w:rsid w:val="007229CC"/>
    <w:rsid w:val="00732414"/>
    <w:rsid w:val="00747BDE"/>
    <w:rsid w:val="00760D69"/>
    <w:rsid w:val="00770064"/>
    <w:rsid w:val="00770551"/>
    <w:rsid w:val="00785238"/>
    <w:rsid w:val="00787F14"/>
    <w:rsid w:val="00793A44"/>
    <w:rsid w:val="007A2787"/>
    <w:rsid w:val="007D3505"/>
    <w:rsid w:val="007D6AA1"/>
    <w:rsid w:val="007E50A2"/>
    <w:rsid w:val="007E7679"/>
    <w:rsid w:val="008226C8"/>
    <w:rsid w:val="00823BD6"/>
    <w:rsid w:val="00852220"/>
    <w:rsid w:val="008D0771"/>
    <w:rsid w:val="008D6D59"/>
    <w:rsid w:val="008D7DC3"/>
    <w:rsid w:val="009425B4"/>
    <w:rsid w:val="00944E9F"/>
    <w:rsid w:val="009538E0"/>
    <w:rsid w:val="00971FB5"/>
    <w:rsid w:val="00975529"/>
    <w:rsid w:val="00976103"/>
    <w:rsid w:val="00984E8A"/>
    <w:rsid w:val="009907EB"/>
    <w:rsid w:val="009A0864"/>
    <w:rsid w:val="009C4CDF"/>
    <w:rsid w:val="009E44C8"/>
    <w:rsid w:val="009E697A"/>
    <w:rsid w:val="009F5446"/>
    <w:rsid w:val="00A05733"/>
    <w:rsid w:val="00A07889"/>
    <w:rsid w:val="00A2131D"/>
    <w:rsid w:val="00A61953"/>
    <w:rsid w:val="00A71941"/>
    <w:rsid w:val="00A7516A"/>
    <w:rsid w:val="00A82D7E"/>
    <w:rsid w:val="00AA55EC"/>
    <w:rsid w:val="00AD72D7"/>
    <w:rsid w:val="00AF053F"/>
    <w:rsid w:val="00AF58A2"/>
    <w:rsid w:val="00B223DB"/>
    <w:rsid w:val="00B454F5"/>
    <w:rsid w:val="00B84AD5"/>
    <w:rsid w:val="00BB22D7"/>
    <w:rsid w:val="00BD543C"/>
    <w:rsid w:val="00BE5A21"/>
    <w:rsid w:val="00BF0BD8"/>
    <w:rsid w:val="00C20745"/>
    <w:rsid w:val="00C22A08"/>
    <w:rsid w:val="00C53DEE"/>
    <w:rsid w:val="00D05D99"/>
    <w:rsid w:val="00D07E54"/>
    <w:rsid w:val="00D3315C"/>
    <w:rsid w:val="00D365D7"/>
    <w:rsid w:val="00D85474"/>
    <w:rsid w:val="00D90D25"/>
    <w:rsid w:val="00DA6C3A"/>
    <w:rsid w:val="00DC65F0"/>
    <w:rsid w:val="00DE1C73"/>
    <w:rsid w:val="00E11AED"/>
    <w:rsid w:val="00E362DD"/>
    <w:rsid w:val="00E36B6E"/>
    <w:rsid w:val="00E866CA"/>
    <w:rsid w:val="00E93EF5"/>
    <w:rsid w:val="00EB3C4E"/>
    <w:rsid w:val="00EC0C68"/>
    <w:rsid w:val="00F044F9"/>
    <w:rsid w:val="00F07F42"/>
    <w:rsid w:val="00F17647"/>
    <w:rsid w:val="00F22CC5"/>
    <w:rsid w:val="00F33E92"/>
    <w:rsid w:val="00F34EDF"/>
    <w:rsid w:val="00F51441"/>
    <w:rsid w:val="00F54A43"/>
    <w:rsid w:val="00F7701C"/>
    <w:rsid w:val="00F81029"/>
    <w:rsid w:val="00F82375"/>
    <w:rsid w:val="00F91E03"/>
    <w:rsid w:val="00FE4215"/>
    <w:rsid w:val="00FF0A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2F47E"/>
  <w15:chartTrackingRefBased/>
  <w15:docId w15:val="{6BF18F62-66D4-4403-BE89-AB6E3B28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E92"/>
    <w:rPr>
      <w:sz w:val="16"/>
      <w:szCs w:val="16"/>
    </w:rPr>
  </w:style>
  <w:style w:type="paragraph" w:styleId="CommentText">
    <w:name w:val="annotation text"/>
    <w:basedOn w:val="Normal"/>
    <w:link w:val="CommentTextChar"/>
    <w:uiPriority w:val="99"/>
    <w:semiHidden/>
    <w:unhideWhenUsed/>
    <w:rsid w:val="00F33E92"/>
    <w:pPr>
      <w:spacing w:after="0" w:line="240" w:lineRule="auto"/>
    </w:pPr>
    <w:rPr>
      <w:sz w:val="20"/>
      <w:szCs w:val="20"/>
      <w:lang w:val="en-US"/>
    </w:rPr>
  </w:style>
  <w:style w:type="character" w:customStyle="1" w:styleId="CommentTextChar">
    <w:name w:val="Comment Text Char"/>
    <w:basedOn w:val="DefaultParagraphFont"/>
    <w:link w:val="CommentText"/>
    <w:uiPriority w:val="99"/>
    <w:semiHidden/>
    <w:rsid w:val="00F33E92"/>
    <w:rPr>
      <w:sz w:val="20"/>
      <w:szCs w:val="20"/>
      <w:lang w:val="en-US"/>
    </w:rPr>
  </w:style>
  <w:style w:type="paragraph" w:styleId="BalloonText">
    <w:name w:val="Balloon Text"/>
    <w:basedOn w:val="Normal"/>
    <w:link w:val="BalloonTextChar"/>
    <w:uiPriority w:val="99"/>
    <w:semiHidden/>
    <w:unhideWhenUsed/>
    <w:rsid w:val="00F33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E92"/>
    <w:rPr>
      <w:rFonts w:ascii="Segoe UI" w:hAnsi="Segoe UI" w:cs="Segoe UI"/>
      <w:sz w:val="18"/>
      <w:szCs w:val="18"/>
    </w:rPr>
  </w:style>
  <w:style w:type="paragraph" w:styleId="ListParagraph">
    <w:name w:val="List Paragraph"/>
    <w:basedOn w:val="Normal"/>
    <w:uiPriority w:val="34"/>
    <w:qFormat/>
    <w:rsid w:val="00F82375"/>
    <w:pPr>
      <w:spacing w:after="0" w:line="240" w:lineRule="auto"/>
      <w:ind w:left="720"/>
      <w:contextualSpacing/>
    </w:pPr>
    <w:rPr>
      <w:sz w:val="24"/>
      <w:szCs w:val="24"/>
      <w:lang w:val="en-US"/>
    </w:rPr>
  </w:style>
  <w:style w:type="paragraph" w:styleId="Header">
    <w:name w:val="header"/>
    <w:basedOn w:val="Normal"/>
    <w:link w:val="HeaderChar"/>
    <w:uiPriority w:val="99"/>
    <w:unhideWhenUsed/>
    <w:rsid w:val="00BD5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543C"/>
  </w:style>
  <w:style w:type="paragraph" w:styleId="Footer">
    <w:name w:val="footer"/>
    <w:basedOn w:val="Normal"/>
    <w:link w:val="FooterChar"/>
    <w:uiPriority w:val="99"/>
    <w:unhideWhenUsed/>
    <w:rsid w:val="00BD54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543C"/>
  </w:style>
  <w:style w:type="paragraph" w:customStyle="1" w:styleId="EndNoteBibliographyTitle">
    <w:name w:val="EndNote Bibliography Title"/>
    <w:basedOn w:val="Normal"/>
    <w:link w:val="EndNoteBibliographyTitleChar"/>
    <w:rsid w:val="0026178A"/>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6178A"/>
    <w:rPr>
      <w:rFonts w:ascii="Calibri" w:hAnsi="Calibri" w:cs="Calibri"/>
      <w:lang w:val="en-US"/>
    </w:rPr>
  </w:style>
  <w:style w:type="paragraph" w:customStyle="1" w:styleId="EndNoteBibliography">
    <w:name w:val="EndNote Bibliography"/>
    <w:basedOn w:val="Normal"/>
    <w:link w:val="EndNoteBibliographyChar"/>
    <w:rsid w:val="0026178A"/>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26178A"/>
    <w:rPr>
      <w:rFonts w:ascii="Calibri" w:hAnsi="Calibri" w:cs="Calibri"/>
      <w:lang w:val="en-US"/>
    </w:rPr>
  </w:style>
  <w:style w:type="paragraph" w:styleId="CommentSubject">
    <w:name w:val="annotation subject"/>
    <w:basedOn w:val="CommentText"/>
    <w:next w:val="CommentText"/>
    <w:link w:val="CommentSubjectChar"/>
    <w:uiPriority w:val="99"/>
    <w:semiHidden/>
    <w:unhideWhenUsed/>
    <w:rsid w:val="00EB3C4E"/>
    <w:pPr>
      <w:spacing w:after="160"/>
    </w:pPr>
    <w:rPr>
      <w:b/>
      <w:bCs/>
      <w:lang w:val="de-DE"/>
    </w:rPr>
  </w:style>
  <w:style w:type="character" w:customStyle="1" w:styleId="CommentSubjectChar">
    <w:name w:val="Comment Subject Char"/>
    <w:basedOn w:val="CommentTextChar"/>
    <w:link w:val="CommentSubject"/>
    <w:uiPriority w:val="99"/>
    <w:semiHidden/>
    <w:rsid w:val="00EB3C4E"/>
    <w:rPr>
      <w:b/>
      <w:bCs/>
      <w:sz w:val="20"/>
      <w:szCs w:val="20"/>
      <w:lang w:val="en-US"/>
    </w:rPr>
  </w:style>
  <w:style w:type="character" w:styleId="Hyperlink">
    <w:name w:val="Hyperlink"/>
    <w:basedOn w:val="DefaultParagraphFont"/>
    <w:uiPriority w:val="99"/>
    <w:unhideWhenUsed/>
    <w:rsid w:val="009E697A"/>
    <w:rPr>
      <w:color w:val="0563C1" w:themeColor="hyperlink"/>
      <w:u w:val="single"/>
    </w:rPr>
  </w:style>
  <w:style w:type="paragraph" w:styleId="NormalWeb">
    <w:name w:val="Normal (Web)"/>
    <w:basedOn w:val="Normal"/>
    <w:uiPriority w:val="99"/>
    <w:unhideWhenUsed/>
    <w:rsid w:val="006E2A54"/>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leGrid">
    <w:name w:val="Table Grid"/>
    <w:basedOn w:val="TableNormal"/>
    <w:uiPriority w:val="39"/>
    <w:rsid w:val="00533C1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2160DC"/>
  </w:style>
  <w:style w:type="character" w:customStyle="1" w:styleId="id-label">
    <w:name w:val="id-label"/>
    <w:basedOn w:val="DefaultParagraphFont"/>
    <w:rsid w:val="002160DC"/>
  </w:style>
  <w:style w:type="paragraph" w:styleId="Revision">
    <w:name w:val="Revision"/>
    <w:hidden/>
    <w:uiPriority w:val="99"/>
    <w:semiHidden/>
    <w:rsid w:val="006E0C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0002">
      <w:bodyDiv w:val="1"/>
      <w:marLeft w:val="0"/>
      <w:marRight w:val="0"/>
      <w:marTop w:val="0"/>
      <w:marBottom w:val="0"/>
      <w:divBdr>
        <w:top w:val="none" w:sz="0" w:space="0" w:color="auto"/>
        <w:left w:val="none" w:sz="0" w:space="0" w:color="auto"/>
        <w:bottom w:val="none" w:sz="0" w:space="0" w:color="auto"/>
        <w:right w:val="none" w:sz="0" w:space="0" w:color="auto"/>
      </w:divBdr>
    </w:div>
    <w:div w:id="256981412">
      <w:bodyDiv w:val="1"/>
      <w:marLeft w:val="0"/>
      <w:marRight w:val="0"/>
      <w:marTop w:val="0"/>
      <w:marBottom w:val="0"/>
      <w:divBdr>
        <w:top w:val="none" w:sz="0" w:space="0" w:color="auto"/>
        <w:left w:val="none" w:sz="0" w:space="0" w:color="auto"/>
        <w:bottom w:val="none" w:sz="0" w:space="0" w:color="auto"/>
        <w:right w:val="none" w:sz="0" w:space="0" w:color="auto"/>
      </w:divBdr>
    </w:div>
    <w:div w:id="360401215">
      <w:bodyDiv w:val="1"/>
      <w:marLeft w:val="0"/>
      <w:marRight w:val="0"/>
      <w:marTop w:val="0"/>
      <w:marBottom w:val="0"/>
      <w:divBdr>
        <w:top w:val="none" w:sz="0" w:space="0" w:color="auto"/>
        <w:left w:val="none" w:sz="0" w:space="0" w:color="auto"/>
        <w:bottom w:val="none" w:sz="0" w:space="0" w:color="auto"/>
        <w:right w:val="none" w:sz="0" w:space="0" w:color="auto"/>
      </w:divBdr>
    </w:div>
    <w:div w:id="366297086">
      <w:bodyDiv w:val="1"/>
      <w:marLeft w:val="0"/>
      <w:marRight w:val="0"/>
      <w:marTop w:val="0"/>
      <w:marBottom w:val="0"/>
      <w:divBdr>
        <w:top w:val="none" w:sz="0" w:space="0" w:color="auto"/>
        <w:left w:val="none" w:sz="0" w:space="0" w:color="auto"/>
        <w:bottom w:val="none" w:sz="0" w:space="0" w:color="auto"/>
        <w:right w:val="none" w:sz="0" w:space="0" w:color="auto"/>
      </w:divBdr>
      <w:divsChild>
        <w:div w:id="1548643730">
          <w:marLeft w:val="547"/>
          <w:marRight w:val="0"/>
          <w:marTop w:val="115"/>
          <w:marBottom w:val="0"/>
          <w:divBdr>
            <w:top w:val="none" w:sz="0" w:space="0" w:color="auto"/>
            <w:left w:val="none" w:sz="0" w:space="0" w:color="auto"/>
            <w:bottom w:val="none" w:sz="0" w:space="0" w:color="auto"/>
            <w:right w:val="none" w:sz="0" w:space="0" w:color="auto"/>
          </w:divBdr>
        </w:div>
        <w:div w:id="1753427244">
          <w:marLeft w:val="547"/>
          <w:marRight w:val="0"/>
          <w:marTop w:val="115"/>
          <w:marBottom w:val="0"/>
          <w:divBdr>
            <w:top w:val="none" w:sz="0" w:space="0" w:color="auto"/>
            <w:left w:val="none" w:sz="0" w:space="0" w:color="auto"/>
            <w:bottom w:val="none" w:sz="0" w:space="0" w:color="auto"/>
            <w:right w:val="none" w:sz="0" w:space="0" w:color="auto"/>
          </w:divBdr>
        </w:div>
        <w:div w:id="1218395449">
          <w:marLeft w:val="547"/>
          <w:marRight w:val="0"/>
          <w:marTop w:val="115"/>
          <w:marBottom w:val="0"/>
          <w:divBdr>
            <w:top w:val="none" w:sz="0" w:space="0" w:color="auto"/>
            <w:left w:val="none" w:sz="0" w:space="0" w:color="auto"/>
            <w:bottom w:val="none" w:sz="0" w:space="0" w:color="auto"/>
            <w:right w:val="none" w:sz="0" w:space="0" w:color="auto"/>
          </w:divBdr>
        </w:div>
        <w:div w:id="200019252">
          <w:marLeft w:val="547"/>
          <w:marRight w:val="0"/>
          <w:marTop w:val="115"/>
          <w:marBottom w:val="0"/>
          <w:divBdr>
            <w:top w:val="none" w:sz="0" w:space="0" w:color="auto"/>
            <w:left w:val="none" w:sz="0" w:space="0" w:color="auto"/>
            <w:bottom w:val="none" w:sz="0" w:space="0" w:color="auto"/>
            <w:right w:val="none" w:sz="0" w:space="0" w:color="auto"/>
          </w:divBdr>
        </w:div>
      </w:divsChild>
    </w:div>
    <w:div w:id="454256421">
      <w:bodyDiv w:val="1"/>
      <w:marLeft w:val="0"/>
      <w:marRight w:val="0"/>
      <w:marTop w:val="0"/>
      <w:marBottom w:val="0"/>
      <w:divBdr>
        <w:top w:val="none" w:sz="0" w:space="0" w:color="auto"/>
        <w:left w:val="none" w:sz="0" w:space="0" w:color="auto"/>
        <w:bottom w:val="none" w:sz="0" w:space="0" w:color="auto"/>
        <w:right w:val="none" w:sz="0" w:space="0" w:color="auto"/>
      </w:divBdr>
    </w:div>
    <w:div w:id="494103135">
      <w:bodyDiv w:val="1"/>
      <w:marLeft w:val="0"/>
      <w:marRight w:val="0"/>
      <w:marTop w:val="0"/>
      <w:marBottom w:val="0"/>
      <w:divBdr>
        <w:top w:val="none" w:sz="0" w:space="0" w:color="auto"/>
        <w:left w:val="none" w:sz="0" w:space="0" w:color="auto"/>
        <w:bottom w:val="none" w:sz="0" w:space="0" w:color="auto"/>
        <w:right w:val="none" w:sz="0" w:space="0" w:color="auto"/>
      </w:divBdr>
    </w:div>
    <w:div w:id="541938510">
      <w:bodyDiv w:val="1"/>
      <w:marLeft w:val="0"/>
      <w:marRight w:val="0"/>
      <w:marTop w:val="0"/>
      <w:marBottom w:val="0"/>
      <w:divBdr>
        <w:top w:val="none" w:sz="0" w:space="0" w:color="auto"/>
        <w:left w:val="none" w:sz="0" w:space="0" w:color="auto"/>
        <w:bottom w:val="none" w:sz="0" w:space="0" w:color="auto"/>
        <w:right w:val="none" w:sz="0" w:space="0" w:color="auto"/>
      </w:divBdr>
    </w:div>
    <w:div w:id="561907447">
      <w:bodyDiv w:val="1"/>
      <w:marLeft w:val="0"/>
      <w:marRight w:val="0"/>
      <w:marTop w:val="0"/>
      <w:marBottom w:val="0"/>
      <w:divBdr>
        <w:top w:val="none" w:sz="0" w:space="0" w:color="auto"/>
        <w:left w:val="none" w:sz="0" w:space="0" w:color="auto"/>
        <w:bottom w:val="none" w:sz="0" w:space="0" w:color="auto"/>
        <w:right w:val="none" w:sz="0" w:space="0" w:color="auto"/>
      </w:divBdr>
    </w:div>
    <w:div w:id="586621283">
      <w:bodyDiv w:val="1"/>
      <w:marLeft w:val="0"/>
      <w:marRight w:val="0"/>
      <w:marTop w:val="0"/>
      <w:marBottom w:val="0"/>
      <w:divBdr>
        <w:top w:val="none" w:sz="0" w:space="0" w:color="auto"/>
        <w:left w:val="none" w:sz="0" w:space="0" w:color="auto"/>
        <w:bottom w:val="none" w:sz="0" w:space="0" w:color="auto"/>
        <w:right w:val="none" w:sz="0" w:space="0" w:color="auto"/>
      </w:divBdr>
    </w:div>
    <w:div w:id="619071814">
      <w:bodyDiv w:val="1"/>
      <w:marLeft w:val="0"/>
      <w:marRight w:val="0"/>
      <w:marTop w:val="0"/>
      <w:marBottom w:val="0"/>
      <w:divBdr>
        <w:top w:val="none" w:sz="0" w:space="0" w:color="auto"/>
        <w:left w:val="none" w:sz="0" w:space="0" w:color="auto"/>
        <w:bottom w:val="none" w:sz="0" w:space="0" w:color="auto"/>
        <w:right w:val="none" w:sz="0" w:space="0" w:color="auto"/>
      </w:divBdr>
    </w:div>
    <w:div w:id="740176632">
      <w:bodyDiv w:val="1"/>
      <w:marLeft w:val="0"/>
      <w:marRight w:val="0"/>
      <w:marTop w:val="0"/>
      <w:marBottom w:val="0"/>
      <w:divBdr>
        <w:top w:val="none" w:sz="0" w:space="0" w:color="auto"/>
        <w:left w:val="none" w:sz="0" w:space="0" w:color="auto"/>
        <w:bottom w:val="none" w:sz="0" w:space="0" w:color="auto"/>
        <w:right w:val="none" w:sz="0" w:space="0" w:color="auto"/>
      </w:divBdr>
    </w:div>
    <w:div w:id="756942800">
      <w:bodyDiv w:val="1"/>
      <w:marLeft w:val="0"/>
      <w:marRight w:val="0"/>
      <w:marTop w:val="0"/>
      <w:marBottom w:val="0"/>
      <w:divBdr>
        <w:top w:val="none" w:sz="0" w:space="0" w:color="auto"/>
        <w:left w:val="none" w:sz="0" w:space="0" w:color="auto"/>
        <w:bottom w:val="none" w:sz="0" w:space="0" w:color="auto"/>
        <w:right w:val="none" w:sz="0" w:space="0" w:color="auto"/>
      </w:divBdr>
    </w:div>
    <w:div w:id="810438648">
      <w:bodyDiv w:val="1"/>
      <w:marLeft w:val="0"/>
      <w:marRight w:val="0"/>
      <w:marTop w:val="0"/>
      <w:marBottom w:val="0"/>
      <w:divBdr>
        <w:top w:val="none" w:sz="0" w:space="0" w:color="auto"/>
        <w:left w:val="none" w:sz="0" w:space="0" w:color="auto"/>
        <w:bottom w:val="none" w:sz="0" w:space="0" w:color="auto"/>
        <w:right w:val="none" w:sz="0" w:space="0" w:color="auto"/>
      </w:divBdr>
    </w:div>
    <w:div w:id="818110392">
      <w:bodyDiv w:val="1"/>
      <w:marLeft w:val="0"/>
      <w:marRight w:val="0"/>
      <w:marTop w:val="0"/>
      <w:marBottom w:val="0"/>
      <w:divBdr>
        <w:top w:val="none" w:sz="0" w:space="0" w:color="auto"/>
        <w:left w:val="none" w:sz="0" w:space="0" w:color="auto"/>
        <w:bottom w:val="none" w:sz="0" w:space="0" w:color="auto"/>
        <w:right w:val="none" w:sz="0" w:space="0" w:color="auto"/>
      </w:divBdr>
    </w:div>
    <w:div w:id="834803419">
      <w:bodyDiv w:val="1"/>
      <w:marLeft w:val="0"/>
      <w:marRight w:val="0"/>
      <w:marTop w:val="0"/>
      <w:marBottom w:val="0"/>
      <w:divBdr>
        <w:top w:val="none" w:sz="0" w:space="0" w:color="auto"/>
        <w:left w:val="none" w:sz="0" w:space="0" w:color="auto"/>
        <w:bottom w:val="none" w:sz="0" w:space="0" w:color="auto"/>
        <w:right w:val="none" w:sz="0" w:space="0" w:color="auto"/>
      </w:divBdr>
      <w:divsChild>
        <w:div w:id="1760176120">
          <w:marLeft w:val="547"/>
          <w:marRight w:val="0"/>
          <w:marTop w:val="115"/>
          <w:marBottom w:val="0"/>
          <w:divBdr>
            <w:top w:val="none" w:sz="0" w:space="0" w:color="auto"/>
            <w:left w:val="none" w:sz="0" w:space="0" w:color="auto"/>
            <w:bottom w:val="none" w:sz="0" w:space="0" w:color="auto"/>
            <w:right w:val="none" w:sz="0" w:space="0" w:color="auto"/>
          </w:divBdr>
        </w:div>
        <w:div w:id="1632056654">
          <w:marLeft w:val="547"/>
          <w:marRight w:val="0"/>
          <w:marTop w:val="115"/>
          <w:marBottom w:val="0"/>
          <w:divBdr>
            <w:top w:val="none" w:sz="0" w:space="0" w:color="auto"/>
            <w:left w:val="none" w:sz="0" w:space="0" w:color="auto"/>
            <w:bottom w:val="none" w:sz="0" w:space="0" w:color="auto"/>
            <w:right w:val="none" w:sz="0" w:space="0" w:color="auto"/>
          </w:divBdr>
        </w:div>
        <w:div w:id="682558811">
          <w:marLeft w:val="547"/>
          <w:marRight w:val="0"/>
          <w:marTop w:val="115"/>
          <w:marBottom w:val="0"/>
          <w:divBdr>
            <w:top w:val="none" w:sz="0" w:space="0" w:color="auto"/>
            <w:left w:val="none" w:sz="0" w:space="0" w:color="auto"/>
            <w:bottom w:val="none" w:sz="0" w:space="0" w:color="auto"/>
            <w:right w:val="none" w:sz="0" w:space="0" w:color="auto"/>
          </w:divBdr>
        </w:div>
        <w:div w:id="425351447">
          <w:marLeft w:val="547"/>
          <w:marRight w:val="0"/>
          <w:marTop w:val="115"/>
          <w:marBottom w:val="0"/>
          <w:divBdr>
            <w:top w:val="none" w:sz="0" w:space="0" w:color="auto"/>
            <w:left w:val="none" w:sz="0" w:space="0" w:color="auto"/>
            <w:bottom w:val="none" w:sz="0" w:space="0" w:color="auto"/>
            <w:right w:val="none" w:sz="0" w:space="0" w:color="auto"/>
          </w:divBdr>
        </w:div>
        <w:div w:id="2069184810">
          <w:marLeft w:val="547"/>
          <w:marRight w:val="0"/>
          <w:marTop w:val="115"/>
          <w:marBottom w:val="0"/>
          <w:divBdr>
            <w:top w:val="none" w:sz="0" w:space="0" w:color="auto"/>
            <w:left w:val="none" w:sz="0" w:space="0" w:color="auto"/>
            <w:bottom w:val="none" w:sz="0" w:space="0" w:color="auto"/>
            <w:right w:val="none" w:sz="0" w:space="0" w:color="auto"/>
          </w:divBdr>
        </w:div>
        <w:div w:id="11882476">
          <w:marLeft w:val="547"/>
          <w:marRight w:val="0"/>
          <w:marTop w:val="115"/>
          <w:marBottom w:val="0"/>
          <w:divBdr>
            <w:top w:val="none" w:sz="0" w:space="0" w:color="auto"/>
            <w:left w:val="none" w:sz="0" w:space="0" w:color="auto"/>
            <w:bottom w:val="none" w:sz="0" w:space="0" w:color="auto"/>
            <w:right w:val="none" w:sz="0" w:space="0" w:color="auto"/>
          </w:divBdr>
        </w:div>
      </w:divsChild>
    </w:div>
    <w:div w:id="1076324263">
      <w:bodyDiv w:val="1"/>
      <w:marLeft w:val="0"/>
      <w:marRight w:val="0"/>
      <w:marTop w:val="0"/>
      <w:marBottom w:val="0"/>
      <w:divBdr>
        <w:top w:val="none" w:sz="0" w:space="0" w:color="auto"/>
        <w:left w:val="none" w:sz="0" w:space="0" w:color="auto"/>
        <w:bottom w:val="none" w:sz="0" w:space="0" w:color="auto"/>
        <w:right w:val="none" w:sz="0" w:space="0" w:color="auto"/>
      </w:divBdr>
    </w:div>
    <w:div w:id="1133450246">
      <w:bodyDiv w:val="1"/>
      <w:marLeft w:val="0"/>
      <w:marRight w:val="0"/>
      <w:marTop w:val="0"/>
      <w:marBottom w:val="0"/>
      <w:divBdr>
        <w:top w:val="none" w:sz="0" w:space="0" w:color="auto"/>
        <w:left w:val="none" w:sz="0" w:space="0" w:color="auto"/>
        <w:bottom w:val="none" w:sz="0" w:space="0" w:color="auto"/>
        <w:right w:val="none" w:sz="0" w:space="0" w:color="auto"/>
      </w:divBdr>
    </w:div>
    <w:div w:id="1249191985">
      <w:bodyDiv w:val="1"/>
      <w:marLeft w:val="0"/>
      <w:marRight w:val="0"/>
      <w:marTop w:val="0"/>
      <w:marBottom w:val="0"/>
      <w:divBdr>
        <w:top w:val="none" w:sz="0" w:space="0" w:color="auto"/>
        <w:left w:val="none" w:sz="0" w:space="0" w:color="auto"/>
        <w:bottom w:val="none" w:sz="0" w:space="0" w:color="auto"/>
        <w:right w:val="none" w:sz="0" w:space="0" w:color="auto"/>
      </w:divBdr>
      <w:divsChild>
        <w:div w:id="1998999579">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 w:id="1285112520">
      <w:bodyDiv w:val="1"/>
      <w:marLeft w:val="0"/>
      <w:marRight w:val="0"/>
      <w:marTop w:val="0"/>
      <w:marBottom w:val="0"/>
      <w:divBdr>
        <w:top w:val="none" w:sz="0" w:space="0" w:color="auto"/>
        <w:left w:val="none" w:sz="0" w:space="0" w:color="auto"/>
        <w:bottom w:val="none" w:sz="0" w:space="0" w:color="auto"/>
        <w:right w:val="none" w:sz="0" w:space="0" w:color="auto"/>
      </w:divBdr>
    </w:div>
    <w:div w:id="1601834594">
      <w:bodyDiv w:val="1"/>
      <w:marLeft w:val="0"/>
      <w:marRight w:val="0"/>
      <w:marTop w:val="0"/>
      <w:marBottom w:val="0"/>
      <w:divBdr>
        <w:top w:val="none" w:sz="0" w:space="0" w:color="auto"/>
        <w:left w:val="none" w:sz="0" w:space="0" w:color="auto"/>
        <w:bottom w:val="none" w:sz="0" w:space="0" w:color="auto"/>
        <w:right w:val="none" w:sz="0" w:space="0" w:color="auto"/>
      </w:divBdr>
    </w:div>
    <w:div w:id="1644964981">
      <w:bodyDiv w:val="1"/>
      <w:marLeft w:val="0"/>
      <w:marRight w:val="0"/>
      <w:marTop w:val="0"/>
      <w:marBottom w:val="0"/>
      <w:divBdr>
        <w:top w:val="none" w:sz="0" w:space="0" w:color="auto"/>
        <w:left w:val="none" w:sz="0" w:space="0" w:color="auto"/>
        <w:bottom w:val="none" w:sz="0" w:space="0" w:color="auto"/>
        <w:right w:val="none" w:sz="0" w:space="0" w:color="auto"/>
      </w:divBdr>
    </w:div>
    <w:div w:id="1674068916">
      <w:bodyDiv w:val="1"/>
      <w:marLeft w:val="0"/>
      <w:marRight w:val="0"/>
      <w:marTop w:val="0"/>
      <w:marBottom w:val="0"/>
      <w:divBdr>
        <w:top w:val="none" w:sz="0" w:space="0" w:color="auto"/>
        <w:left w:val="none" w:sz="0" w:space="0" w:color="auto"/>
        <w:bottom w:val="none" w:sz="0" w:space="0" w:color="auto"/>
        <w:right w:val="none" w:sz="0" w:space="0" w:color="auto"/>
      </w:divBdr>
    </w:div>
    <w:div w:id="1742869213">
      <w:bodyDiv w:val="1"/>
      <w:marLeft w:val="0"/>
      <w:marRight w:val="0"/>
      <w:marTop w:val="0"/>
      <w:marBottom w:val="0"/>
      <w:divBdr>
        <w:top w:val="none" w:sz="0" w:space="0" w:color="auto"/>
        <w:left w:val="none" w:sz="0" w:space="0" w:color="auto"/>
        <w:bottom w:val="none" w:sz="0" w:space="0" w:color="auto"/>
        <w:right w:val="none" w:sz="0" w:space="0" w:color="auto"/>
      </w:divBdr>
    </w:div>
    <w:div w:id="1755662406">
      <w:bodyDiv w:val="1"/>
      <w:marLeft w:val="0"/>
      <w:marRight w:val="0"/>
      <w:marTop w:val="0"/>
      <w:marBottom w:val="0"/>
      <w:divBdr>
        <w:top w:val="none" w:sz="0" w:space="0" w:color="auto"/>
        <w:left w:val="none" w:sz="0" w:space="0" w:color="auto"/>
        <w:bottom w:val="none" w:sz="0" w:space="0" w:color="auto"/>
        <w:right w:val="none" w:sz="0" w:space="0" w:color="auto"/>
      </w:divBdr>
    </w:div>
    <w:div w:id="188890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3331</Words>
  <Characters>18988</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Universitätsklinikum Leipzig AöR</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Wartenberg, Katja</dc:creator>
  <cp:keywords/>
  <dc:description/>
  <cp:lastModifiedBy>Rajajee, Venkatakrishna (Krishna)</cp:lastModifiedBy>
  <cp:revision>3</cp:revision>
  <dcterms:created xsi:type="dcterms:W3CDTF">2022-10-06T19:24:00Z</dcterms:created>
  <dcterms:modified xsi:type="dcterms:W3CDTF">2022-10-06T19:27:00Z</dcterms:modified>
</cp:coreProperties>
</file>