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D417" w14:textId="7B9025E1" w:rsidR="007F6541" w:rsidRPr="00AB7D79" w:rsidRDefault="007F6541" w:rsidP="007F65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B7D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Appendix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</w:t>
      </w:r>
      <w:r w:rsidRPr="00AB7D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. Cohort Definitions and Exact Codes</w:t>
      </w:r>
    </w:p>
    <w:p w14:paraId="18333A2B" w14:textId="77777777" w:rsidR="007F6541" w:rsidRPr="00AB7D79" w:rsidRDefault="007F6541" w:rsidP="007F65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Severe TBI With Complicated Diabetes Cohort</w:t>
      </w:r>
    </w:p>
    <w:p w14:paraId="004B45DD" w14:textId="77777777" w:rsidR="007F6541" w:rsidRPr="009D75F3" w:rsidRDefault="007F6541" w:rsidP="007F6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Patients were required to meet </w:t>
      </w:r>
      <w:proofErr w:type="gramStart"/>
      <w:r w:rsidRPr="009D75F3">
        <w:rPr>
          <w:rFonts w:ascii="Times New Roman" w:eastAsia="Times New Roman" w:hAnsi="Times New Roman" w:cs="Times New Roman"/>
          <w:kern w:val="0"/>
        </w:rPr>
        <w:t>all of</w:t>
      </w:r>
      <w:proofErr w:type="gramEnd"/>
      <w:r w:rsidRPr="009D75F3">
        <w:rPr>
          <w:rFonts w:ascii="Times New Roman" w:eastAsia="Times New Roman" w:hAnsi="Times New Roman" w:cs="Times New Roman"/>
          <w:kern w:val="0"/>
        </w:rPr>
        <w:t xml:space="preserve"> the following criteria:</w:t>
      </w:r>
    </w:p>
    <w:p w14:paraId="62C3DDC7" w14:textId="77777777" w:rsidR="007F6541" w:rsidRPr="009D75F3" w:rsidRDefault="007F6541" w:rsidP="007F6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Age ≥18 years </w:t>
      </w:r>
    </w:p>
    <w:p w14:paraId="0F1FFD1E" w14:textId="77777777" w:rsidR="007F6541" w:rsidRPr="009D75F3" w:rsidRDefault="007F6541" w:rsidP="007F6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Severe traumatic brain injury defined by: </w:t>
      </w:r>
    </w:p>
    <w:p w14:paraId="593E1B99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R41.3 — Other amnesia </w:t>
      </w:r>
    </w:p>
    <w:p w14:paraId="3EB5A329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S02.0 — Fracture of vault of skull </w:t>
      </w:r>
    </w:p>
    <w:p w14:paraId="594128EB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S02.1 — Fracture of base of skull </w:t>
      </w:r>
    </w:p>
    <w:p w14:paraId="33CBB516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S02.8 — Fractures of other specified skull and facial bones </w:t>
      </w:r>
    </w:p>
    <w:p w14:paraId="28EECE2E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S06 — Intracranial injury </w:t>
      </w:r>
    </w:p>
    <w:p w14:paraId="6C689599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S09 — Other and unspecified injuries of head </w:t>
      </w:r>
    </w:p>
    <w:p w14:paraId="033FF517" w14:textId="77777777" w:rsidR="007F6541" w:rsidRPr="009D75F3" w:rsidRDefault="007F6541" w:rsidP="007F6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Severe neurologic injury severity defined by either: </w:t>
      </w:r>
    </w:p>
    <w:p w14:paraId="47AA130D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LOINC 9269-2 — Glasgow Coma Scale total score between 3 and 8 </w:t>
      </w:r>
    </w:p>
    <w:p w14:paraId="62A9AD31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R40.243 — Glasgow Coma Scale score 3–8 </w:t>
      </w:r>
    </w:p>
    <w:p w14:paraId="22662EFB" w14:textId="77777777" w:rsidR="007F6541" w:rsidRPr="009D75F3" w:rsidRDefault="007F6541" w:rsidP="007F6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Evidence of complicated diabetes within 1 year prior to index injury defined by: </w:t>
      </w:r>
    </w:p>
    <w:p w14:paraId="45252887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Hemoglobin A1c ≥8.0% (TNX:9037) </w:t>
      </w:r>
    </w:p>
    <w:p w14:paraId="3D90989D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E11.0–E11.8 — Complicated type 2 diabetes mellitus </w:t>
      </w:r>
    </w:p>
    <w:p w14:paraId="6F3B8324" w14:textId="77777777" w:rsidR="007F6541" w:rsidRPr="009D75F3" w:rsidRDefault="007F6541" w:rsidP="007F654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E10.1–E10.8 — Complicated type 1 diabetes mellitus </w:t>
      </w:r>
    </w:p>
    <w:p w14:paraId="5923008D" w14:textId="77777777" w:rsidR="007F6541" w:rsidRPr="00AB7D79" w:rsidRDefault="007F6541" w:rsidP="007F65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Severe TBI Without Diabetes Cohort</w:t>
      </w:r>
    </w:p>
    <w:p w14:paraId="2ED90075" w14:textId="77777777" w:rsidR="007F6541" w:rsidRPr="009D75F3" w:rsidRDefault="007F6541" w:rsidP="007F6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Patients were required to meet </w:t>
      </w:r>
      <w:proofErr w:type="gramStart"/>
      <w:r w:rsidRPr="009D75F3">
        <w:rPr>
          <w:rFonts w:ascii="Times New Roman" w:eastAsia="Times New Roman" w:hAnsi="Times New Roman" w:cs="Times New Roman"/>
          <w:kern w:val="0"/>
        </w:rPr>
        <w:t>all of</w:t>
      </w:r>
      <w:proofErr w:type="gramEnd"/>
      <w:r w:rsidRPr="009D75F3">
        <w:rPr>
          <w:rFonts w:ascii="Times New Roman" w:eastAsia="Times New Roman" w:hAnsi="Times New Roman" w:cs="Times New Roman"/>
          <w:kern w:val="0"/>
        </w:rPr>
        <w:t xml:space="preserve"> the following criteria:</w:t>
      </w:r>
    </w:p>
    <w:p w14:paraId="55F35D2C" w14:textId="77777777" w:rsidR="007F6541" w:rsidRPr="009D75F3" w:rsidRDefault="007F6541" w:rsidP="007F65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Age ≥18 years </w:t>
      </w:r>
    </w:p>
    <w:p w14:paraId="744A4490" w14:textId="77777777" w:rsidR="007F6541" w:rsidRPr="009D75F3" w:rsidRDefault="007F6541" w:rsidP="007F65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Severe traumatic brain injury defined by: </w:t>
      </w:r>
    </w:p>
    <w:p w14:paraId="60353183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R41.3 </w:t>
      </w:r>
    </w:p>
    <w:p w14:paraId="73B94953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S02.0 </w:t>
      </w:r>
    </w:p>
    <w:p w14:paraId="263EF415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S02.1 </w:t>
      </w:r>
    </w:p>
    <w:p w14:paraId="582697EE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S02.8 </w:t>
      </w:r>
    </w:p>
    <w:p w14:paraId="5B9F582E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S06 </w:t>
      </w:r>
    </w:p>
    <w:p w14:paraId="0B06CAEF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S09 </w:t>
      </w:r>
    </w:p>
    <w:p w14:paraId="1EA3EDB8" w14:textId="77777777" w:rsidR="007F6541" w:rsidRPr="009D75F3" w:rsidRDefault="007F6541" w:rsidP="007F65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Severe neurologic injury severity defined by either: </w:t>
      </w:r>
    </w:p>
    <w:p w14:paraId="11E37CD8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LOINC 9269-2 — Glasgow Coma Scale total score between 3 and 8 </w:t>
      </w:r>
    </w:p>
    <w:p w14:paraId="5F392B81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ICD-10-CM R40.243 — Glasgow Coma Scale score 3–8 </w:t>
      </w:r>
    </w:p>
    <w:p w14:paraId="2F46E72E" w14:textId="77777777" w:rsidR="007F6541" w:rsidRPr="009D75F3" w:rsidRDefault="007F6541" w:rsidP="007F65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No evidence of diabetes defined by: </w:t>
      </w:r>
    </w:p>
    <w:p w14:paraId="4E1F9817" w14:textId="77777777" w:rsidR="007F6541" w:rsidRPr="009D75F3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Absence of hemoglobin A1c ≥6.5% (TNX:9037) </w:t>
      </w:r>
    </w:p>
    <w:p w14:paraId="2D1A9607" w14:textId="77777777" w:rsidR="007F6541" w:rsidRDefault="007F6541" w:rsidP="007F654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Absence of ICD-10-CM E08–E13 diabetes mellitus diagnoses </w:t>
      </w:r>
    </w:p>
    <w:p w14:paraId="021B5743" w14:textId="77777777" w:rsidR="00EC19B8" w:rsidRDefault="00EC19B8" w:rsidP="00EC19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</w:p>
    <w:p w14:paraId="128B1777" w14:textId="3E97EDAE" w:rsidR="00EC19B8" w:rsidRPr="009D75F3" w:rsidRDefault="00EC19B8" w:rsidP="00EC19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Footnote: </w:t>
      </w:r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TBI identification codes follow NIH/National Academies coding guidance (National Academies of Sciences, Engineering, and Medicine. </w:t>
      </w:r>
      <w:r w:rsidRPr="00EC19B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</w:rPr>
        <w:t>Evaluation of the Disability Determination Process for Traumatic Brain Injury in Veterans</w:t>
      </w:r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>. Washington, DC: National Academies Press; 2019) and are consistent with Rasmussen et al. (J Clin Med. 2025;14:</w:t>
      </w:r>
      <w:proofErr w:type="gramStart"/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>4510)</w:t>
      </w:r>
      <w:r>
        <w:rPr>
          <w:rFonts w:ascii="Times New Roman" w:eastAsia="Times New Roman" w:hAnsi="Times New Roman" w:cs="Times New Roman"/>
          <w:kern w:val="0"/>
          <w:sz w:val="20"/>
          <w:szCs w:val="20"/>
        </w:rPr>
        <w:t>[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</w:rPr>
        <w:t>13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], </w:t>
      </w:r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and</w:t>
      </w:r>
      <w:proofErr w:type="gramEnd"/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Shaik et al. (Surgeries. </w:t>
      </w:r>
      <w:proofErr w:type="gramStart"/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>2025;6:38</w:t>
      </w:r>
      <w:proofErr w:type="gramEnd"/>
      <w:r w:rsidRPr="00EC19B8">
        <w:rPr>
          <w:rFonts w:ascii="Times New Roman" w:eastAsia="Times New Roman" w:hAnsi="Times New Roman" w:cs="Times New Roman"/>
          <w:kern w:val="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kern w:val="0"/>
          <w:sz w:val="20"/>
          <w:szCs w:val="20"/>
        </w:rPr>
        <w:t>, [8].</w:t>
      </w:r>
    </w:p>
    <w:p w14:paraId="1B52325B" w14:textId="77777777" w:rsidR="007F6541" w:rsidRDefault="007F6541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4EE6A28D" w14:textId="77777777" w:rsidR="007F6541" w:rsidRDefault="007F6541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6F76C823" w14:textId="77777777" w:rsidR="007F6541" w:rsidRDefault="007F6541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5A63EB6A" w14:textId="6128A60A" w:rsidR="009D75F3" w:rsidRPr="00AB7D79" w:rsidRDefault="009D75F3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B7D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Appendix </w:t>
      </w:r>
      <w:r w:rsidR="007F65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B</w:t>
      </w:r>
      <w:r w:rsidRPr="00AB7D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. Propensity Score Matching Variables and Coding Definitions</w:t>
      </w:r>
    </w:p>
    <w:p w14:paraId="464B2876" w14:textId="77777777" w:rsidR="009D75F3" w:rsidRPr="009D75F3" w:rsidRDefault="009D75F3" w:rsidP="009D75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</w:rPr>
      </w:pPr>
      <w:r w:rsidRPr="009D75F3">
        <w:rPr>
          <w:rFonts w:ascii="Times New Roman" w:eastAsia="Times New Roman" w:hAnsi="Times New Roman" w:cs="Times New Roman"/>
          <w:kern w:val="0"/>
        </w:rPr>
        <w:t xml:space="preserve">Propensity score matching (PSM) was performed within the </w:t>
      </w:r>
      <w:proofErr w:type="spellStart"/>
      <w:r w:rsidRPr="009D75F3">
        <w:rPr>
          <w:rFonts w:ascii="Times New Roman" w:eastAsia="Times New Roman" w:hAnsi="Times New Roman" w:cs="Times New Roman"/>
          <w:kern w:val="0"/>
        </w:rPr>
        <w:t>TriNetX</w:t>
      </w:r>
      <w:proofErr w:type="spellEnd"/>
      <w:r w:rsidRPr="009D75F3">
        <w:rPr>
          <w:rFonts w:ascii="Times New Roman" w:eastAsia="Times New Roman" w:hAnsi="Times New Roman" w:cs="Times New Roman"/>
          <w:kern w:val="0"/>
        </w:rPr>
        <w:t xml:space="preserve"> platform using nearest-neighbor matching to balance baseline demographic, clinical, medication, and laboratory characteristics between severe traumatic brain injury (TBI) patients with complicated diabetes and severe TBI patients without diabetes.</w:t>
      </w:r>
    </w:p>
    <w:p w14:paraId="0B09AB09" w14:textId="77777777" w:rsidR="00AB7D79" w:rsidRDefault="00AB7D79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</w:p>
    <w:p w14:paraId="4C5C005F" w14:textId="4FAF16C7" w:rsidR="009D75F3" w:rsidRPr="00AB7D79" w:rsidRDefault="009D75F3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Demographic Variables Included in Matching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3034"/>
      </w:tblGrid>
      <w:tr w:rsidR="009D75F3" w:rsidRPr="009D75F3" w14:paraId="3339AAE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871D9F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5A881FD2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Coding Definition</w:t>
            </w:r>
          </w:p>
        </w:tc>
      </w:tr>
      <w:tr w:rsidR="009D75F3" w:rsidRPr="009D75F3" w14:paraId="70D661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F6A7E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Age at index</w:t>
            </w:r>
          </w:p>
        </w:tc>
        <w:tc>
          <w:tcPr>
            <w:tcW w:w="0" w:type="auto"/>
            <w:vAlign w:val="center"/>
            <w:hideMark/>
          </w:tcPr>
          <w:p w14:paraId="55852B2E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D75F3">
              <w:rPr>
                <w:rFonts w:ascii="Times New Roman" w:eastAsia="Times New Roman" w:hAnsi="Times New Roman" w:cs="Times New Roman"/>
                <w:kern w:val="0"/>
              </w:rPr>
              <w:t>TriNetX</w:t>
            </w:r>
            <w:proofErr w:type="spellEnd"/>
            <w:r w:rsidRPr="009D75F3">
              <w:rPr>
                <w:rFonts w:ascii="Times New Roman" w:eastAsia="Times New Roman" w:hAnsi="Times New Roman" w:cs="Times New Roman"/>
                <w:kern w:val="0"/>
              </w:rPr>
              <w:t xml:space="preserve"> demographic variable</w:t>
            </w:r>
          </w:p>
        </w:tc>
      </w:tr>
      <w:tr w:rsidR="009D75F3" w:rsidRPr="009D75F3" w14:paraId="6979B2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8150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Female sex</w:t>
            </w:r>
          </w:p>
        </w:tc>
        <w:tc>
          <w:tcPr>
            <w:tcW w:w="0" w:type="auto"/>
            <w:vAlign w:val="center"/>
            <w:hideMark/>
          </w:tcPr>
          <w:p w14:paraId="12FC05DD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HL7V3.0 Gender: F</w:t>
            </w:r>
          </w:p>
        </w:tc>
      </w:tr>
      <w:tr w:rsidR="009D75F3" w:rsidRPr="009D75F3" w14:paraId="583EAA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04A20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White race</w:t>
            </w:r>
          </w:p>
        </w:tc>
        <w:tc>
          <w:tcPr>
            <w:tcW w:w="0" w:type="auto"/>
            <w:vAlign w:val="center"/>
            <w:hideMark/>
          </w:tcPr>
          <w:p w14:paraId="1218B0AD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LOINC 2106-3</w:t>
            </w:r>
          </w:p>
        </w:tc>
      </w:tr>
      <w:tr w:rsidR="009D75F3" w:rsidRPr="009D75F3" w14:paraId="5816CD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D240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Hispanic or Latino ethnicity</w:t>
            </w:r>
          </w:p>
        </w:tc>
        <w:tc>
          <w:tcPr>
            <w:tcW w:w="0" w:type="auto"/>
            <w:vAlign w:val="center"/>
            <w:hideMark/>
          </w:tcPr>
          <w:p w14:paraId="19CC9257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LOINC 2135-2</w:t>
            </w:r>
          </w:p>
        </w:tc>
      </w:tr>
    </w:tbl>
    <w:p w14:paraId="6BA262A4" w14:textId="77777777" w:rsidR="00AB7D79" w:rsidRDefault="00AB7D79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</w:p>
    <w:p w14:paraId="7DC637F4" w14:textId="0AD36A51" w:rsidR="009D75F3" w:rsidRPr="00AB7D79" w:rsidRDefault="009D75F3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Comorbidities Included in Matching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1682"/>
      </w:tblGrid>
      <w:tr w:rsidR="009D75F3" w:rsidRPr="009D75F3" w14:paraId="2C6C773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5D749E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Comorbidity</w:t>
            </w:r>
          </w:p>
        </w:tc>
        <w:tc>
          <w:tcPr>
            <w:tcW w:w="0" w:type="auto"/>
            <w:vAlign w:val="center"/>
            <w:hideMark/>
          </w:tcPr>
          <w:p w14:paraId="744F974E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ICD-10 Code(s)</w:t>
            </w:r>
          </w:p>
        </w:tc>
      </w:tr>
      <w:tr w:rsidR="009D75F3" w:rsidRPr="009D75F3" w14:paraId="7E44DE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701D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Other liver disease</w:t>
            </w:r>
          </w:p>
        </w:tc>
        <w:tc>
          <w:tcPr>
            <w:tcW w:w="0" w:type="auto"/>
            <w:vAlign w:val="center"/>
            <w:hideMark/>
          </w:tcPr>
          <w:p w14:paraId="6B7EE5D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K76</w:t>
            </w:r>
          </w:p>
        </w:tc>
      </w:tr>
      <w:tr w:rsidR="009D75F3" w:rsidRPr="009D75F3" w14:paraId="4DD0A8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2C37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Heart failure</w:t>
            </w:r>
          </w:p>
        </w:tc>
        <w:tc>
          <w:tcPr>
            <w:tcW w:w="0" w:type="auto"/>
            <w:vAlign w:val="center"/>
            <w:hideMark/>
          </w:tcPr>
          <w:p w14:paraId="71E0880F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I50</w:t>
            </w:r>
          </w:p>
        </w:tc>
      </w:tr>
      <w:tr w:rsidR="009D75F3" w:rsidRPr="009D75F3" w14:paraId="0BC00C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1E1A8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6C9ADA9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I10</w:t>
            </w:r>
          </w:p>
        </w:tc>
      </w:tr>
      <w:tr w:rsidR="009D75F3" w:rsidRPr="009D75F3" w14:paraId="298243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C4EE8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Ischemic heart disease</w:t>
            </w:r>
          </w:p>
        </w:tc>
        <w:tc>
          <w:tcPr>
            <w:tcW w:w="0" w:type="auto"/>
            <w:vAlign w:val="center"/>
            <w:hideMark/>
          </w:tcPr>
          <w:p w14:paraId="2A5C1444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I20–I25</w:t>
            </w:r>
          </w:p>
        </w:tc>
      </w:tr>
      <w:tr w:rsidR="009D75F3" w:rsidRPr="009D75F3" w14:paraId="4B87FE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28F50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Peripheral vascular disease</w:t>
            </w:r>
          </w:p>
        </w:tc>
        <w:tc>
          <w:tcPr>
            <w:tcW w:w="0" w:type="auto"/>
            <w:vAlign w:val="center"/>
            <w:hideMark/>
          </w:tcPr>
          <w:p w14:paraId="31209F3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I70–I79</w:t>
            </w:r>
          </w:p>
        </w:tc>
      </w:tr>
      <w:tr w:rsidR="009D75F3" w:rsidRPr="009D75F3" w14:paraId="03958C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3D89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Chronic kidney disease</w:t>
            </w:r>
          </w:p>
        </w:tc>
        <w:tc>
          <w:tcPr>
            <w:tcW w:w="0" w:type="auto"/>
            <w:vAlign w:val="center"/>
            <w:hideMark/>
          </w:tcPr>
          <w:p w14:paraId="4F081189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N18</w:t>
            </w:r>
          </w:p>
        </w:tc>
      </w:tr>
      <w:tr w:rsidR="009D75F3" w:rsidRPr="009D75F3" w14:paraId="518800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D8B3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Chronic pulmonary disease</w:t>
            </w:r>
          </w:p>
        </w:tc>
        <w:tc>
          <w:tcPr>
            <w:tcW w:w="0" w:type="auto"/>
            <w:vAlign w:val="center"/>
            <w:hideMark/>
          </w:tcPr>
          <w:p w14:paraId="08E197C4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J40–J4A</w:t>
            </w:r>
          </w:p>
        </w:tc>
      </w:tr>
    </w:tbl>
    <w:p w14:paraId="6D41A7E8" w14:textId="77777777" w:rsidR="00AB7D79" w:rsidRDefault="00AB7D79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</w:p>
    <w:p w14:paraId="697BFDF0" w14:textId="34CE6691" w:rsidR="009D75F3" w:rsidRPr="00AB7D79" w:rsidRDefault="009D75F3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Medication Variables Included in Matching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1"/>
        <w:gridCol w:w="2526"/>
        <w:gridCol w:w="1349"/>
      </w:tblGrid>
      <w:tr w:rsidR="009D75F3" w:rsidRPr="009D75F3" w14:paraId="3FAD54F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C9CB7C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Medication</w:t>
            </w:r>
          </w:p>
        </w:tc>
        <w:tc>
          <w:tcPr>
            <w:tcW w:w="0" w:type="auto"/>
            <w:vAlign w:val="center"/>
            <w:hideMark/>
          </w:tcPr>
          <w:p w14:paraId="5C903215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Coding System</w:t>
            </w:r>
          </w:p>
        </w:tc>
        <w:tc>
          <w:tcPr>
            <w:tcW w:w="0" w:type="auto"/>
            <w:vAlign w:val="center"/>
            <w:hideMark/>
          </w:tcPr>
          <w:p w14:paraId="22DE27E6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Exact Codes</w:t>
            </w:r>
          </w:p>
        </w:tc>
      </w:tr>
      <w:tr w:rsidR="009D75F3" w:rsidRPr="009D75F3" w14:paraId="02ABDB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2046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Sodium-glucose cotransporter-2 (SGLT2) inhibitors</w:t>
            </w:r>
          </w:p>
        </w:tc>
        <w:tc>
          <w:tcPr>
            <w:tcW w:w="0" w:type="auto"/>
            <w:vAlign w:val="center"/>
            <w:hideMark/>
          </w:tcPr>
          <w:p w14:paraId="1D8F36B0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ATC</w:t>
            </w:r>
          </w:p>
        </w:tc>
        <w:tc>
          <w:tcPr>
            <w:tcW w:w="0" w:type="auto"/>
            <w:vAlign w:val="center"/>
            <w:hideMark/>
          </w:tcPr>
          <w:p w14:paraId="1A31C6FF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A10BK</w:t>
            </w:r>
          </w:p>
        </w:tc>
      </w:tr>
      <w:tr w:rsidR="009D75F3" w:rsidRPr="009D75F3" w14:paraId="1230C9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13B9D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lastRenderedPageBreak/>
              <w:t>Insulin</w:t>
            </w:r>
          </w:p>
        </w:tc>
        <w:tc>
          <w:tcPr>
            <w:tcW w:w="0" w:type="auto"/>
            <w:vAlign w:val="center"/>
            <w:hideMark/>
          </w:tcPr>
          <w:p w14:paraId="13F8BD1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D75F3">
              <w:rPr>
                <w:rFonts w:ascii="Times New Roman" w:eastAsia="Times New Roman" w:hAnsi="Times New Roman" w:cs="Times New Roman"/>
                <w:kern w:val="0"/>
              </w:rPr>
              <w:t>TriNetX</w:t>
            </w:r>
            <w:proofErr w:type="spellEnd"/>
            <w:r w:rsidRPr="009D75F3">
              <w:rPr>
                <w:rFonts w:ascii="Times New Roman" w:eastAsia="Times New Roman" w:hAnsi="Times New Roman" w:cs="Times New Roman"/>
                <w:kern w:val="0"/>
              </w:rPr>
              <w:t xml:space="preserve"> medication class</w:t>
            </w:r>
          </w:p>
        </w:tc>
        <w:tc>
          <w:tcPr>
            <w:tcW w:w="0" w:type="auto"/>
            <w:vAlign w:val="center"/>
            <w:hideMark/>
          </w:tcPr>
          <w:p w14:paraId="487A2D8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HS501</w:t>
            </w:r>
          </w:p>
        </w:tc>
      </w:tr>
      <w:tr w:rsidR="009D75F3" w:rsidRPr="009D75F3" w14:paraId="6CB20A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EA48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Metformin</w:t>
            </w:r>
          </w:p>
        </w:tc>
        <w:tc>
          <w:tcPr>
            <w:tcW w:w="0" w:type="auto"/>
            <w:vAlign w:val="center"/>
            <w:hideMark/>
          </w:tcPr>
          <w:p w14:paraId="6AEA2934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D75F3">
              <w:rPr>
                <w:rFonts w:ascii="Times New Roman" w:eastAsia="Times New Roman" w:hAnsi="Times New Roman" w:cs="Times New Roman"/>
                <w:kern w:val="0"/>
              </w:rPr>
              <w:t>RxNorm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B9438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6809</w:t>
            </w:r>
          </w:p>
        </w:tc>
      </w:tr>
    </w:tbl>
    <w:p w14:paraId="67B13241" w14:textId="77777777" w:rsidR="00AB7D79" w:rsidRDefault="00AB7D79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</w:p>
    <w:p w14:paraId="054C8844" w14:textId="0CF32A7A" w:rsidR="009D75F3" w:rsidRPr="00AB7D79" w:rsidRDefault="009D75F3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Laboratory Variables Included in Matching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1"/>
        <w:gridCol w:w="1673"/>
        <w:gridCol w:w="1349"/>
      </w:tblGrid>
      <w:tr w:rsidR="009D75F3" w:rsidRPr="009D75F3" w14:paraId="4F71C41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144A87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Laboratory Variable</w:t>
            </w:r>
          </w:p>
        </w:tc>
        <w:tc>
          <w:tcPr>
            <w:tcW w:w="0" w:type="auto"/>
            <w:vAlign w:val="center"/>
            <w:hideMark/>
          </w:tcPr>
          <w:p w14:paraId="797C153A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Coding System</w:t>
            </w:r>
          </w:p>
        </w:tc>
        <w:tc>
          <w:tcPr>
            <w:tcW w:w="0" w:type="auto"/>
            <w:vAlign w:val="center"/>
            <w:hideMark/>
          </w:tcPr>
          <w:p w14:paraId="28473966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Exact Codes</w:t>
            </w:r>
          </w:p>
        </w:tc>
      </w:tr>
      <w:tr w:rsidR="009D75F3" w:rsidRPr="009D75F3" w14:paraId="5B649A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D600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Glasgow Coma Scale (GCS) total score</w:t>
            </w:r>
          </w:p>
        </w:tc>
        <w:tc>
          <w:tcPr>
            <w:tcW w:w="0" w:type="auto"/>
            <w:vAlign w:val="center"/>
            <w:hideMark/>
          </w:tcPr>
          <w:p w14:paraId="16D8ED8B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LOINC</w:t>
            </w:r>
          </w:p>
        </w:tc>
        <w:tc>
          <w:tcPr>
            <w:tcW w:w="0" w:type="auto"/>
            <w:vAlign w:val="center"/>
            <w:hideMark/>
          </w:tcPr>
          <w:p w14:paraId="1B1DA58C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9269-2</w:t>
            </w:r>
          </w:p>
        </w:tc>
      </w:tr>
      <w:tr w:rsidR="009D75F3" w:rsidRPr="009D75F3" w14:paraId="1C9CC8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E00B5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Body mass index (BMI)</w:t>
            </w:r>
          </w:p>
        </w:tc>
        <w:tc>
          <w:tcPr>
            <w:tcW w:w="0" w:type="auto"/>
            <w:vAlign w:val="center"/>
            <w:hideMark/>
          </w:tcPr>
          <w:p w14:paraId="25EE04D6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LOINC</w:t>
            </w:r>
          </w:p>
        </w:tc>
        <w:tc>
          <w:tcPr>
            <w:tcW w:w="0" w:type="auto"/>
            <w:vAlign w:val="center"/>
            <w:hideMark/>
          </w:tcPr>
          <w:p w14:paraId="373C3A7E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9083</w:t>
            </w:r>
          </w:p>
        </w:tc>
      </w:tr>
      <w:tr w:rsidR="009D75F3" w:rsidRPr="009D75F3" w14:paraId="24FC7F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0D9FC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Hemoglobin A1c</w:t>
            </w:r>
          </w:p>
        </w:tc>
        <w:tc>
          <w:tcPr>
            <w:tcW w:w="0" w:type="auto"/>
            <w:vAlign w:val="center"/>
            <w:hideMark/>
          </w:tcPr>
          <w:p w14:paraId="78476D2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D75F3">
              <w:rPr>
                <w:rFonts w:ascii="Times New Roman" w:eastAsia="Times New Roman" w:hAnsi="Times New Roman" w:cs="Times New Roman"/>
                <w:kern w:val="0"/>
              </w:rPr>
              <w:t>TriNetX</w:t>
            </w:r>
            <w:proofErr w:type="spellEnd"/>
            <w:r w:rsidRPr="009D75F3">
              <w:rPr>
                <w:rFonts w:ascii="Times New Roman" w:eastAsia="Times New Roman" w:hAnsi="Times New Roman" w:cs="Times New Roman"/>
                <w:kern w:val="0"/>
              </w:rPr>
              <w:t>/LOINC</w:t>
            </w:r>
          </w:p>
        </w:tc>
        <w:tc>
          <w:tcPr>
            <w:tcW w:w="0" w:type="auto"/>
            <w:vAlign w:val="center"/>
            <w:hideMark/>
          </w:tcPr>
          <w:p w14:paraId="6732DAB0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TNX:9037</w:t>
            </w:r>
          </w:p>
        </w:tc>
      </w:tr>
    </w:tbl>
    <w:p w14:paraId="5B75FAE2" w14:textId="77777777" w:rsidR="00AB7D79" w:rsidRDefault="00AB7D79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</w:p>
    <w:p w14:paraId="05AAE158" w14:textId="13E1E0B3" w:rsidR="009D75F3" w:rsidRPr="00AB7D79" w:rsidRDefault="009D75F3" w:rsidP="009D75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AB7D79">
        <w:rPr>
          <w:rFonts w:ascii="Times New Roman" w:eastAsia="Times New Roman" w:hAnsi="Times New Roman" w:cs="Times New Roman"/>
          <w:b/>
          <w:bCs/>
          <w:kern w:val="0"/>
        </w:rPr>
        <w:t>BMI Categories Used in Matching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2262"/>
      </w:tblGrid>
      <w:tr w:rsidR="009D75F3" w:rsidRPr="009D75F3" w14:paraId="218019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93A2B2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BMI Category</w:t>
            </w:r>
          </w:p>
        </w:tc>
        <w:tc>
          <w:tcPr>
            <w:tcW w:w="0" w:type="auto"/>
            <w:vAlign w:val="center"/>
            <w:hideMark/>
          </w:tcPr>
          <w:p w14:paraId="45D54335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Definition</w:t>
            </w:r>
          </w:p>
        </w:tc>
      </w:tr>
      <w:tr w:rsidR="009D75F3" w:rsidRPr="009D75F3" w14:paraId="46530D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FD3E9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&lt;30 kg/m²</w:t>
            </w:r>
          </w:p>
        </w:tc>
        <w:tc>
          <w:tcPr>
            <w:tcW w:w="0" w:type="auto"/>
            <w:vAlign w:val="center"/>
            <w:hideMark/>
          </w:tcPr>
          <w:p w14:paraId="738166D6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Non-obese/overweight</w:t>
            </w:r>
          </w:p>
        </w:tc>
      </w:tr>
      <w:tr w:rsidR="009D75F3" w:rsidRPr="009D75F3" w14:paraId="31C7CA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2D80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30–35 kg/m²</w:t>
            </w:r>
          </w:p>
        </w:tc>
        <w:tc>
          <w:tcPr>
            <w:tcW w:w="0" w:type="auto"/>
            <w:vAlign w:val="center"/>
            <w:hideMark/>
          </w:tcPr>
          <w:p w14:paraId="4E65C87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Class I obesity</w:t>
            </w:r>
          </w:p>
        </w:tc>
      </w:tr>
      <w:tr w:rsidR="009D75F3" w:rsidRPr="009D75F3" w14:paraId="2FED61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F529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35–40 kg/m²</w:t>
            </w:r>
          </w:p>
        </w:tc>
        <w:tc>
          <w:tcPr>
            <w:tcW w:w="0" w:type="auto"/>
            <w:vAlign w:val="center"/>
            <w:hideMark/>
          </w:tcPr>
          <w:p w14:paraId="7330BDC7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Class II obesity</w:t>
            </w:r>
          </w:p>
        </w:tc>
      </w:tr>
      <w:tr w:rsidR="009D75F3" w:rsidRPr="009D75F3" w14:paraId="0CEF86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C55F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≥40 kg/m²</w:t>
            </w:r>
          </w:p>
        </w:tc>
        <w:tc>
          <w:tcPr>
            <w:tcW w:w="0" w:type="auto"/>
            <w:vAlign w:val="center"/>
            <w:hideMark/>
          </w:tcPr>
          <w:p w14:paraId="1439EAC0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Class III obesity</w:t>
            </w:r>
          </w:p>
        </w:tc>
      </w:tr>
    </w:tbl>
    <w:p w14:paraId="5C009E9A" w14:textId="5B7E3B36" w:rsidR="009D75F3" w:rsidRPr="009D75F3" w:rsidRDefault="009D75F3" w:rsidP="009D75F3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5AA3476B" w14:textId="77777777" w:rsidR="00AB7D79" w:rsidRDefault="00AB7D79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6ED83961" w14:textId="77777777" w:rsidR="00AB7D79" w:rsidRDefault="00AB7D79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158731C6" w14:textId="1FDF7AFF" w:rsidR="009D75F3" w:rsidRPr="009D75F3" w:rsidRDefault="009D75F3" w:rsidP="009D75F3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7E8D2AD4" w14:textId="77777777" w:rsidR="009D75F3" w:rsidRPr="00AB7D79" w:rsidRDefault="009D75F3" w:rsidP="009D75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B7D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Appendix C. Outcome Definitions and Exact Codes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4"/>
        <w:gridCol w:w="2562"/>
      </w:tblGrid>
      <w:tr w:rsidR="009D75F3" w:rsidRPr="009D75F3" w14:paraId="4E18A53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B1062C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14:paraId="0A4682E8" w14:textId="77777777" w:rsidR="009D75F3" w:rsidRPr="009D75F3" w:rsidRDefault="009D75F3" w:rsidP="009D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Coding Definition</w:t>
            </w:r>
          </w:p>
        </w:tc>
      </w:tr>
      <w:tr w:rsidR="009D75F3" w:rsidRPr="009D75F3" w14:paraId="1BA5F2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826BF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Mortality</w:t>
            </w:r>
          </w:p>
        </w:tc>
        <w:tc>
          <w:tcPr>
            <w:tcW w:w="0" w:type="auto"/>
            <w:vAlign w:val="center"/>
            <w:hideMark/>
          </w:tcPr>
          <w:p w14:paraId="5C434474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Deceased status</w:t>
            </w:r>
          </w:p>
        </w:tc>
      </w:tr>
      <w:tr w:rsidR="009D75F3" w:rsidRPr="009D75F3" w14:paraId="03EAAA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5FD75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Pneumonia</w:t>
            </w:r>
          </w:p>
        </w:tc>
        <w:tc>
          <w:tcPr>
            <w:tcW w:w="0" w:type="auto"/>
            <w:vAlign w:val="center"/>
            <w:hideMark/>
          </w:tcPr>
          <w:p w14:paraId="25E9583C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J12–J18</w:t>
            </w:r>
          </w:p>
        </w:tc>
      </w:tr>
      <w:tr w:rsidR="009D75F3" w:rsidRPr="009D75F3" w14:paraId="3C2BED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7D229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Seizure</w:t>
            </w:r>
          </w:p>
        </w:tc>
        <w:tc>
          <w:tcPr>
            <w:tcW w:w="0" w:type="auto"/>
            <w:vAlign w:val="center"/>
            <w:hideMark/>
          </w:tcPr>
          <w:p w14:paraId="4766573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R56</w:t>
            </w:r>
          </w:p>
        </w:tc>
      </w:tr>
      <w:tr w:rsidR="009D75F3" w:rsidRPr="009D75F3" w14:paraId="26DBB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0496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Emergency endotracheal intubation</w:t>
            </w:r>
          </w:p>
        </w:tc>
        <w:tc>
          <w:tcPr>
            <w:tcW w:w="0" w:type="auto"/>
            <w:vAlign w:val="center"/>
            <w:hideMark/>
          </w:tcPr>
          <w:p w14:paraId="637BFE67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CPT 31500</w:t>
            </w:r>
          </w:p>
        </w:tc>
      </w:tr>
      <w:tr w:rsidR="009D75F3" w:rsidRPr="009D75F3" w14:paraId="59E3D7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AABDD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Sepsis</w:t>
            </w:r>
          </w:p>
        </w:tc>
        <w:tc>
          <w:tcPr>
            <w:tcW w:w="0" w:type="auto"/>
            <w:vAlign w:val="center"/>
            <w:hideMark/>
          </w:tcPr>
          <w:p w14:paraId="12802A4F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A40–A41</w:t>
            </w:r>
          </w:p>
        </w:tc>
      </w:tr>
      <w:tr w:rsidR="009D75F3" w:rsidRPr="009D75F3" w14:paraId="590C6E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3390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Acute myocardial infarction</w:t>
            </w:r>
          </w:p>
        </w:tc>
        <w:tc>
          <w:tcPr>
            <w:tcW w:w="0" w:type="auto"/>
            <w:vAlign w:val="center"/>
            <w:hideMark/>
          </w:tcPr>
          <w:p w14:paraId="206EE323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I21</w:t>
            </w:r>
          </w:p>
        </w:tc>
      </w:tr>
      <w:tr w:rsidR="009D75F3" w:rsidRPr="009D75F3" w14:paraId="2541DF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FC5AE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Inpatient hospitalization/discharge encounter</w:t>
            </w:r>
          </w:p>
        </w:tc>
        <w:tc>
          <w:tcPr>
            <w:tcW w:w="0" w:type="auto"/>
            <w:vAlign w:val="center"/>
            <w:hideMark/>
          </w:tcPr>
          <w:p w14:paraId="257F71EA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 xml:space="preserve">HL7V3.0 </w:t>
            </w:r>
            <w:proofErr w:type="spellStart"/>
            <w:r w:rsidRPr="009D75F3">
              <w:rPr>
                <w:rFonts w:ascii="Times New Roman" w:eastAsia="Times New Roman" w:hAnsi="Times New Roman" w:cs="Times New Roman"/>
                <w:kern w:val="0"/>
              </w:rPr>
              <w:t>VisitType</w:t>
            </w:r>
            <w:proofErr w:type="spellEnd"/>
            <w:r w:rsidRPr="009D75F3">
              <w:rPr>
                <w:rFonts w:ascii="Times New Roman" w:eastAsia="Times New Roman" w:hAnsi="Times New Roman" w:cs="Times New Roman"/>
                <w:kern w:val="0"/>
              </w:rPr>
              <w:t>: IMP</w:t>
            </w:r>
          </w:p>
        </w:tc>
      </w:tr>
      <w:tr w:rsidR="009D75F3" w:rsidRPr="009D75F3" w14:paraId="577928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21BCB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Cerebral infarction (stroke)</w:t>
            </w:r>
          </w:p>
        </w:tc>
        <w:tc>
          <w:tcPr>
            <w:tcW w:w="0" w:type="auto"/>
            <w:vAlign w:val="center"/>
            <w:hideMark/>
          </w:tcPr>
          <w:p w14:paraId="1691190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I63</w:t>
            </w:r>
          </w:p>
        </w:tc>
      </w:tr>
      <w:tr w:rsidR="009D75F3" w:rsidRPr="009D75F3" w14:paraId="60E019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4DC32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lastRenderedPageBreak/>
              <w:t>Pulmonary embolism (PE)</w:t>
            </w:r>
          </w:p>
        </w:tc>
        <w:tc>
          <w:tcPr>
            <w:tcW w:w="0" w:type="auto"/>
            <w:vAlign w:val="center"/>
            <w:hideMark/>
          </w:tcPr>
          <w:p w14:paraId="61504E7E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I26</w:t>
            </w:r>
          </w:p>
        </w:tc>
      </w:tr>
      <w:tr w:rsidR="009D75F3" w:rsidRPr="009D75F3" w14:paraId="16CE02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F975B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Deep vein thrombosis (DVT)</w:t>
            </w:r>
          </w:p>
        </w:tc>
        <w:tc>
          <w:tcPr>
            <w:tcW w:w="0" w:type="auto"/>
            <w:vAlign w:val="center"/>
            <w:hideMark/>
          </w:tcPr>
          <w:p w14:paraId="586E3401" w14:textId="77777777" w:rsidR="009D75F3" w:rsidRPr="009D75F3" w:rsidRDefault="009D75F3" w:rsidP="009D75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D75F3">
              <w:rPr>
                <w:rFonts w:ascii="Times New Roman" w:eastAsia="Times New Roman" w:hAnsi="Times New Roman" w:cs="Times New Roman"/>
                <w:kern w:val="0"/>
              </w:rPr>
              <w:t>ICD-10-CM I82.4, I82.6</w:t>
            </w:r>
          </w:p>
        </w:tc>
      </w:tr>
    </w:tbl>
    <w:p w14:paraId="79073E7F" w14:textId="77777777" w:rsidR="00956BDF" w:rsidRDefault="00956BDF"/>
    <w:p w14:paraId="2C7D5FBC" w14:textId="77777777" w:rsidR="00A20778" w:rsidRDefault="00A20778"/>
    <w:p w14:paraId="34854245" w14:textId="77777777" w:rsidR="00A20778" w:rsidRDefault="00A20778">
      <w:pPr>
        <w:rPr>
          <w:b/>
          <w:bCs/>
        </w:rPr>
      </w:pPr>
    </w:p>
    <w:p w14:paraId="41250BCC" w14:textId="77777777" w:rsidR="00A20778" w:rsidRDefault="00A20778">
      <w:pPr>
        <w:rPr>
          <w:b/>
          <w:bCs/>
        </w:rPr>
      </w:pPr>
    </w:p>
    <w:p w14:paraId="1F6CC532" w14:textId="77777777" w:rsidR="00A20778" w:rsidRDefault="00A20778">
      <w:pPr>
        <w:rPr>
          <w:b/>
          <w:bCs/>
        </w:rPr>
      </w:pPr>
    </w:p>
    <w:p w14:paraId="659E9EFD" w14:textId="77777777" w:rsidR="00A20778" w:rsidRDefault="00A20778">
      <w:pPr>
        <w:rPr>
          <w:b/>
          <w:bCs/>
        </w:rPr>
      </w:pPr>
    </w:p>
    <w:p w14:paraId="502EC935" w14:textId="77777777" w:rsidR="00A20778" w:rsidRDefault="00A20778">
      <w:pPr>
        <w:rPr>
          <w:b/>
          <w:bCs/>
        </w:rPr>
      </w:pPr>
    </w:p>
    <w:p w14:paraId="6C564D91" w14:textId="1146476D" w:rsidR="00A20778" w:rsidRPr="00A20778" w:rsidRDefault="00A20778">
      <w:pPr>
        <w:rPr>
          <w:b/>
          <w:bCs/>
        </w:rPr>
      </w:pPr>
      <w:r w:rsidRPr="00A20778">
        <w:rPr>
          <w:b/>
          <w:bCs/>
        </w:rPr>
        <w:t xml:space="preserve">Appendix D. Diabetes </w:t>
      </w:r>
      <w:r>
        <w:rPr>
          <w:b/>
          <w:bCs/>
        </w:rPr>
        <w:t xml:space="preserve">Specific Complication </w:t>
      </w:r>
      <w:r w:rsidRPr="00A20778">
        <w:rPr>
          <w:b/>
          <w:bCs/>
        </w:rPr>
        <w:t xml:space="preserve">Subtypes </w:t>
      </w:r>
    </w:p>
    <w:tbl>
      <w:tblPr>
        <w:tblW w:w="68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8"/>
        <w:gridCol w:w="2159"/>
        <w:gridCol w:w="2206"/>
      </w:tblGrid>
      <w:tr w:rsidR="00A20778" w:rsidRPr="00A20778" w14:paraId="5F3FE9A8" w14:textId="77777777" w:rsidTr="00A20778">
        <w:trPr>
          <w:trHeight w:val="715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820745" w14:textId="77777777" w:rsidR="00A20778" w:rsidRPr="00A20778" w:rsidRDefault="00A20778" w:rsidP="00A20778">
            <w:pPr>
              <w:rPr>
                <w:b/>
                <w:bCs/>
                <w:sz w:val="20"/>
                <w:szCs w:val="20"/>
              </w:rPr>
            </w:pPr>
            <w:r w:rsidRPr="00A20778">
              <w:rPr>
                <w:b/>
                <w:bCs/>
                <w:sz w:val="20"/>
                <w:szCs w:val="20"/>
              </w:rPr>
              <w:t>Diabetes Complication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5DBEE7" w14:textId="77777777" w:rsidR="00A20778" w:rsidRPr="00A20778" w:rsidRDefault="00A20778" w:rsidP="00A20778">
            <w:pPr>
              <w:rPr>
                <w:b/>
                <w:bCs/>
                <w:sz w:val="20"/>
                <w:szCs w:val="20"/>
              </w:rPr>
            </w:pPr>
            <w:r w:rsidRPr="00A20778">
              <w:rPr>
                <w:b/>
                <w:bCs/>
                <w:sz w:val="20"/>
                <w:szCs w:val="20"/>
              </w:rPr>
              <w:t>Pre-Match Complicated DM (n, %) (N=8,150)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717FC8" w14:textId="77777777" w:rsidR="00A20778" w:rsidRPr="00A20778" w:rsidRDefault="00A20778" w:rsidP="00A20778">
            <w:pPr>
              <w:rPr>
                <w:b/>
                <w:bCs/>
                <w:sz w:val="20"/>
                <w:szCs w:val="20"/>
              </w:rPr>
            </w:pPr>
            <w:r w:rsidRPr="00A20778">
              <w:rPr>
                <w:b/>
                <w:bCs/>
                <w:sz w:val="20"/>
                <w:szCs w:val="20"/>
              </w:rPr>
              <w:t>Post-Match Complicated DM (n, %) (N=5,893)</w:t>
            </w:r>
          </w:p>
        </w:tc>
      </w:tr>
      <w:tr w:rsidR="00A20778" w:rsidRPr="00A20778" w14:paraId="5F6CE814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31F3AF3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kidney complications (E11.2)</w:t>
            </w:r>
          </w:p>
        </w:tc>
        <w:tc>
          <w:tcPr>
            <w:tcW w:w="0" w:type="auto"/>
            <w:vAlign w:val="center"/>
            <w:hideMark/>
          </w:tcPr>
          <w:p w14:paraId="6C96B5DD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2,991 (36.7%)</w:t>
            </w:r>
          </w:p>
        </w:tc>
        <w:tc>
          <w:tcPr>
            <w:tcW w:w="0" w:type="auto"/>
            <w:vAlign w:val="center"/>
            <w:hideMark/>
          </w:tcPr>
          <w:p w14:paraId="6CCBBF0B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1,473 (25.0%)</w:t>
            </w:r>
          </w:p>
        </w:tc>
      </w:tr>
      <w:tr w:rsidR="00A20778" w:rsidRPr="00A20778" w14:paraId="0084CD72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7010346F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neurological complications (E11.4)</w:t>
            </w:r>
          </w:p>
        </w:tc>
        <w:tc>
          <w:tcPr>
            <w:tcW w:w="0" w:type="auto"/>
            <w:vAlign w:val="center"/>
            <w:hideMark/>
          </w:tcPr>
          <w:p w14:paraId="38B8791D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2,127 (26.1%)</w:t>
            </w:r>
          </w:p>
        </w:tc>
        <w:tc>
          <w:tcPr>
            <w:tcW w:w="0" w:type="auto"/>
            <w:vAlign w:val="center"/>
            <w:hideMark/>
          </w:tcPr>
          <w:p w14:paraId="180B31D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1,255 (21.3%)</w:t>
            </w:r>
          </w:p>
        </w:tc>
      </w:tr>
      <w:tr w:rsidR="00A20778" w:rsidRPr="00A20778" w14:paraId="0D7FA4F8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01CA3FF2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circulatory complications (E11.5)</w:t>
            </w:r>
          </w:p>
        </w:tc>
        <w:tc>
          <w:tcPr>
            <w:tcW w:w="0" w:type="auto"/>
            <w:vAlign w:val="center"/>
            <w:hideMark/>
          </w:tcPr>
          <w:p w14:paraId="4703DCDD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1,320 (16.2%)</w:t>
            </w:r>
          </w:p>
        </w:tc>
        <w:tc>
          <w:tcPr>
            <w:tcW w:w="0" w:type="auto"/>
            <w:vAlign w:val="center"/>
            <w:hideMark/>
          </w:tcPr>
          <w:p w14:paraId="7A3CE73A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731 (12.4%)</w:t>
            </w:r>
          </w:p>
        </w:tc>
      </w:tr>
      <w:tr w:rsidR="00A20778" w:rsidRPr="00A20778" w14:paraId="3D50F4DA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74E86C2C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ophthalmic complications (E11.3)</w:t>
            </w:r>
          </w:p>
        </w:tc>
        <w:tc>
          <w:tcPr>
            <w:tcW w:w="0" w:type="auto"/>
            <w:vAlign w:val="center"/>
            <w:hideMark/>
          </w:tcPr>
          <w:p w14:paraId="138AC907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954 (11.7%)</w:t>
            </w:r>
          </w:p>
        </w:tc>
        <w:tc>
          <w:tcPr>
            <w:tcW w:w="0" w:type="auto"/>
            <w:vAlign w:val="center"/>
            <w:hideMark/>
          </w:tcPr>
          <w:p w14:paraId="4E4EBA61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524 (8.9%)</w:t>
            </w:r>
          </w:p>
        </w:tc>
      </w:tr>
      <w:tr w:rsidR="00A20778" w:rsidRPr="00A20778" w14:paraId="3AA4E9EB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65CE3253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other specified complications (E11.6)</w:t>
            </w:r>
          </w:p>
        </w:tc>
        <w:tc>
          <w:tcPr>
            <w:tcW w:w="0" w:type="auto"/>
            <w:vAlign w:val="center"/>
            <w:hideMark/>
          </w:tcPr>
          <w:p w14:paraId="326D7FE8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4,385 (53.8%)</w:t>
            </w:r>
          </w:p>
        </w:tc>
        <w:tc>
          <w:tcPr>
            <w:tcW w:w="0" w:type="auto"/>
            <w:vAlign w:val="center"/>
            <w:hideMark/>
          </w:tcPr>
          <w:p w14:paraId="2DD0B462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2,752 (46.7%)</w:t>
            </w:r>
          </w:p>
        </w:tc>
      </w:tr>
      <w:tr w:rsidR="00A20778" w:rsidRPr="00A20778" w14:paraId="239B149C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63AEBFCD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unspecified complications (E11.8)</w:t>
            </w:r>
          </w:p>
        </w:tc>
        <w:tc>
          <w:tcPr>
            <w:tcW w:w="0" w:type="auto"/>
            <w:vAlign w:val="center"/>
            <w:hideMark/>
          </w:tcPr>
          <w:p w14:paraId="4200F6BC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587 (7.2%)</w:t>
            </w:r>
          </w:p>
        </w:tc>
        <w:tc>
          <w:tcPr>
            <w:tcW w:w="0" w:type="auto"/>
            <w:vAlign w:val="center"/>
            <w:hideMark/>
          </w:tcPr>
          <w:p w14:paraId="3A066D47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354 (6.0%)</w:t>
            </w:r>
          </w:p>
        </w:tc>
      </w:tr>
      <w:tr w:rsidR="00A20778" w:rsidRPr="00A20778" w14:paraId="3A563FFE" w14:textId="77777777" w:rsidTr="00A20778">
        <w:trPr>
          <w:trHeight w:val="429"/>
          <w:tblCellSpacing w:w="15" w:type="dxa"/>
        </w:trPr>
        <w:tc>
          <w:tcPr>
            <w:tcW w:w="0" w:type="auto"/>
            <w:vAlign w:val="center"/>
            <w:hideMark/>
          </w:tcPr>
          <w:p w14:paraId="0F727A05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ketoacidosis (E11.1)</w:t>
            </w:r>
          </w:p>
        </w:tc>
        <w:tc>
          <w:tcPr>
            <w:tcW w:w="0" w:type="auto"/>
            <w:vAlign w:val="center"/>
            <w:hideMark/>
          </w:tcPr>
          <w:p w14:paraId="35BFC106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318 (3.9%)</w:t>
            </w:r>
          </w:p>
        </w:tc>
        <w:tc>
          <w:tcPr>
            <w:tcW w:w="0" w:type="auto"/>
            <w:vAlign w:val="center"/>
            <w:hideMark/>
          </w:tcPr>
          <w:p w14:paraId="185CC74B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212 (3.6%)</w:t>
            </w:r>
          </w:p>
        </w:tc>
      </w:tr>
      <w:tr w:rsidR="00A20778" w:rsidRPr="00A20778" w14:paraId="183273C5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19E1D283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2 DM with hyperosmolarity (E11.0)</w:t>
            </w:r>
          </w:p>
        </w:tc>
        <w:tc>
          <w:tcPr>
            <w:tcW w:w="0" w:type="auto"/>
            <w:vAlign w:val="center"/>
            <w:hideMark/>
          </w:tcPr>
          <w:p w14:paraId="075599E6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196 (2.4%)</w:t>
            </w:r>
          </w:p>
        </w:tc>
        <w:tc>
          <w:tcPr>
            <w:tcW w:w="0" w:type="auto"/>
            <w:vAlign w:val="center"/>
            <w:hideMark/>
          </w:tcPr>
          <w:p w14:paraId="79FDC9C5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130 (2.2%)</w:t>
            </w:r>
          </w:p>
        </w:tc>
      </w:tr>
      <w:tr w:rsidR="00A20778" w:rsidRPr="00A20778" w14:paraId="77AA963F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629000F1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lastRenderedPageBreak/>
              <w:t>Type 1 DM with kidney complications (E10.2)</w:t>
            </w:r>
          </w:p>
        </w:tc>
        <w:tc>
          <w:tcPr>
            <w:tcW w:w="0" w:type="auto"/>
            <w:vAlign w:val="center"/>
            <w:hideMark/>
          </w:tcPr>
          <w:p w14:paraId="4980F61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253 (3.1%)</w:t>
            </w:r>
          </w:p>
        </w:tc>
        <w:tc>
          <w:tcPr>
            <w:tcW w:w="0" w:type="auto"/>
            <w:vAlign w:val="center"/>
            <w:hideMark/>
          </w:tcPr>
          <w:p w14:paraId="736EAB32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141 (2.4%)</w:t>
            </w:r>
          </w:p>
        </w:tc>
      </w:tr>
      <w:tr w:rsidR="00A20778" w:rsidRPr="00A20778" w14:paraId="1B461847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6652DD1B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neurological complications (E10.4)</w:t>
            </w:r>
          </w:p>
        </w:tc>
        <w:tc>
          <w:tcPr>
            <w:tcW w:w="0" w:type="auto"/>
            <w:vAlign w:val="center"/>
            <w:hideMark/>
          </w:tcPr>
          <w:p w14:paraId="13F93625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326 (4.0%)</w:t>
            </w:r>
          </w:p>
        </w:tc>
        <w:tc>
          <w:tcPr>
            <w:tcW w:w="0" w:type="auto"/>
            <w:vAlign w:val="center"/>
            <w:hideMark/>
          </w:tcPr>
          <w:p w14:paraId="5A9EDB0B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212 (3.6%)</w:t>
            </w:r>
          </w:p>
        </w:tc>
      </w:tr>
      <w:tr w:rsidR="00A20778" w:rsidRPr="00A20778" w14:paraId="2D6B65D9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6B1E291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circulatory complications (E10.5)</w:t>
            </w:r>
          </w:p>
        </w:tc>
        <w:tc>
          <w:tcPr>
            <w:tcW w:w="0" w:type="auto"/>
            <w:vAlign w:val="center"/>
            <w:hideMark/>
          </w:tcPr>
          <w:p w14:paraId="7F1C4F1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122 (1.5%)</w:t>
            </w:r>
          </w:p>
        </w:tc>
        <w:tc>
          <w:tcPr>
            <w:tcW w:w="0" w:type="auto"/>
            <w:vAlign w:val="center"/>
            <w:hideMark/>
          </w:tcPr>
          <w:p w14:paraId="7C142F66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71 (1.2%)</w:t>
            </w:r>
          </w:p>
        </w:tc>
      </w:tr>
      <w:tr w:rsidR="00A20778" w:rsidRPr="00A20778" w14:paraId="14112E05" w14:textId="77777777" w:rsidTr="00A20778">
        <w:trPr>
          <w:trHeight w:val="715"/>
          <w:tblCellSpacing w:w="15" w:type="dxa"/>
        </w:trPr>
        <w:tc>
          <w:tcPr>
            <w:tcW w:w="0" w:type="auto"/>
            <w:vAlign w:val="center"/>
            <w:hideMark/>
          </w:tcPr>
          <w:p w14:paraId="0C2F112C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ophthalmic complications (E10.3)</w:t>
            </w:r>
          </w:p>
        </w:tc>
        <w:tc>
          <w:tcPr>
            <w:tcW w:w="0" w:type="auto"/>
            <w:vAlign w:val="center"/>
            <w:hideMark/>
          </w:tcPr>
          <w:p w14:paraId="04B28893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147 (1.8%)</w:t>
            </w:r>
          </w:p>
        </w:tc>
        <w:tc>
          <w:tcPr>
            <w:tcW w:w="0" w:type="auto"/>
            <w:vAlign w:val="center"/>
            <w:hideMark/>
          </w:tcPr>
          <w:p w14:paraId="502E1CBC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100 (1.7%)</w:t>
            </w:r>
          </w:p>
        </w:tc>
      </w:tr>
      <w:tr w:rsidR="00A20778" w:rsidRPr="00A20778" w14:paraId="1EDC0CFB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721F217F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other specified complications (E10.6)</w:t>
            </w:r>
          </w:p>
        </w:tc>
        <w:tc>
          <w:tcPr>
            <w:tcW w:w="0" w:type="auto"/>
            <w:vAlign w:val="center"/>
            <w:hideMark/>
          </w:tcPr>
          <w:p w14:paraId="2F55015F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440 (5.4%)</w:t>
            </w:r>
          </w:p>
        </w:tc>
        <w:tc>
          <w:tcPr>
            <w:tcW w:w="0" w:type="auto"/>
            <w:vAlign w:val="center"/>
            <w:hideMark/>
          </w:tcPr>
          <w:p w14:paraId="6B225321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295 (5.0%)</w:t>
            </w:r>
          </w:p>
        </w:tc>
      </w:tr>
      <w:tr w:rsidR="00A20778" w:rsidRPr="00A20778" w14:paraId="7E5E758D" w14:textId="77777777" w:rsidTr="00A20778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14:paraId="7AEAB38D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unspecified complications (E10.8)</w:t>
            </w:r>
          </w:p>
        </w:tc>
        <w:tc>
          <w:tcPr>
            <w:tcW w:w="0" w:type="auto"/>
            <w:vAlign w:val="center"/>
            <w:hideMark/>
          </w:tcPr>
          <w:p w14:paraId="18F7152C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73 (0.9%)</w:t>
            </w:r>
          </w:p>
        </w:tc>
        <w:tc>
          <w:tcPr>
            <w:tcW w:w="0" w:type="auto"/>
            <w:vAlign w:val="center"/>
            <w:hideMark/>
          </w:tcPr>
          <w:p w14:paraId="59F3F081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59 (1.0%)</w:t>
            </w:r>
          </w:p>
        </w:tc>
      </w:tr>
      <w:tr w:rsidR="00A20778" w:rsidRPr="00A20778" w14:paraId="27E10D16" w14:textId="77777777" w:rsidTr="00A20778">
        <w:trPr>
          <w:trHeight w:val="429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8D0A99F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Type 1 DM with ketoacidosis (E10.1)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807F4EE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179 (2.2%)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4C22D4" w14:textId="77777777" w:rsidR="00A20778" w:rsidRPr="00A20778" w:rsidRDefault="00A20778" w:rsidP="00A20778">
            <w:pPr>
              <w:rPr>
                <w:sz w:val="20"/>
                <w:szCs w:val="20"/>
              </w:rPr>
            </w:pPr>
            <w:r w:rsidRPr="00A20778">
              <w:rPr>
                <w:sz w:val="20"/>
                <w:szCs w:val="20"/>
              </w:rPr>
              <w:t>136 (2.3%)</w:t>
            </w:r>
          </w:p>
        </w:tc>
      </w:tr>
    </w:tbl>
    <w:p w14:paraId="5873AB5E" w14:textId="77777777" w:rsidR="00A20778" w:rsidRDefault="00A20778"/>
    <w:sectPr w:rsidR="00A2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421F9"/>
    <w:multiLevelType w:val="multilevel"/>
    <w:tmpl w:val="1B5C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225050"/>
    <w:multiLevelType w:val="multilevel"/>
    <w:tmpl w:val="B01C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148178">
    <w:abstractNumId w:val="0"/>
  </w:num>
  <w:num w:numId="2" w16cid:durableId="1956407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F3"/>
    <w:rsid w:val="000602F4"/>
    <w:rsid w:val="000D3A58"/>
    <w:rsid w:val="0019075B"/>
    <w:rsid w:val="004270DE"/>
    <w:rsid w:val="007F5B3D"/>
    <w:rsid w:val="007F6541"/>
    <w:rsid w:val="00956BDF"/>
    <w:rsid w:val="009D75F3"/>
    <w:rsid w:val="00A20778"/>
    <w:rsid w:val="00AB7D79"/>
    <w:rsid w:val="00D1518B"/>
    <w:rsid w:val="00DF1C2C"/>
    <w:rsid w:val="00EC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92685"/>
  <w15:chartTrackingRefBased/>
  <w15:docId w15:val="{7D915C7A-0BB8-224F-9D9E-E165166B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7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7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5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5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5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7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Kotzur</dc:creator>
  <cp:keywords/>
  <dc:description/>
  <cp:lastModifiedBy>Seifi, Ali</cp:lastModifiedBy>
  <cp:revision>2</cp:revision>
  <dcterms:created xsi:type="dcterms:W3CDTF">2026-05-13T03:45:00Z</dcterms:created>
  <dcterms:modified xsi:type="dcterms:W3CDTF">2026-05-13T03:45:00Z</dcterms:modified>
</cp:coreProperties>
</file>