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F67B2" w14:textId="77777777" w:rsidR="008F3C82" w:rsidRDefault="00000000" w:rsidP="00C24853">
      <w:pPr>
        <w:spacing w:before="360" w:after="180" w:line="480" w:lineRule="auto"/>
        <w:rPr>
          <w:b/>
          <w:bCs/>
          <w:lang w:val="en-US"/>
        </w:rPr>
      </w:pPr>
      <w:r w:rsidRPr="007D73EF">
        <w:rPr>
          <w:b/>
          <w:bCs/>
          <w:lang w:val="en-US"/>
        </w:rPr>
        <w:t>SUPPLEMENTARY MATERIAL</w:t>
      </w:r>
    </w:p>
    <w:p w14:paraId="12CA6072" w14:textId="77777777" w:rsidR="00C24853" w:rsidRPr="00AC39CC" w:rsidRDefault="00C24853" w:rsidP="00C24853">
      <w:pPr>
        <w:spacing w:after="120" w:line="480" w:lineRule="auto"/>
        <w:rPr>
          <w:lang w:val="en-US"/>
        </w:rPr>
      </w:pPr>
      <w:r>
        <w:rPr>
          <w:b/>
          <w:bCs/>
          <w:lang w:val="en-US"/>
        </w:rPr>
        <w:t xml:space="preserve">Article: </w:t>
      </w:r>
      <w:r w:rsidRPr="00AC39CC">
        <w:rPr>
          <w:b/>
          <w:bCs/>
          <w:lang w:val="en-US"/>
        </w:rPr>
        <w:t>Seasonal and Temperature-Related Variation in Subarachnoid Hemorrhage Hospital Admissions: A Nationwide Ecological Time-Series Analysis in Brazil, 2020–2024</w:t>
      </w:r>
    </w:p>
    <w:p w14:paraId="6BCA0D60" w14:textId="77777777" w:rsidR="008F3C82" w:rsidRPr="007D73EF" w:rsidRDefault="00000000">
      <w:pPr>
        <w:spacing w:after="120" w:line="480" w:lineRule="auto"/>
        <w:jc w:val="both"/>
        <w:rPr>
          <w:lang w:val="en-US"/>
        </w:rPr>
      </w:pPr>
      <w:r w:rsidRPr="007D73EF">
        <w:rPr>
          <w:b/>
          <w:bCs/>
          <w:lang w:val="en-US"/>
        </w:rPr>
        <w:t>Supplementary Table S1. Limited PM₁₀ data available in Brazil (2023).</w:t>
      </w:r>
    </w:p>
    <w:tbl>
      <w:tblPr>
        <w:tblStyle w:val="PlainTable1"/>
        <w:tblW w:w="9360" w:type="dxa"/>
        <w:tblLook w:val="0000" w:firstRow="0" w:lastRow="0" w:firstColumn="0" w:lastColumn="0" w:noHBand="0" w:noVBand="0"/>
      </w:tblPr>
      <w:tblGrid>
        <w:gridCol w:w="3120"/>
        <w:gridCol w:w="3120"/>
        <w:gridCol w:w="3120"/>
      </w:tblGrid>
      <w:tr w:rsidR="008F3C82" w:rsidRPr="007D73EF" w14:paraId="7C490F5F" w14:textId="77777777" w:rsidTr="007D73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20" w:type="dxa"/>
            <w:vAlign w:val="center"/>
          </w:tcPr>
          <w:p w14:paraId="41700380" w14:textId="77777777" w:rsidR="008F3C82" w:rsidRPr="007D73EF" w:rsidRDefault="00000000" w:rsidP="007D73EF">
            <w:pPr>
              <w:spacing w:line="480" w:lineRule="auto"/>
              <w:jc w:val="center"/>
              <w:rPr>
                <w:sz w:val="22"/>
                <w:szCs w:val="22"/>
              </w:rPr>
            </w:pPr>
            <w:proofErr w:type="spellStart"/>
            <w:r w:rsidRPr="007D73EF">
              <w:rPr>
                <w:b/>
                <w:bCs/>
                <w:sz w:val="22"/>
                <w:szCs w:val="22"/>
              </w:rPr>
              <w:t>Month</w:t>
            </w:r>
            <w:proofErr w:type="spellEnd"/>
          </w:p>
        </w:tc>
        <w:tc>
          <w:tcPr>
            <w:tcW w:w="3120" w:type="dxa"/>
            <w:vAlign w:val="center"/>
          </w:tcPr>
          <w:p w14:paraId="0143276F"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b/>
                <w:bCs/>
                <w:sz w:val="22"/>
                <w:szCs w:val="22"/>
              </w:rPr>
              <w:t>PM₁₀ (</w:t>
            </w:r>
            <w:proofErr w:type="spellStart"/>
            <w:r w:rsidRPr="007D73EF">
              <w:rPr>
                <w:b/>
                <w:bCs/>
                <w:sz w:val="22"/>
                <w:szCs w:val="22"/>
              </w:rPr>
              <w:t>μg</w:t>
            </w:r>
            <w:proofErr w:type="spellEnd"/>
            <w:r w:rsidRPr="007D73EF">
              <w:rPr>
                <w:b/>
                <w:bCs/>
                <w:sz w:val="22"/>
                <w:szCs w:val="22"/>
              </w:rPr>
              <w:t>/m³)</w:t>
            </w:r>
          </w:p>
        </w:tc>
        <w:tc>
          <w:tcPr>
            <w:cnfStyle w:val="000010000000" w:firstRow="0" w:lastRow="0" w:firstColumn="0" w:lastColumn="0" w:oddVBand="1" w:evenVBand="0" w:oddHBand="0" w:evenHBand="0" w:firstRowFirstColumn="0" w:firstRowLastColumn="0" w:lastRowFirstColumn="0" w:lastRowLastColumn="0"/>
            <w:tcW w:w="3120" w:type="dxa"/>
            <w:vAlign w:val="center"/>
          </w:tcPr>
          <w:p w14:paraId="084C9050" w14:textId="77777777" w:rsidR="008F3C82" w:rsidRPr="007D73EF" w:rsidRDefault="00000000" w:rsidP="007D73EF">
            <w:pPr>
              <w:spacing w:line="480" w:lineRule="auto"/>
              <w:jc w:val="center"/>
              <w:rPr>
                <w:sz w:val="22"/>
                <w:szCs w:val="22"/>
              </w:rPr>
            </w:pPr>
            <w:r w:rsidRPr="007D73EF">
              <w:rPr>
                <w:b/>
                <w:bCs/>
                <w:sz w:val="22"/>
                <w:szCs w:val="22"/>
              </w:rPr>
              <w:t xml:space="preserve">SAH </w:t>
            </w:r>
            <w:proofErr w:type="spellStart"/>
            <w:r w:rsidRPr="007D73EF">
              <w:rPr>
                <w:b/>
                <w:bCs/>
                <w:sz w:val="22"/>
                <w:szCs w:val="22"/>
              </w:rPr>
              <w:t>Admissions</w:t>
            </w:r>
            <w:proofErr w:type="spellEnd"/>
          </w:p>
        </w:tc>
      </w:tr>
      <w:tr w:rsidR="008F3C82" w:rsidRPr="007D73EF" w14:paraId="4F31247E" w14:textId="77777777" w:rsidTr="007D73EF">
        <w:tc>
          <w:tcPr>
            <w:cnfStyle w:val="000010000000" w:firstRow="0" w:lastRow="0" w:firstColumn="0" w:lastColumn="0" w:oddVBand="1" w:evenVBand="0" w:oddHBand="0" w:evenHBand="0" w:firstRowFirstColumn="0" w:firstRowLastColumn="0" w:lastRowFirstColumn="0" w:lastRowLastColumn="0"/>
            <w:tcW w:w="3120" w:type="dxa"/>
            <w:vAlign w:val="center"/>
          </w:tcPr>
          <w:p w14:paraId="19DFB1B4" w14:textId="77777777" w:rsidR="008F3C82" w:rsidRPr="007D73EF" w:rsidRDefault="00000000" w:rsidP="007D73EF">
            <w:pPr>
              <w:spacing w:line="480" w:lineRule="auto"/>
              <w:jc w:val="center"/>
              <w:rPr>
                <w:sz w:val="22"/>
                <w:szCs w:val="22"/>
              </w:rPr>
            </w:pPr>
            <w:r w:rsidRPr="007D73EF">
              <w:rPr>
                <w:sz w:val="22"/>
                <w:szCs w:val="22"/>
              </w:rPr>
              <w:t>April 2023</w:t>
            </w:r>
          </w:p>
        </w:tc>
        <w:tc>
          <w:tcPr>
            <w:tcW w:w="3120" w:type="dxa"/>
            <w:vAlign w:val="center"/>
          </w:tcPr>
          <w:p w14:paraId="35B0FDC3"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18.1</w:t>
            </w:r>
          </w:p>
        </w:tc>
        <w:tc>
          <w:tcPr>
            <w:cnfStyle w:val="000010000000" w:firstRow="0" w:lastRow="0" w:firstColumn="0" w:lastColumn="0" w:oddVBand="1" w:evenVBand="0" w:oddHBand="0" w:evenHBand="0" w:firstRowFirstColumn="0" w:firstRowLastColumn="0" w:lastRowFirstColumn="0" w:lastRowLastColumn="0"/>
            <w:tcW w:w="3120" w:type="dxa"/>
            <w:vAlign w:val="center"/>
          </w:tcPr>
          <w:p w14:paraId="62040498" w14:textId="77777777" w:rsidR="008F3C82" w:rsidRPr="007D73EF" w:rsidRDefault="00000000" w:rsidP="007D73EF">
            <w:pPr>
              <w:spacing w:line="480" w:lineRule="auto"/>
              <w:jc w:val="center"/>
              <w:rPr>
                <w:sz w:val="22"/>
                <w:szCs w:val="22"/>
              </w:rPr>
            </w:pPr>
            <w:r w:rsidRPr="007D73EF">
              <w:rPr>
                <w:sz w:val="22"/>
                <w:szCs w:val="22"/>
              </w:rPr>
              <w:t>186</w:t>
            </w:r>
          </w:p>
        </w:tc>
      </w:tr>
      <w:tr w:rsidR="008F3C82" w:rsidRPr="007D73EF" w14:paraId="6DACD71B" w14:textId="77777777" w:rsidTr="007D73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20" w:type="dxa"/>
            <w:vAlign w:val="center"/>
          </w:tcPr>
          <w:p w14:paraId="2B51D77B" w14:textId="77777777" w:rsidR="008F3C82" w:rsidRPr="007D73EF" w:rsidRDefault="00000000" w:rsidP="007D73EF">
            <w:pPr>
              <w:spacing w:line="480" w:lineRule="auto"/>
              <w:jc w:val="center"/>
              <w:rPr>
                <w:sz w:val="22"/>
                <w:szCs w:val="22"/>
              </w:rPr>
            </w:pPr>
            <w:r w:rsidRPr="007D73EF">
              <w:rPr>
                <w:sz w:val="22"/>
                <w:szCs w:val="22"/>
              </w:rPr>
              <w:t>May 2023</w:t>
            </w:r>
          </w:p>
        </w:tc>
        <w:tc>
          <w:tcPr>
            <w:tcW w:w="3120" w:type="dxa"/>
            <w:vAlign w:val="center"/>
          </w:tcPr>
          <w:p w14:paraId="7DC45E20"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20.6</w:t>
            </w:r>
          </w:p>
        </w:tc>
        <w:tc>
          <w:tcPr>
            <w:cnfStyle w:val="000010000000" w:firstRow="0" w:lastRow="0" w:firstColumn="0" w:lastColumn="0" w:oddVBand="1" w:evenVBand="0" w:oddHBand="0" w:evenHBand="0" w:firstRowFirstColumn="0" w:firstRowLastColumn="0" w:lastRowFirstColumn="0" w:lastRowLastColumn="0"/>
            <w:tcW w:w="3120" w:type="dxa"/>
            <w:vAlign w:val="center"/>
          </w:tcPr>
          <w:p w14:paraId="715BE6A9" w14:textId="77777777" w:rsidR="008F3C82" w:rsidRPr="007D73EF" w:rsidRDefault="00000000" w:rsidP="007D73EF">
            <w:pPr>
              <w:spacing w:line="480" w:lineRule="auto"/>
              <w:jc w:val="center"/>
              <w:rPr>
                <w:sz w:val="22"/>
                <w:szCs w:val="22"/>
              </w:rPr>
            </w:pPr>
            <w:r w:rsidRPr="007D73EF">
              <w:rPr>
                <w:sz w:val="22"/>
                <w:szCs w:val="22"/>
              </w:rPr>
              <w:t>204</w:t>
            </w:r>
          </w:p>
        </w:tc>
      </w:tr>
      <w:tr w:rsidR="008F3C82" w:rsidRPr="007D73EF" w14:paraId="6279FE0A" w14:textId="77777777" w:rsidTr="007D73EF">
        <w:tc>
          <w:tcPr>
            <w:cnfStyle w:val="000010000000" w:firstRow="0" w:lastRow="0" w:firstColumn="0" w:lastColumn="0" w:oddVBand="1" w:evenVBand="0" w:oddHBand="0" w:evenHBand="0" w:firstRowFirstColumn="0" w:firstRowLastColumn="0" w:lastRowFirstColumn="0" w:lastRowLastColumn="0"/>
            <w:tcW w:w="3120" w:type="dxa"/>
            <w:vAlign w:val="center"/>
          </w:tcPr>
          <w:p w14:paraId="1AC50E70" w14:textId="77777777" w:rsidR="008F3C82" w:rsidRPr="007D73EF" w:rsidRDefault="00000000" w:rsidP="007D73EF">
            <w:pPr>
              <w:spacing w:line="480" w:lineRule="auto"/>
              <w:jc w:val="center"/>
              <w:rPr>
                <w:sz w:val="22"/>
                <w:szCs w:val="22"/>
              </w:rPr>
            </w:pPr>
            <w:proofErr w:type="spellStart"/>
            <w:r w:rsidRPr="007D73EF">
              <w:rPr>
                <w:sz w:val="22"/>
                <w:szCs w:val="22"/>
              </w:rPr>
              <w:t>June</w:t>
            </w:r>
            <w:proofErr w:type="spellEnd"/>
            <w:r w:rsidRPr="007D73EF">
              <w:rPr>
                <w:sz w:val="22"/>
                <w:szCs w:val="22"/>
              </w:rPr>
              <w:t xml:space="preserve"> 2023</w:t>
            </w:r>
          </w:p>
        </w:tc>
        <w:tc>
          <w:tcPr>
            <w:tcW w:w="3120" w:type="dxa"/>
            <w:vAlign w:val="center"/>
          </w:tcPr>
          <w:p w14:paraId="14C79A42"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29.6</w:t>
            </w:r>
          </w:p>
        </w:tc>
        <w:tc>
          <w:tcPr>
            <w:cnfStyle w:val="000010000000" w:firstRow="0" w:lastRow="0" w:firstColumn="0" w:lastColumn="0" w:oddVBand="1" w:evenVBand="0" w:oddHBand="0" w:evenHBand="0" w:firstRowFirstColumn="0" w:firstRowLastColumn="0" w:lastRowFirstColumn="0" w:lastRowLastColumn="0"/>
            <w:tcW w:w="3120" w:type="dxa"/>
            <w:vAlign w:val="center"/>
          </w:tcPr>
          <w:p w14:paraId="487598F6" w14:textId="77777777" w:rsidR="008F3C82" w:rsidRPr="007D73EF" w:rsidRDefault="00000000" w:rsidP="007D73EF">
            <w:pPr>
              <w:spacing w:line="480" w:lineRule="auto"/>
              <w:jc w:val="center"/>
              <w:rPr>
                <w:sz w:val="22"/>
                <w:szCs w:val="22"/>
              </w:rPr>
            </w:pPr>
            <w:r w:rsidRPr="007D73EF">
              <w:rPr>
                <w:sz w:val="22"/>
                <w:szCs w:val="22"/>
              </w:rPr>
              <w:t>153</w:t>
            </w:r>
          </w:p>
        </w:tc>
      </w:tr>
    </w:tbl>
    <w:p w14:paraId="7D13BC51" w14:textId="77777777" w:rsidR="008F3C82" w:rsidRPr="007D73EF" w:rsidRDefault="00000000">
      <w:pPr>
        <w:spacing w:after="120" w:line="480" w:lineRule="auto"/>
        <w:jc w:val="both"/>
        <w:rPr>
          <w:lang w:val="en-US"/>
        </w:rPr>
      </w:pPr>
      <w:r w:rsidRPr="007D73EF">
        <w:rPr>
          <w:b/>
          <w:bCs/>
          <w:lang w:val="en-US"/>
        </w:rPr>
        <w:t xml:space="preserve">Legend: </w:t>
      </w:r>
      <w:r w:rsidRPr="007D73EF">
        <w:rPr>
          <w:lang w:val="en-US"/>
        </w:rPr>
        <w:t xml:space="preserve">PM₁₀ data from selected urban monitoring stations (São Paulo, Rio de Janeiro, Brasília), representing less than 5% of the study period and under 20% of the national population. PM₁₀, particulate matter ≤10 </w:t>
      </w:r>
      <w:r>
        <w:t>μ</w:t>
      </w:r>
      <w:r w:rsidRPr="007D73EF">
        <w:rPr>
          <w:lang w:val="en-US"/>
        </w:rPr>
        <w:t>m; SAH, subarachnoid hemorrhage.</w:t>
      </w:r>
    </w:p>
    <w:p w14:paraId="792C64D6" w14:textId="77777777" w:rsidR="008F3C82" w:rsidRPr="007D73EF" w:rsidRDefault="008F3C82">
      <w:pPr>
        <w:spacing w:line="480" w:lineRule="auto"/>
        <w:rPr>
          <w:lang w:val="en-US"/>
        </w:rPr>
      </w:pPr>
    </w:p>
    <w:p w14:paraId="372557DC" w14:textId="77777777" w:rsidR="008F3C82" w:rsidRPr="007D73EF" w:rsidRDefault="00000000">
      <w:pPr>
        <w:spacing w:before="280" w:after="140" w:line="480" w:lineRule="auto"/>
        <w:rPr>
          <w:lang w:val="en-US"/>
        </w:rPr>
      </w:pPr>
      <w:r w:rsidRPr="007D73EF">
        <w:rPr>
          <w:b/>
          <w:bCs/>
          <w:lang w:val="en-US"/>
        </w:rPr>
        <w:t>Section 1.1. Supplementary Methods: Meteorological Data Aggregation</w:t>
      </w:r>
    </w:p>
    <w:p w14:paraId="2EA85EFA" w14:textId="77777777" w:rsidR="008F3C82" w:rsidRPr="007D73EF" w:rsidRDefault="00000000" w:rsidP="00A069DA">
      <w:pPr>
        <w:spacing w:after="120" w:line="480" w:lineRule="auto"/>
        <w:ind w:firstLine="708"/>
        <w:jc w:val="both"/>
        <w:rPr>
          <w:lang w:val="en-US"/>
        </w:rPr>
      </w:pPr>
      <w:r w:rsidRPr="007D73EF">
        <w:rPr>
          <w:lang w:val="en-US"/>
        </w:rPr>
        <w:t xml:space="preserve">Monthly state-level averages of minimum and maximum air temperature for the 27 Brazilian Federative Units were obtained directly from BDMEP (INMET), which provides pre-aggregated state-monthly statistics derived from its automatic weather station network (15). The BDMEP-aggregated dataset contained no missing monthly state-level values during the study period (January 2020 – November 2024); accordingly, no station-level interpolation, imputation, outlier replacement, or weighting procedures were applied. National monthly time series of minimum and maximum temperatures were derived as the </w:t>
      </w:r>
      <w:r w:rsidRPr="007D73EF">
        <w:rPr>
          <w:lang w:val="en-US"/>
        </w:rPr>
        <w:lastRenderedPageBreak/>
        <w:t>unweighted (simple) arithmetic mean across the 27 Federative Units. Mean temperature was computed as the arithmetic mean of the minimum and maximum temperatures. Seasons were defined according to the Southern Hemisphere calendar (summer: December–February; autumn: March–May; winter: June–August; spring: September–November), and seasonal averages were computed as the unweighted mean of the corresponding monthly values within each season-year stratum.</w:t>
      </w:r>
    </w:p>
    <w:p w14:paraId="0C505E50" w14:textId="77777777" w:rsidR="008F3C82" w:rsidRPr="007D73EF" w:rsidRDefault="00000000">
      <w:pPr>
        <w:spacing w:before="280" w:after="140" w:line="480" w:lineRule="auto"/>
        <w:rPr>
          <w:lang w:val="en-US"/>
        </w:rPr>
      </w:pPr>
      <w:r w:rsidRPr="007D73EF">
        <w:rPr>
          <w:b/>
          <w:bCs/>
          <w:lang w:val="en-US"/>
        </w:rPr>
        <w:t>Section 1.2. Case Ascertainment from DATASUS</w:t>
      </w:r>
    </w:p>
    <w:p w14:paraId="023ECD1A" w14:textId="2515AE33" w:rsidR="008F3C82" w:rsidRPr="007D73EF" w:rsidRDefault="00000000" w:rsidP="00A069DA">
      <w:pPr>
        <w:spacing w:after="120" w:line="480" w:lineRule="auto"/>
        <w:ind w:firstLine="708"/>
        <w:jc w:val="both"/>
        <w:rPr>
          <w:lang w:val="en-US"/>
        </w:rPr>
      </w:pPr>
      <w:r w:rsidRPr="007D73EF">
        <w:rPr>
          <w:lang w:val="en-US"/>
        </w:rPr>
        <w:t xml:space="preserve">Hospital admissions for subarachnoid hemorrhage were </w:t>
      </w:r>
      <w:r w:rsidR="00A069DA">
        <w:rPr>
          <w:lang w:val="en-US"/>
        </w:rPr>
        <w:t xml:space="preserve">identified in the Brazilian Hospital Information System (Sistema de Informações </w:t>
      </w:r>
      <w:proofErr w:type="spellStart"/>
      <w:r w:rsidR="00A069DA">
        <w:rPr>
          <w:lang w:val="en-US"/>
        </w:rPr>
        <w:t>Hospitalares</w:t>
      </w:r>
      <w:proofErr w:type="spellEnd"/>
      <w:r w:rsidR="00A069DA">
        <w:rPr>
          <w:lang w:val="en-US"/>
        </w:rPr>
        <w:t>, SIH/SUS), accessed via</w:t>
      </w:r>
      <w:r w:rsidRPr="007D73EF">
        <w:rPr>
          <w:lang w:val="en-US"/>
        </w:rPr>
        <w:t xml:space="preserve"> DATASUS. Cases were identified using the primary diagnosis field (CID Principal) coded I60.0</w:t>
      </w:r>
      <w:r w:rsidR="00A069DA">
        <w:rPr>
          <w:lang w:val="en-US"/>
        </w:rPr>
        <w:t>-</w:t>
      </w:r>
      <w:r w:rsidRPr="007D73EF">
        <w:rPr>
          <w:lang w:val="en-US"/>
        </w:rPr>
        <w:t>I60.9 in the International Classification of Diseases, 10th Revision (ICD-10). Records were aggregated at the monthly national level for the period January 2020 through November 2024 (59 months). December 2024 was excluded a priori because data capture for the most recent month at the time of extraction was incomplete, with observed admission counts substantially below the historical monthly range (approximately 66 admissions in the preliminary December 2024 extract</w:t>
      </w:r>
      <w:r w:rsidR="00A069DA">
        <w:rPr>
          <w:lang w:val="en-US"/>
        </w:rPr>
        <w:t>, compared with</w:t>
      </w:r>
      <w:r w:rsidRPr="007D73EF">
        <w:rPr>
          <w:lang w:val="en-US"/>
        </w:rPr>
        <w:t xml:space="preserve"> a typical range of 123–240 across the preceding 59 months). This pattern is consistent with the standard consolidation delay of the SIH/SUS, under which Authorization for Hospital Admission (AIH) records are progressively updated after the reference month. The ICD-10 </w:t>
      </w:r>
      <w:r w:rsidR="00A069DA">
        <w:rPr>
          <w:lang w:val="en-US"/>
        </w:rPr>
        <w:t>I60.x</w:t>
      </w:r>
      <w:r w:rsidRPr="007D73EF">
        <w:rPr>
          <w:lang w:val="en-US"/>
        </w:rPr>
        <w:t xml:space="preserve"> categories encompass both aneurysmal and non-aneurysmal SAH; etiologic subclassification is not available within SIH/SUS records and was therefore not attempted. </w:t>
      </w:r>
      <w:r w:rsidR="008B3F6D">
        <w:rPr>
          <w:lang w:val="en-US"/>
        </w:rPr>
        <w:t xml:space="preserve">SIH/SUS does not capture hospital admissions linked to private-sector providers without </w:t>
      </w:r>
      <w:r w:rsidR="008B3F6D">
        <w:rPr>
          <w:lang w:val="en-US"/>
        </w:rPr>
        <w:lastRenderedPageBreak/>
        <w:t>SUS reimbursement</w:t>
      </w:r>
      <w:r w:rsidRPr="007D73EF">
        <w:rPr>
          <w:lang w:val="en-US"/>
        </w:rPr>
        <w:t xml:space="preserve">, consistent with the </w:t>
      </w:r>
      <w:r w:rsidR="00A069DA">
        <w:rPr>
          <w:lang w:val="en-US"/>
        </w:rPr>
        <w:t>public health system's approximately 75% national coverage</w:t>
      </w:r>
      <w:r w:rsidRPr="007D73EF">
        <w:rPr>
          <w:lang w:val="en-US"/>
        </w:rPr>
        <w:t>.</w:t>
      </w:r>
    </w:p>
    <w:p w14:paraId="3E4F0E1A" w14:textId="77777777" w:rsidR="008F3C82" w:rsidRPr="007D73EF" w:rsidRDefault="00000000">
      <w:pPr>
        <w:spacing w:before="280" w:after="140" w:line="480" w:lineRule="auto"/>
        <w:rPr>
          <w:lang w:val="en-US"/>
        </w:rPr>
      </w:pPr>
      <w:r w:rsidRPr="007D73EF">
        <w:rPr>
          <w:b/>
          <w:bCs/>
          <w:lang w:val="en-US"/>
        </w:rPr>
        <w:t>Section 1.3. Statistical Modelling</w:t>
      </w:r>
    </w:p>
    <w:p w14:paraId="79DCC300" w14:textId="3C2B9CB4" w:rsidR="008F3C82" w:rsidRPr="007D73EF" w:rsidRDefault="00000000" w:rsidP="00A069DA">
      <w:pPr>
        <w:spacing w:after="120" w:line="480" w:lineRule="auto"/>
        <w:ind w:firstLine="708"/>
        <w:jc w:val="both"/>
        <w:rPr>
          <w:lang w:val="en-US"/>
        </w:rPr>
      </w:pPr>
      <w:r w:rsidRPr="00A069DA">
        <w:rPr>
          <w:lang w:val="en-US"/>
        </w:rPr>
        <w:t xml:space="preserve">Monthly counts of SAH hospital admissions were </w:t>
      </w:r>
      <w:r w:rsidR="00A069DA">
        <w:rPr>
          <w:lang w:val="en-US"/>
        </w:rPr>
        <w:t>modeled</w:t>
      </w:r>
      <w:r w:rsidRPr="00A069DA">
        <w:rPr>
          <w:lang w:val="en-US"/>
        </w:rPr>
        <w:t xml:space="preserve"> using generalized linear models with a quasi-Poisson distribution and a log link function. The quasi-Poisson specification was selected a priori to accommodate overdispersion, which is </w:t>
      </w:r>
      <w:r w:rsidR="00A069DA">
        <w:rPr>
          <w:lang w:val="en-US"/>
        </w:rPr>
        <w:t>well documented in monthly count data on</w:t>
      </w:r>
      <w:r w:rsidRPr="00A069DA">
        <w:rPr>
          <w:lang w:val="en-US"/>
        </w:rPr>
        <w:t xml:space="preserve"> relatively rare cerebrovascular events. The estimated dispersion parameter for the overall model was </w:t>
      </w:r>
      <w:r>
        <w:t>φ</w:t>
      </w:r>
      <w:r w:rsidRPr="00A069DA">
        <w:rPr>
          <w:lang w:val="en-US"/>
        </w:rPr>
        <w:t xml:space="preserve"> = 4.55, indicating substantial overdispersion that was appropriately handled by the quasi-Poisson framework. Dispersion was estimated by the Pearson chi-squared statistic divided by residual degrees of freedom, implemented in statsmodels via family=Poisson() with scale='X2'. </w:t>
      </w:r>
      <w:r w:rsidR="00A069DA">
        <w:rPr>
          <w:lang w:val="en-US"/>
        </w:rPr>
        <w:t>The mean</w:t>
      </w:r>
      <w:r w:rsidRPr="00A069DA">
        <w:rPr>
          <w:lang w:val="en-US"/>
        </w:rPr>
        <w:t xml:space="preserve"> minimum air temperature was specified as the primary exposure. Relative risk (RR) per 1°C decrease was computed as exp(−</w:t>
      </w:r>
      <w:r>
        <w:t>β</w:t>
      </w:r>
      <w:r w:rsidRPr="00A069DA">
        <w:rPr>
          <w:lang w:val="en-US"/>
        </w:rPr>
        <w:t xml:space="preserve">), where </w:t>
      </w:r>
      <w:r>
        <w:t>β</w:t>
      </w:r>
      <w:r w:rsidRPr="00A069DA">
        <w:rPr>
          <w:lang w:val="en-US"/>
        </w:rPr>
        <w:t xml:space="preserve"> represents the regression coefficient for temperature on the log scale; this convention reflects the a priori hypothesis </w:t>
      </w:r>
      <w:r w:rsidRPr="00A069DA">
        <w:rPr>
          <w:u w:val="single"/>
          <w:lang w:val="en-US"/>
        </w:rPr>
        <w:t xml:space="preserve">that </w:t>
      </w:r>
      <w:r w:rsidRPr="00A069DA">
        <w:rPr>
          <w:color w:val="C00000"/>
          <w:u w:val="single"/>
          <w:lang w:val="en-US"/>
        </w:rPr>
        <w:t>lower temperatures are associated with increased SAH hospital admissions, consistent with prior reports</w:t>
      </w:r>
      <w:r w:rsidRPr="00A069DA">
        <w:rPr>
          <w:lang w:val="en-US"/>
        </w:rPr>
        <w:t xml:space="preserve"> from temperate and subtropical settings.</w:t>
      </w:r>
    </w:p>
    <w:p w14:paraId="2531D9C0" w14:textId="141D8E41" w:rsidR="008F3C82" w:rsidRPr="007D73EF" w:rsidRDefault="00000000" w:rsidP="00A069DA">
      <w:pPr>
        <w:spacing w:after="120" w:line="480" w:lineRule="auto"/>
        <w:ind w:firstLine="708"/>
        <w:jc w:val="both"/>
        <w:rPr>
          <w:lang w:val="en-US"/>
        </w:rPr>
      </w:pPr>
      <w:r w:rsidRPr="007D73EF">
        <w:rPr>
          <w:lang w:val="en-US"/>
        </w:rPr>
        <w:t xml:space="preserve">Distributed lag non-linear models (DLNM) were considered during protocol development but were not implemented in the final analysis. Monthly aggregation precludes estimation of biologically plausible lag windows </w:t>
      </w:r>
      <w:r w:rsidR="00A069DA">
        <w:rPr>
          <w:lang w:val="en-US"/>
        </w:rPr>
        <w:t>between cold exposure and SAH onset, which prior physiologic evidence suggests operate on timescales</w:t>
      </w:r>
      <w:r w:rsidRPr="007D73EF">
        <w:rPr>
          <w:lang w:val="en-US"/>
        </w:rPr>
        <w:t xml:space="preserve"> of days to weeks rather than months. Furthermore, with 59 monthly observations distributed across five calendar years, the effective sample size does not support the additional parameters required by lag-by-temperature cross-basis specifications. Quasi-Poisson generalized </w:t>
      </w:r>
      <w:r w:rsidRPr="007D73EF">
        <w:rPr>
          <w:lang w:val="en-US"/>
        </w:rPr>
        <w:lastRenderedPageBreak/>
        <w:t>linear models were therefore retained as the most parsimonious specification compatible with the data resolution.</w:t>
      </w:r>
    </w:p>
    <w:p w14:paraId="047B733F" w14:textId="79CCEFB7" w:rsidR="008F3C82" w:rsidRPr="007D73EF" w:rsidRDefault="00000000" w:rsidP="00A069DA">
      <w:pPr>
        <w:spacing w:after="120" w:line="480" w:lineRule="auto"/>
        <w:ind w:firstLine="708"/>
        <w:jc w:val="both"/>
        <w:rPr>
          <w:lang w:val="en-US"/>
        </w:rPr>
      </w:pPr>
      <w:r w:rsidRPr="007D73EF">
        <w:rPr>
          <w:lang w:val="en-US"/>
        </w:rPr>
        <w:t>Season-stratified models were fitted separately for each meteorological season (autumn, winter, spring, summer) without additional long-term trend or within-season seasonality terms, given the small per-stratum sample sizes (14–15 months per season). Humidity and atmospheric pressure were evaluated in preliminary multivariable specifications</w:t>
      </w:r>
      <w:r w:rsidR="008B3F6D">
        <w:rPr>
          <w:lang w:val="en-US"/>
        </w:rPr>
        <w:t>. Still, they were</w:t>
      </w:r>
      <w:r w:rsidRPr="007D73EF">
        <w:rPr>
          <w:lang w:val="en-US"/>
        </w:rPr>
        <w:t xml:space="preserve"> excluded from the final models because they did not show independent associations with SAH admissions after adjustment for temperature.</w:t>
      </w:r>
    </w:p>
    <w:p w14:paraId="0F00D8DC" w14:textId="77777777" w:rsidR="008F3C82" w:rsidRPr="007D73EF" w:rsidRDefault="00000000">
      <w:pPr>
        <w:spacing w:before="280" w:after="140" w:line="480" w:lineRule="auto"/>
        <w:rPr>
          <w:lang w:val="en-US"/>
        </w:rPr>
      </w:pPr>
      <w:r w:rsidRPr="007D73EF">
        <w:rPr>
          <w:b/>
          <w:bCs/>
          <w:lang w:val="en-US"/>
        </w:rPr>
        <w:t>Section 1.4. Mortality Analysis</w:t>
      </w:r>
    </w:p>
    <w:p w14:paraId="2E8C2067" w14:textId="1EB7BE4B" w:rsidR="008F3C82" w:rsidRPr="007D73EF" w:rsidRDefault="00000000" w:rsidP="00A069DA">
      <w:pPr>
        <w:spacing w:after="120" w:line="480" w:lineRule="auto"/>
        <w:ind w:firstLine="708"/>
        <w:jc w:val="both"/>
        <w:rPr>
          <w:lang w:val="en-US"/>
        </w:rPr>
      </w:pPr>
      <w:r w:rsidRPr="007D73EF">
        <w:rPr>
          <w:lang w:val="en-US"/>
        </w:rPr>
        <w:t xml:space="preserve">In-hospital mortality data were obtained from the Brazilian Mortality Information System (Sistema de Informações sobre Mortalidade, SIM) via DATASUS, </w:t>
      </w:r>
      <w:r w:rsidR="00A069DA">
        <w:rPr>
          <w:lang w:val="en-US"/>
        </w:rPr>
        <w:t xml:space="preserve">using the same ICD-10 codes (I60.0–I60.9) and the same </w:t>
      </w:r>
      <w:r w:rsidRPr="007D73EF">
        <w:rPr>
          <w:lang w:val="en-US"/>
        </w:rPr>
        <w:t xml:space="preserve">study period. Because both the admissions and mortality datasets were available only as aggregate </w:t>
      </w:r>
      <w:r w:rsidR="00A069DA">
        <w:rPr>
          <w:lang w:val="en-US"/>
        </w:rPr>
        <w:t>monthly national counts</w:t>
      </w:r>
      <w:r w:rsidRPr="007D73EF">
        <w:rPr>
          <w:lang w:val="en-US"/>
        </w:rPr>
        <w:t>, individual-level linkage between admissions and deaths was not possible. Monthly case-fatality estimates were therefore computed as the ratio of monthly SAH deaths to monthly SAH admissions; this represents an aggregate ratio rather than a patient-level case-fatality rate and is interpreted with this caveat throughout the manuscript. Distributions of monthly case-fatality estimates across the four meteorological seasons were compared using the Kruskal–Wallis test, a non-parametric procedure selected as a conservative default for the small per-season sample size (14–15 monthly observations per season). The observed test statistic was H = 3.05 (p = 0.38), with monthly case-fatality estimates of 5.2% in summer, 5.6% in autumn, 5.7% in winter, and 5.6% in spring.</w:t>
      </w:r>
    </w:p>
    <w:p w14:paraId="50C3D6E6" w14:textId="77777777" w:rsidR="008F3C82" w:rsidRPr="007D73EF" w:rsidRDefault="00000000">
      <w:pPr>
        <w:spacing w:before="280" w:after="140" w:line="480" w:lineRule="auto"/>
        <w:rPr>
          <w:lang w:val="en-US"/>
        </w:rPr>
      </w:pPr>
      <w:r w:rsidRPr="007D73EF">
        <w:rPr>
          <w:b/>
          <w:bCs/>
          <w:lang w:val="en-US"/>
        </w:rPr>
        <w:lastRenderedPageBreak/>
        <w:t>Section 1.5. Sensitivity Analyses</w:t>
      </w:r>
    </w:p>
    <w:p w14:paraId="04181A56" w14:textId="77777777" w:rsidR="008F3C82" w:rsidRPr="007D73EF" w:rsidRDefault="00000000" w:rsidP="00A069DA">
      <w:pPr>
        <w:spacing w:after="120" w:line="480" w:lineRule="auto"/>
        <w:ind w:firstLine="708"/>
        <w:jc w:val="both"/>
        <w:rPr>
          <w:lang w:val="en-US"/>
        </w:rPr>
      </w:pPr>
      <w:r w:rsidRPr="007D73EF">
        <w:rPr>
          <w:lang w:val="en-US"/>
        </w:rPr>
        <w:t>Two prespecified sensitivity analyses were performed. First, all season-stratified quasi-Poisson models were refitted after exclusion of calendar year 2020 to address potential disruption associated with the first year of the COVID-19 pandemic; results are presented in Supplementary Table S4. Second, the winter analysis was repeated using mean maximum temperature as an alternative exposure variable to evaluate consistency of the temperature–SAH association across temperature metrics; this result is also reported in Supplementary Table S4. No further sensitivity specifications (for example, inclusion of long-term trend terms, lag structures, or air pollution covariates) were undertaken, given the data resolution and the absence of nationally representative pollution coverage.</w:t>
      </w:r>
    </w:p>
    <w:p w14:paraId="2BB7147C" w14:textId="77777777" w:rsidR="008F3C82" w:rsidRPr="007D73EF" w:rsidRDefault="00000000">
      <w:pPr>
        <w:spacing w:before="280" w:after="140" w:line="480" w:lineRule="auto"/>
        <w:rPr>
          <w:lang w:val="en-US"/>
        </w:rPr>
      </w:pPr>
      <w:r w:rsidRPr="007D73EF">
        <w:rPr>
          <w:b/>
          <w:bCs/>
          <w:lang w:val="en-US"/>
        </w:rPr>
        <w:t>Section 1.6. Software and Reproducibility</w:t>
      </w:r>
    </w:p>
    <w:p w14:paraId="29999837" w14:textId="77777777" w:rsidR="008F3C82" w:rsidRPr="007D73EF" w:rsidRDefault="00000000" w:rsidP="00A069DA">
      <w:pPr>
        <w:spacing w:after="120" w:line="480" w:lineRule="auto"/>
        <w:ind w:firstLine="708"/>
        <w:jc w:val="both"/>
        <w:rPr>
          <w:lang w:val="en-US"/>
        </w:rPr>
      </w:pPr>
      <w:r w:rsidRPr="007D73EF">
        <w:rPr>
          <w:lang w:val="en-US"/>
        </w:rPr>
        <w:t xml:space="preserve">All statistical analyses were conducted using Python 3.11 with the statsmodels, </w:t>
      </w:r>
      <w:proofErr w:type="spellStart"/>
      <w:r w:rsidRPr="007D73EF">
        <w:rPr>
          <w:lang w:val="en-US"/>
        </w:rPr>
        <w:t>scipy</w:t>
      </w:r>
      <w:proofErr w:type="spellEnd"/>
      <w:r w:rsidRPr="007D73EF">
        <w:rPr>
          <w:lang w:val="en-US"/>
        </w:rPr>
        <w:t xml:space="preserve">, pandas, and </w:t>
      </w:r>
      <w:proofErr w:type="spellStart"/>
      <w:r w:rsidRPr="007D73EF">
        <w:rPr>
          <w:lang w:val="en-US"/>
        </w:rPr>
        <w:t>numpy</w:t>
      </w:r>
      <w:proofErr w:type="spellEnd"/>
      <w:r w:rsidRPr="007D73EF">
        <w:rPr>
          <w:lang w:val="en-US"/>
        </w:rPr>
        <w:t xml:space="preserve"> libraries. Data extraction relied on publicly accessible DATASUS query interfaces (</w:t>
      </w:r>
      <w:proofErr w:type="spellStart"/>
      <w:r w:rsidRPr="007D73EF">
        <w:rPr>
          <w:lang w:val="en-US"/>
        </w:rPr>
        <w:t>TabNet</w:t>
      </w:r>
      <w:proofErr w:type="spellEnd"/>
      <w:r w:rsidRPr="007D73EF">
        <w:rPr>
          <w:lang w:val="en-US"/>
        </w:rPr>
        <w:t>/</w:t>
      </w:r>
      <w:proofErr w:type="spellStart"/>
      <w:r w:rsidRPr="007D73EF">
        <w:rPr>
          <w:lang w:val="en-US"/>
        </w:rPr>
        <w:t>TabWin</w:t>
      </w:r>
      <w:proofErr w:type="spellEnd"/>
      <w:r w:rsidRPr="007D73EF">
        <w:rPr>
          <w:lang w:val="en-US"/>
        </w:rPr>
        <w:t>) and the BDMEP/INMET portal. No proprietary software was used. Complete model specifications, intermediate datasets, and analytical code are available upon reasonable request from the corresponding author.</w:t>
      </w:r>
    </w:p>
    <w:p w14:paraId="04712E2E" w14:textId="77777777" w:rsidR="008F3C82" w:rsidRDefault="008F3C82">
      <w:pPr>
        <w:spacing w:line="480" w:lineRule="auto"/>
        <w:rPr>
          <w:lang w:val="en-US"/>
        </w:rPr>
      </w:pPr>
    </w:p>
    <w:p w14:paraId="5729A1AD" w14:textId="77777777" w:rsidR="00A069DA" w:rsidRDefault="00A069DA">
      <w:pPr>
        <w:spacing w:line="480" w:lineRule="auto"/>
        <w:rPr>
          <w:lang w:val="en-US"/>
        </w:rPr>
      </w:pPr>
    </w:p>
    <w:p w14:paraId="0536082E" w14:textId="77777777" w:rsidR="00A069DA" w:rsidRDefault="00A069DA">
      <w:pPr>
        <w:spacing w:line="480" w:lineRule="auto"/>
        <w:rPr>
          <w:lang w:val="en-US"/>
        </w:rPr>
      </w:pPr>
    </w:p>
    <w:p w14:paraId="4C8109D5" w14:textId="77777777" w:rsidR="00A069DA" w:rsidRPr="007D73EF" w:rsidRDefault="00A069DA">
      <w:pPr>
        <w:spacing w:line="480" w:lineRule="auto"/>
        <w:rPr>
          <w:lang w:val="en-US"/>
        </w:rPr>
      </w:pPr>
    </w:p>
    <w:p w14:paraId="05055708" w14:textId="77777777" w:rsidR="008F3C82" w:rsidRPr="007D73EF" w:rsidRDefault="00000000">
      <w:pPr>
        <w:spacing w:after="120" w:line="480" w:lineRule="auto"/>
        <w:jc w:val="both"/>
        <w:rPr>
          <w:lang w:val="en-US"/>
        </w:rPr>
      </w:pPr>
      <w:r w:rsidRPr="007D73EF">
        <w:rPr>
          <w:b/>
          <w:bCs/>
          <w:lang w:val="en-US"/>
        </w:rPr>
        <w:lastRenderedPageBreak/>
        <w:t>Supplementary Table S2. Pearson correlations between monthly meteorological variables and SAH hospital admissions, Brazil, January 2020 – November 2024 (N = 59 months).</w:t>
      </w:r>
    </w:p>
    <w:tbl>
      <w:tblPr>
        <w:tblStyle w:val="TableGridLight"/>
        <w:tblW w:w="9360" w:type="dxa"/>
        <w:tblLook w:val="0000" w:firstRow="0" w:lastRow="0" w:firstColumn="0" w:lastColumn="0" w:noHBand="0" w:noVBand="0"/>
      </w:tblPr>
      <w:tblGrid>
        <w:gridCol w:w="4680"/>
        <w:gridCol w:w="2340"/>
        <w:gridCol w:w="2340"/>
      </w:tblGrid>
      <w:tr w:rsidR="008F3C82" w:rsidRPr="007D73EF" w14:paraId="4841B96D" w14:textId="77777777" w:rsidTr="007D73EF">
        <w:tc>
          <w:tcPr>
            <w:tcW w:w="4680" w:type="dxa"/>
          </w:tcPr>
          <w:p w14:paraId="38E889DA" w14:textId="77777777" w:rsidR="008F3C82" w:rsidRPr="007D73EF" w:rsidRDefault="00000000" w:rsidP="007D73EF">
            <w:pPr>
              <w:spacing w:line="480" w:lineRule="auto"/>
              <w:jc w:val="center"/>
              <w:rPr>
                <w:sz w:val="22"/>
                <w:szCs w:val="22"/>
              </w:rPr>
            </w:pPr>
            <w:r w:rsidRPr="007D73EF">
              <w:rPr>
                <w:b/>
                <w:bCs/>
                <w:sz w:val="22"/>
                <w:szCs w:val="22"/>
              </w:rPr>
              <w:t>Variable</w:t>
            </w:r>
          </w:p>
        </w:tc>
        <w:tc>
          <w:tcPr>
            <w:tcW w:w="2340" w:type="dxa"/>
          </w:tcPr>
          <w:p w14:paraId="4BFD2FA9" w14:textId="77777777" w:rsidR="008F3C82" w:rsidRPr="007D73EF" w:rsidRDefault="00000000" w:rsidP="007D73EF">
            <w:pPr>
              <w:spacing w:line="480" w:lineRule="auto"/>
              <w:jc w:val="center"/>
              <w:rPr>
                <w:sz w:val="22"/>
                <w:szCs w:val="22"/>
              </w:rPr>
            </w:pPr>
            <w:r w:rsidRPr="007D73EF">
              <w:rPr>
                <w:b/>
                <w:bCs/>
                <w:sz w:val="22"/>
                <w:szCs w:val="22"/>
              </w:rPr>
              <w:t>Pearson r</w:t>
            </w:r>
          </w:p>
        </w:tc>
        <w:tc>
          <w:tcPr>
            <w:tcW w:w="2340" w:type="dxa"/>
          </w:tcPr>
          <w:p w14:paraId="4B1A3A77" w14:textId="77777777" w:rsidR="008F3C82" w:rsidRPr="007D73EF" w:rsidRDefault="00000000" w:rsidP="007D73EF">
            <w:pPr>
              <w:spacing w:line="480" w:lineRule="auto"/>
              <w:jc w:val="center"/>
              <w:rPr>
                <w:sz w:val="22"/>
                <w:szCs w:val="22"/>
              </w:rPr>
            </w:pPr>
            <w:r w:rsidRPr="007D73EF">
              <w:rPr>
                <w:b/>
                <w:bCs/>
                <w:sz w:val="22"/>
                <w:szCs w:val="22"/>
              </w:rPr>
              <w:t>p-</w:t>
            </w:r>
            <w:proofErr w:type="spellStart"/>
            <w:r w:rsidRPr="007D73EF">
              <w:rPr>
                <w:b/>
                <w:bCs/>
                <w:sz w:val="22"/>
                <w:szCs w:val="22"/>
              </w:rPr>
              <w:t>value</w:t>
            </w:r>
            <w:proofErr w:type="spellEnd"/>
          </w:p>
        </w:tc>
      </w:tr>
      <w:tr w:rsidR="008F3C82" w:rsidRPr="007D73EF" w14:paraId="49DB5CC1" w14:textId="77777777" w:rsidTr="007D73EF">
        <w:tc>
          <w:tcPr>
            <w:tcW w:w="4680" w:type="dxa"/>
          </w:tcPr>
          <w:p w14:paraId="1C736E68" w14:textId="77777777" w:rsidR="008F3C82" w:rsidRPr="007D73EF" w:rsidRDefault="00000000" w:rsidP="007D73EF">
            <w:pPr>
              <w:spacing w:line="480" w:lineRule="auto"/>
              <w:jc w:val="center"/>
              <w:rPr>
                <w:sz w:val="22"/>
                <w:szCs w:val="22"/>
              </w:rPr>
            </w:pPr>
            <w:r w:rsidRPr="007D73EF">
              <w:rPr>
                <w:sz w:val="22"/>
                <w:szCs w:val="22"/>
              </w:rPr>
              <w:t xml:space="preserve">Mean minimum </w:t>
            </w:r>
            <w:proofErr w:type="spellStart"/>
            <w:r w:rsidRPr="007D73EF">
              <w:rPr>
                <w:sz w:val="22"/>
                <w:szCs w:val="22"/>
              </w:rPr>
              <w:t>temperature</w:t>
            </w:r>
            <w:proofErr w:type="spellEnd"/>
            <w:r w:rsidRPr="007D73EF">
              <w:rPr>
                <w:sz w:val="22"/>
                <w:szCs w:val="22"/>
              </w:rPr>
              <w:t xml:space="preserve"> (°C)</w:t>
            </w:r>
          </w:p>
        </w:tc>
        <w:tc>
          <w:tcPr>
            <w:tcW w:w="2340" w:type="dxa"/>
          </w:tcPr>
          <w:p w14:paraId="135F3D29" w14:textId="77777777" w:rsidR="008F3C82" w:rsidRPr="007D73EF" w:rsidRDefault="00000000" w:rsidP="007D73EF">
            <w:pPr>
              <w:spacing w:line="480" w:lineRule="auto"/>
              <w:jc w:val="center"/>
              <w:rPr>
                <w:sz w:val="22"/>
                <w:szCs w:val="22"/>
              </w:rPr>
            </w:pPr>
            <w:r w:rsidRPr="007D73EF">
              <w:rPr>
                <w:sz w:val="22"/>
                <w:szCs w:val="22"/>
              </w:rPr>
              <w:t>−0.192</w:t>
            </w:r>
          </w:p>
        </w:tc>
        <w:tc>
          <w:tcPr>
            <w:tcW w:w="2340" w:type="dxa"/>
          </w:tcPr>
          <w:p w14:paraId="47BA1C45" w14:textId="77777777" w:rsidR="008F3C82" w:rsidRPr="007D73EF" w:rsidRDefault="00000000" w:rsidP="007D73EF">
            <w:pPr>
              <w:spacing w:line="480" w:lineRule="auto"/>
              <w:jc w:val="center"/>
              <w:rPr>
                <w:sz w:val="22"/>
                <w:szCs w:val="22"/>
              </w:rPr>
            </w:pPr>
            <w:r w:rsidRPr="007D73EF">
              <w:rPr>
                <w:sz w:val="22"/>
                <w:szCs w:val="22"/>
              </w:rPr>
              <w:t>0.14</w:t>
            </w:r>
          </w:p>
        </w:tc>
      </w:tr>
      <w:tr w:rsidR="008F3C82" w:rsidRPr="007D73EF" w14:paraId="728DB13C" w14:textId="77777777" w:rsidTr="007D73EF">
        <w:tc>
          <w:tcPr>
            <w:tcW w:w="4680" w:type="dxa"/>
          </w:tcPr>
          <w:p w14:paraId="7F824235" w14:textId="77777777" w:rsidR="008F3C82" w:rsidRPr="007D73EF" w:rsidRDefault="00000000" w:rsidP="007D73EF">
            <w:pPr>
              <w:spacing w:line="480" w:lineRule="auto"/>
              <w:jc w:val="center"/>
              <w:rPr>
                <w:sz w:val="22"/>
                <w:szCs w:val="22"/>
              </w:rPr>
            </w:pPr>
            <w:r w:rsidRPr="007D73EF">
              <w:rPr>
                <w:sz w:val="22"/>
                <w:szCs w:val="22"/>
              </w:rPr>
              <w:t xml:space="preserve">Mean maximum </w:t>
            </w:r>
            <w:proofErr w:type="spellStart"/>
            <w:r w:rsidRPr="007D73EF">
              <w:rPr>
                <w:sz w:val="22"/>
                <w:szCs w:val="22"/>
              </w:rPr>
              <w:t>temperature</w:t>
            </w:r>
            <w:proofErr w:type="spellEnd"/>
            <w:r w:rsidRPr="007D73EF">
              <w:rPr>
                <w:sz w:val="22"/>
                <w:szCs w:val="22"/>
              </w:rPr>
              <w:t xml:space="preserve"> (°C)</w:t>
            </w:r>
          </w:p>
        </w:tc>
        <w:tc>
          <w:tcPr>
            <w:tcW w:w="2340" w:type="dxa"/>
          </w:tcPr>
          <w:p w14:paraId="4332F340" w14:textId="77777777" w:rsidR="008F3C82" w:rsidRPr="007D73EF" w:rsidRDefault="00000000" w:rsidP="007D73EF">
            <w:pPr>
              <w:spacing w:line="480" w:lineRule="auto"/>
              <w:jc w:val="center"/>
              <w:rPr>
                <w:sz w:val="22"/>
                <w:szCs w:val="22"/>
              </w:rPr>
            </w:pPr>
            <w:r w:rsidRPr="007D73EF">
              <w:rPr>
                <w:sz w:val="22"/>
                <w:szCs w:val="22"/>
              </w:rPr>
              <w:t>−0.196</w:t>
            </w:r>
          </w:p>
        </w:tc>
        <w:tc>
          <w:tcPr>
            <w:tcW w:w="2340" w:type="dxa"/>
          </w:tcPr>
          <w:p w14:paraId="14AAABCE" w14:textId="77777777" w:rsidR="008F3C82" w:rsidRPr="007D73EF" w:rsidRDefault="00000000" w:rsidP="007D73EF">
            <w:pPr>
              <w:spacing w:line="480" w:lineRule="auto"/>
              <w:jc w:val="center"/>
              <w:rPr>
                <w:sz w:val="22"/>
                <w:szCs w:val="22"/>
              </w:rPr>
            </w:pPr>
            <w:r w:rsidRPr="007D73EF">
              <w:rPr>
                <w:sz w:val="22"/>
                <w:szCs w:val="22"/>
              </w:rPr>
              <w:t>0.14</w:t>
            </w:r>
          </w:p>
        </w:tc>
      </w:tr>
      <w:tr w:rsidR="008F3C82" w:rsidRPr="007D73EF" w14:paraId="61FED388" w14:textId="77777777" w:rsidTr="007D73EF">
        <w:tc>
          <w:tcPr>
            <w:tcW w:w="4680" w:type="dxa"/>
          </w:tcPr>
          <w:p w14:paraId="40D53BDD" w14:textId="77777777" w:rsidR="008F3C82" w:rsidRPr="007D73EF" w:rsidRDefault="00000000" w:rsidP="007D73EF">
            <w:pPr>
              <w:spacing w:line="480" w:lineRule="auto"/>
              <w:jc w:val="center"/>
              <w:rPr>
                <w:sz w:val="22"/>
                <w:szCs w:val="22"/>
              </w:rPr>
            </w:pPr>
            <w:r w:rsidRPr="007D73EF">
              <w:rPr>
                <w:sz w:val="22"/>
                <w:szCs w:val="22"/>
              </w:rPr>
              <w:t xml:space="preserve">Mean </w:t>
            </w:r>
            <w:proofErr w:type="spellStart"/>
            <w:r w:rsidRPr="007D73EF">
              <w:rPr>
                <w:sz w:val="22"/>
                <w:szCs w:val="22"/>
              </w:rPr>
              <w:t>temperature</w:t>
            </w:r>
            <w:proofErr w:type="spellEnd"/>
            <w:r w:rsidRPr="007D73EF">
              <w:rPr>
                <w:sz w:val="22"/>
                <w:szCs w:val="22"/>
              </w:rPr>
              <w:t xml:space="preserve"> (°C)</w:t>
            </w:r>
          </w:p>
        </w:tc>
        <w:tc>
          <w:tcPr>
            <w:tcW w:w="2340" w:type="dxa"/>
          </w:tcPr>
          <w:p w14:paraId="4F666ADF" w14:textId="77777777" w:rsidR="008F3C82" w:rsidRPr="007D73EF" w:rsidRDefault="00000000" w:rsidP="007D73EF">
            <w:pPr>
              <w:spacing w:line="480" w:lineRule="auto"/>
              <w:jc w:val="center"/>
              <w:rPr>
                <w:sz w:val="22"/>
                <w:szCs w:val="22"/>
              </w:rPr>
            </w:pPr>
            <w:r w:rsidRPr="007D73EF">
              <w:rPr>
                <w:sz w:val="22"/>
                <w:szCs w:val="22"/>
              </w:rPr>
              <w:t>−0.194</w:t>
            </w:r>
          </w:p>
        </w:tc>
        <w:tc>
          <w:tcPr>
            <w:tcW w:w="2340" w:type="dxa"/>
          </w:tcPr>
          <w:p w14:paraId="271EC1D5" w14:textId="77777777" w:rsidR="008F3C82" w:rsidRPr="007D73EF" w:rsidRDefault="00000000" w:rsidP="007D73EF">
            <w:pPr>
              <w:spacing w:line="480" w:lineRule="auto"/>
              <w:jc w:val="center"/>
              <w:rPr>
                <w:sz w:val="22"/>
                <w:szCs w:val="22"/>
              </w:rPr>
            </w:pPr>
            <w:r w:rsidRPr="007D73EF">
              <w:rPr>
                <w:sz w:val="22"/>
                <w:szCs w:val="22"/>
              </w:rPr>
              <w:t>0.14</w:t>
            </w:r>
          </w:p>
        </w:tc>
      </w:tr>
    </w:tbl>
    <w:p w14:paraId="0805E95E" w14:textId="77777777" w:rsidR="008F3C82" w:rsidRPr="007D73EF" w:rsidRDefault="00000000">
      <w:pPr>
        <w:spacing w:after="120" w:line="480" w:lineRule="auto"/>
        <w:jc w:val="both"/>
        <w:rPr>
          <w:lang w:val="en-US"/>
        </w:rPr>
      </w:pPr>
      <w:r w:rsidRPr="007D73EF">
        <w:rPr>
          <w:b/>
          <w:bCs/>
          <w:lang w:val="en-US"/>
        </w:rPr>
        <w:t xml:space="preserve">Legend: </w:t>
      </w:r>
      <w:r w:rsidRPr="007D73EF">
        <w:rPr>
          <w:lang w:val="en-US"/>
        </w:rPr>
        <w:t>Pearson product–moment correlation coefficients between monthly state-averaged meteorological variables (unweighted mean across the 27 Federative Units) and monthly SAH hospital admissions across the full study period (N = 59 months). SAH, subarachnoid hemorrhage.</w:t>
      </w:r>
    </w:p>
    <w:p w14:paraId="65D67045" w14:textId="77777777" w:rsidR="008F3C82" w:rsidRPr="007D73EF" w:rsidRDefault="008F3C82">
      <w:pPr>
        <w:spacing w:line="480" w:lineRule="auto"/>
        <w:rPr>
          <w:lang w:val="en-US"/>
        </w:rPr>
      </w:pPr>
    </w:p>
    <w:p w14:paraId="6E9DFEF3" w14:textId="77777777" w:rsidR="008F3C82" w:rsidRPr="007D73EF" w:rsidRDefault="00000000">
      <w:pPr>
        <w:spacing w:after="120" w:line="480" w:lineRule="auto"/>
        <w:jc w:val="both"/>
        <w:rPr>
          <w:lang w:val="en-US"/>
        </w:rPr>
      </w:pPr>
      <w:r w:rsidRPr="007D73EF">
        <w:rPr>
          <w:b/>
          <w:bCs/>
          <w:lang w:val="en-US"/>
        </w:rPr>
        <w:t>Supplementary Table S3. Season-stratified quasi-Poisson model results: relative risk of SAH hospital admission per 1°C decrease in mean minimum temperature, Brazil, January 2020 – November 2024.</w:t>
      </w:r>
    </w:p>
    <w:tbl>
      <w:tblPr>
        <w:tblStyle w:val="PlainTable1"/>
        <w:tblW w:w="9360" w:type="dxa"/>
        <w:tblLook w:val="0000" w:firstRow="0" w:lastRow="0" w:firstColumn="0" w:lastColumn="0" w:noHBand="0" w:noVBand="0"/>
      </w:tblPr>
      <w:tblGrid>
        <w:gridCol w:w="2200"/>
        <w:gridCol w:w="1400"/>
        <w:gridCol w:w="3960"/>
        <w:gridCol w:w="1800"/>
      </w:tblGrid>
      <w:tr w:rsidR="008F3C82" w:rsidRPr="007D73EF" w14:paraId="67DAA978" w14:textId="77777777" w:rsidTr="007D73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00" w:type="dxa"/>
            <w:vAlign w:val="center"/>
          </w:tcPr>
          <w:p w14:paraId="3E4AA218" w14:textId="77777777" w:rsidR="008F3C82" w:rsidRPr="007D73EF" w:rsidRDefault="00000000" w:rsidP="007D73EF">
            <w:pPr>
              <w:spacing w:line="480" w:lineRule="auto"/>
              <w:jc w:val="center"/>
              <w:rPr>
                <w:sz w:val="22"/>
                <w:szCs w:val="22"/>
              </w:rPr>
            </w:pPr>
            <w:r w:rsidRPr="007D73EF">
              <w:rPr>
                <w:b/>
                <w:bCs/>
                <w:sz w:val="22"/>
                <w:szCs w:val="22"/>
              </w:rPr>
              <w:t>Stratum</w:t>
            </w:r>
          </w:p>
        </w:tc>
        <w:tc>
          <w:tcPr>
            <w:tcW w:w="1400" w:type="dxa"/>
            <w:vAlign w:val="center"/>
          </w:tcPr>
          <w:p w14:paraId="50394943"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b/>
                <w:bCs/>
                <w:sz w:val="22"/>
                <w:szCs w:val="22"/>
              </w:rPr>
              <w:t>N (</w:t>
            </w:r>
            <w:proofErr w:type="spellStart"/>
            <w:r w:rsidRPr="007D73EF">
              <w:rPr>
                <w:b/>
                <w:bCs/>
                <w:sz w:val="22"/>
                <w:szCs w:val="22"/>
              </w:rPr>
              <w:t>months</w:t>
            </w:r>
            <w:proofErr w:type="spellEnd"/>
            <w:r w:rsidRPr="007D73EF">
              <w:rPr>
                <w:b/>
                <w:bCs/>
                <w:sz w:val="22"/>
                <w:szCs w:val="22"/>
              </w:rPr>
              <w:t>)</w:t>
            </w:r>
          </w:p>
        </w:tc>
        <w:tc>
          <w:tcPr>
            <w:cnfStyle w:val="000010000000" w:firstRow="0" w:lastRow="0" w:firstColumn="0" w:lastColumn="0" w:oddVBand="1" w:evenVBand="0" w:oddHBand="0" w:evenHBand="0" w:firstRowFirstColumn="0" w:firstRowLastColumn="0" w:lastRowFirstColumn="0" w:lastRowLastColumn="0"/>
            <w:tcW w:w="3960" w:type="dxa"/>
            <w:vAlign w:val="center"/>
          </w:tcPr>
          <w:p w14:paraId="40BC6150" w14:textId="77777777" w:rsidR="008F3C82" w:rsidRPr="007D73EF" w:rsidRDefault="00000000" w:rsidP="007D73EF">
            <w:pPr>
              <w:spacing w:line="480" w:lineRule="auto"/>
              <w:jc w:val="center"/>
              <w:rPr>
                <w:sz w:val="22"/>
                <w:szCs w:val="22"/>
                <w:lang w:val="en-US"/>
              </w:rPr>
            </w:pPr>
            <w:r w:rsidRPr="007D73EF">
              <w:rPr>
                <w:b/>
                <w:bCs/>
                <w:sz w:val="22"/>
                <w:szCs w:val="22"/>
                <w:lang w:val="en-US"/>
              </w:rPr>
              <w:t>RR per 1°C decrease (95% CI)</w:t>
            </w:r>
          </w:p>
        </w:tc>
        <w:tc>
          <w:tcPr>
            <w:tcW w:w="1800" w:type="dxa"/>
            <w:vAlign w:val="center"/>
          </w:tcPr>
          <w:p w14:paraId="15EE08F7"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b/>
                <w:bCs/>
                <w:sz w:val="22"/>
                <w:szCs w:val="22"/>
              </w:rPr>
              <w:t>p-</w:t>
            </w:r>
            <w:proofErr w:type="spellStart"/>
            <w:r w:rsidRPr="007D73EF">
              <w:rPr>
                <w:b/>
                <w:bCs/>
                <w:sz w:val="22"/>
                <w:szCs w:val="22"/>
              </w:rPr>
              <w:t>value</w:t>
            </w:r>
            <w:proofErr w:type="spellEnd"/>
          </w:p>
        </w:tc>
      </w:tr>
      <w:tr w:rsidR="008F3C82" w:rsidRPr="007D73EF" w14:paraId="796C1340" w14:textId="77777777" w:rsidTr="007D73EF">
        <w:tc>
          <w:tcPr>
            <w:cnfStyle w:val="000010000000" w:firstRow="0" w:lastRow="0" w:firstColumn="0" w:lastColumn="0" w:oddVBand="1" w:evenVBand="0" w:oddHBand="0" w:evenHBand="0" w:firstRowFirstColumn="0" w:firstRowLastColumn="0" w:lastRowFirstColumn="0" w:lastRowLastColumn="0"/>
            <w:tcW w:w="2200" w:type="dxa"/>
            <w:vAlign w:val="center"/>
          </w:tcPr>
          <w:p w14:paraId="4AA45435" w14:textId="77777777" w:rsidR="008F3C82" w:rsidRPr="007D73EF" w:rsidRDefault="00000000" w:rsidP="007D73EF">
            <w:pPr>
              <w:spacing w:line="480" w:lineRule="auto"/>
              <w:jc w:val="center"/>
              <w:rPr>
                <w:sz w:val="22"/>
                <w:szCs w:val="22"/>
              </w:rPr>
            </w:pPr>
            <w:r w:rsidRPr="007D73EF">
              <w:rPr>
                <w:sz w:val="22"/>
                <w:szCs w:val="22"/>
              </w:rPr>
              <w:t>Overall</w:t>
            </w:r>
          </w:p>
        </w:tc>
        <w:tc>
          <w:tcPr>
            <w:tcW w:w="1400" w:type="dxa"/>
            <w:vAlign w:val="center"/>
          </w:tcPr>
          <w:p w14:paraId="1D3F5983"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59</w:t>
            </w:r>
          </w:p>
        </w:tc>
        <w:tc>
          <w:tcPr>
            <w:cnfStyle w:val="000010000000" w:firstRow="0" w:lastRow="0" w:firstColumn="0" w:lastColumn="0" w:oddVBand="1" w:evenVBand="0" w:oddHBand="0" w:evenHBand="0" w:firstRowFirstColumn="0" w:firstRowLastColumn="0" w:lastRowFirstColumn="0" w:lastRowLastColumn="0"/>
            <w:tcW w:w="3960" w:type="dxa"/>
            <w:vAlign w:val="center"/>
          </w:tcPr>
          <w:p w14:paraId="2259AB6B" w14:textId="77777777" w:rsidR="008F3C82" w:rsidRPr="007D73EF" w:rsidRDefault="00000000" w:rsidP="007D73EF">
            <w:pPr>
              <w:spacing w:line="480" w:lineRule="auto"/>
              <w:jc w:val="center"/>
              <w:rPr>
                <w:sz w:val="22"/>
                <w:szCs w:val="22"/>
              </w:rPr>
            </w:pPr>
            <w:r w:rsidRPr="007D73EF">
              <w:rPr>
                <w:sz w:val="22"/>
                <w:szCs w:val="22"/>
              </w:rPr>
              <w:t>1.019 (0.994–1.045)</w:t>
            </w:r>
          </w:p>
        </w:tc>
        <w:tc>
          <w:tcPr>
            <w:tcW w:w="1800" w:type="dxa"/>
            <w:vAlign w:val="center"/>
          </w:tcPr>
          <w:p w14:paraId="6511DD85"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0.14</w:t>
            </w:r>
          </w:p>
        </w:tc>
      </w:tr>
      <w:tr w:rsidR="008F3C82" w:rsidRPr="007D73EF" w14:paraId="65F928D2" w14:textId="77777777" w:rsidTr="007D73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00" w:type="dxa"/>
            <w:vAlign w:val="center"/>
          </w:tcPr>
          <w:p w14:paraId="422B7995" w14:textId="77777777" w:rsidR="008F3C82" w:rsidRPr="007D73EF" w:rsidRDefault="00000000" w:rsidP="007D73EF">
            <w:pPr>
              <w:spacing w:line="480" w:lineRule="auto"/>
              <w:jc w:val="center"/>
              <w:rPr>
                <w:sz w:val="22"/>
                <w:szCs w:val="22"/>
              </w:rPr>
            </w:pPr>
            <w:r w:rsidRPr="007D73EF">
              <w:rPr>
                <w:sz w:val="22"/>
                <w:szCs w:val="22"/>
              </w:rPr>
              <w:t>Autumn (Mar–May)</w:t>
            </w:r>
          </w:p>
        </w:tc>
        <w:tc>
          <w:tcPr>
            <w:tcW w:w="1400" w:type="dxa"/>
            <w:vAlign w:val="center"/>
          </w:tcPr>
          <w:p w14:paraId="18E4225F"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15</w:t>
            </w:r>
          </w:p>
        </w:tc>
        <w:tc>
          <w:tcPr>
            <w:cnfStyle w:val="000010000000" w:firstRow="0" w:lastRow="0" w:firstColumn="0" w:lastColumn="0" w:oddVBand="1" w:evenVBand="0" w:oddHBand="0" w:evenHBand="0" w:firstRowFirstColumn="0" w:firstRowLastColumn="0" w:lastRowFirstColumn="0" w:lastRowLastColumn="0"/>
            <w:tcW w:w="3960" w:type="dxa"/>
            <w:vAlign w:val="center"/>
          </w:tcPr>
          <w:p w14:paraId="030756CE" w14:textId="77777777" w:rsidR="008F3C82" w:rsidRPr="007D73EF" w:rsidRDefault="00000000" w:rsidP="007D73EF">
            <w:pPr>
              <w:spacing w:line="480" w:lineRule="auto"/>
              <w:jc w:val="center"/>
              <w:rPr>
                <w:sz w:val="22"/>
                <w:szCs w:val="22"/>
              </w:rPr>
            </w:pPr>
            <w:r w:rsidRPr="007D73EF">
              <w:rPr>
                <w:sz w:val="22"/>
                <w:szCs w:val="22"/>
              </w:rPr>
              <w:t>1.026 (0.985–1.067)</w:t>
            </w:r>
          </w:p>
        </w:tc>
        <w:tc>
          <w:tcPr>
            <w:tcW w:w="1800" w:type="dxa"/>
            <w:vAlign w:val="center"/>
          </w:tcPr>
          <w:p w14:paraId="4B99CA78"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0.22</w:t>
            </w:r>
          </w:p>
        </w:tc>
      </w:tr>
      <w:tr w:rsidR="008F3C82" w:rsidRPr="007D73EF" w14:paraId="73391A4A" w14:textId="77777777" w:rsidTr="007D73EF">
        <w:tc>
          <w:tcPr>
            <w:cnfStyle w:val="000010000000" w:firstRow="0" w:lastRow="0" w:firstColumn="0" w:lastColumn="0" w:oddVBand="1" w:evenVBand="0" w:oddHBand="0" w:evenHBand="0" w:firstRowFirstColumn="0" w:firstRowLastColumn="0" w:lastRowFirstColumn="0" w:lastRowLastColumn="0"/>
            <w:tcW w:w="2200" w:type="dxa"/>
            <w:vAlign w:val="center"/>
          </w:tcPr>
          <w:p w14:paraId="229FFF38" w14:textId="77777777" w:rsidR="008F3C82" w:rsidRPr="007D73EF" w:rsidRDefault="00000000" w:rsidP="007D73EF">
            <w:pPr>
              <w:spacing w:line="480" w:lineRule="auto"/>
              <w:jc w:val="center"/>
              <w:rPr>
                <w:sz w:val="22"/>
                <w:szCs w:val="22"/>
              </w:rPr>
            </w:pPr>
            <w:r w:rsidRPr="007D73EF">
              <w:rPr>
                <w:sz w:val="22"/>
                <w:szCs w:val="22"/>
              </w:rPr>
              <w:t>Winter (</w:t>
            </w:r>
            <w:proofErr w:type="spellStart"/>
            <w:r w:rsidRPr="007D73EF">
              <w:rPr>
                <w:sz w:val="22"/>
                <w:szCs w:val="22"/>
              </w:rPr>
              <w:t>Jun</w:t>
            </w:r>
            <w:proofErr w:type="spellEnd"/>
            <w:r w:rsidRPr="007D73EF">
              <w:rPr>
                <w:sz w:val="22"/>
                <w:szCs w:val="22"/>
              </w:rPr>
              <w:t>–</w:t>
            </w:r>
            <w:proofErr w:type="spellStart"/>
            <w:r w:rsidRPr="007D73EF">
              <w:rPr>
                <w:sz w:val="22"/>
                <w:szCs w:val="22"/>
              </w:rPr>
              <w:t>Aug</w:t>
            </w:r>
            <w:proofErr w:type="spellEnd"/>
            <w:r w:rsidRPr="007D73EF">
              <w:rPr>
                <w:sz w:val="22"/>
                <w:szCs w:val="22"/>
              </w:rPr>
              <w:t>)</w:t>
            </w:r>
          </w:p>
        </w:tc>
        <w:tc>
          <w:tcPr>
            <w:tcW w:w="1400" w:type="dxa"/>
            <w:vAlign w:val="center"/>
          </w:tcPr>
          <w:p w14:paraId="6F0ED5A4"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15</w:t>
            </w:r>
          </w:p>
        </w:tc>
        <w:tc>
          <w:tcPr>
            <w:cnfStyle w:val="000010000000" w:firstRow="0" w:lastRow="0" w:firstColumn="0" w:lastColumn="0" w:oddVBand="1" w:evenVBand="0" w:oddHBand="0" w:evenHBand="0" w:firstRowFirstColumn="0" w:firstRowLastColumn="0" w:lastRowFirstColumn="0" w:lastRowLastColumn="0"/>
            <w:tcW w:w="3960" w:type="dxa"/>
            <w:vAlign w:val="center"/>
          </w:tcPr>
          <w:p w14:paraId="2726EDAA" w14:textId="77777777" w:rsidR="008F3C82" w:rsidRPr="007D73EF" w:rsidRDefault="00000000" w:rsidP="007D73EF">
            <w:pPr>
              <w:spacing w:line="480" w:lineRule="auto"/>
              <w:jc w:val="center"/>
              <w:rPr>
                <w:sz w:val="22"/>
                <w:szCs w:val="22"/>
              </w:rPr>
            </w:pPr>
            <w:r w:rsidRPr="007D73EF">
              <w:rPr>
                <w:sz w:val="22"/>
                <w:szCs w:val="22"/>
              </w:rPr>
              <w:t>1.133 (1.008–1.275)</w:t>
            </w:r>
          </w:p>
        </w:tc>
        <w:tc>
          <w:tcPr>
            <w:tcW w:w="1800" w:type="dxa"/>
            <w:vAlign w:val="center"/>
          </w:tcPr>
          <w:p w14:paraId="1B785A9E"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0.037</w:t>
            </w:r>
          </w:p>
        </w:tc>
      </w:tr>
      <w:tr w:rsidR="008F3C82" w:rsidRPr="007D73EF" w14:paraId="186D8837" w14:textId="77777777" w:rsidTr="007D73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00" w:type="dxa"/>
            <w:vAlign w:val="center"/>
          </w:tcPr>
          <w:p w14:paraId="70B2803E" w14:textId="77777777" w:rsidR="008F3C82" w:rsidRPr="007D73EF" w:rsidRDefault="00000000" w:rsidP="007D73EF">
            <w:pPr>
              <w:spacing w:line="480" w:lineRule="auto"/>
              <w:jc w:val="center"/>
              <w:rPr>
                <w:sz w:val="22"/>
                <w:szCs w:val="22"/>
              </w:rPr>
            </w:pPr>
            <w:r w:rsidRPr="007D73EF">
              <w:rPr>
                <w:sz w:val="22"/>
                <w:szCs w:val="22"/>
              </w:rPr>
              <w:t>Spring (</w:t>
            </w:r>
            <w:proofErr w:type="spellStart"/>
            <w:r w:rsidRPr="007D73EF">
              <w:rPr>
                <w:sz w:val="22"/>
                <w:szCs w:val="22"/>
              </w:rPr>
              <w:t>Sep</w:t>
            </w:r>
            <w:proofErr w:type="spellEnd"/>
            <w:r w:rsidRPr="007D73EF">
              <w:rPr>
                <w:sz w:val="22"/>
                <w:szCs w:val="22"/>
              </w:rPr>
              <w:t>–</w:t>
            </w:r>
            <w:proofErr w:type="spellStart"/>
            <w:r w:rsidRPr="007D73EF">
              <w:rPr>
                <w:sz w:val="22"/>
                <w:szCs w:val="22"/>
              </w:rPr>
              <w:t>Nov</w:t>
            </w:r>
            <w:proofErr w:type="spellEnd"/>
            <w:r w:rsidRPr="007D73EF">
              <w:rPr>
                <w:sz w:val="22"/>
                <w:szCs w:val="22"/>
              </w:rPr>
              <w:t>)</w:t>
            </w:r>
          </w:p>
        </w:tc>
        <w:tc>
          <w:tcPr>
            <w:tcW w:w="1400" w:type="dxa"/>
            <w:vAlign w:val="center"/>
          </w:tcPr>
          <w:p w14:paraId="0AEEB201"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15</w:t>
            </w:r>
          </w:p>
        </w:tc>
        <w:tc>
          <w:tcPr>
            <w:cnfStyle w:val="000010000000" w:firstRow="0" w:lastRow="0" w:firstColumn="0" w:lastColumn="0" w:oddVBand="1" w:evenVBand="0" w:oddHBand="0" w:evenHBand="0" w:firstRowFirstColumn="0" w:firstRowLastColumn="0" w:lastRowFirstColumn="0" w:lastRowLastColumn="0"/>
            <w:tcW w:w="3960" w:type="dxa"/>
            <w:vAlign w:val="center"/>
          </w:tcPr>
          <w:p w14:paraId="022F7E00" w14:textId="77777777" w:rsidR="008F3C82" w:rsidRPr="007D73EF" w:rsidRDefault="00000000" w:rsidP="007D73EF">
            <w:pPr>
              <w:spacing w:line="480" w:lineRule="auto"/>
              <w:jc w:val="center"/>
              <w:rPr>
                <w:sz w:val="22"/>
                <w:szCs w:val="22"/>
              </w:rPr>
            </w:pPr>
            <w:r w:rsidRPr="007D73EF">
              <w:rPr>
                <w:sz w:val="22"/>
                <w:szCs w:val="22"/>
              </w:rPr>
              <w:t>1.037 (0.947–1.135)</w:t>
            </w:r>
          </w:p>
        </w:tc>
        <w:tc>
          <w:tcPr>
            <w:tcW w:w="1800" w:type="dxa"/>
            <w:vAlign w:val="center"/>
          </w:tcPr>
          <w:p w14:paraId="73016ADD"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0.43</w:t>
            </w:r>
          </w:p>
        </w:tc>
      </w:tr>
      <w:tr w:rsidR="008F3C82" w:rsidRPr="007D73EF" w14:paraId="2020ED53" w14:textId="77777777" w:rsidTr="007D73EF">
        <w:tc>
          <w:tcPr>
            <w:cnfStyle w:val="000010000000" w:firstRow="0" w:lastRow="0" w:firstColumn="0" w:lastColumn="0" w:oddVBand="1" w:evenVBand="0" w:oddHBand="0" w:evenHBand="0" w:firstRowFirstColumn="0" w:firstRowLastColumn="0" w:lastRowFirstColumn="0" w:lastRowLastColumn="0"/>
            <w:tcW w:w="2200" w:type="dxa"/>
            <w:vAlign w:val="center"/>
          </w:tcPr>
          <w:p w14:paraId="3D0F6DFD" w14:textId="77777777" w:rsidR="008F3C82" w:rsidRPr="007D73EF" w:rsidRDefault="00000000" w:rsidP="007D73EF">
            <w:pPr>
              <w:spacing w:line="480" w:lineRule="auto"/>
              <w:jc w:val="center"/>
              <w:rPr>
                <w:sz w:val="22"/>
                <w:szCs w:val="22"/>
              </w:rPr>
            </w:pPr>
            <w:r w:rsidRPr="007D73EF">
              <w:rPr>
                <w:sz w:val="22"/>
                <w:szCs w:val="22"/>
              </w:rPr>
              <w:t>Summer (</w:t>
            </w:r>
            <w:proofErr w:type="spellStart"/>
            <w:r w:rsidRPr="007D73EF">
              <w:rPr>
                <w:sz w:val="22"/>
                <w:szCs w:val="22"/>
              </w:rPr>
              <w:t>Dec</w:t>
            </w:r>
            <w:proofErr w:type="spellEnd"/>
            <w:r w:rsidRPr="007D73EF">
              <w:rPr>
                <w:sz w:val="22"/>
                <w:szCs w:val="22"/>
              </w:rPr>
              <w:t>–</w:t>
            </w:r>
            <w:proofErr w:type="spellStart"/>
            <w:r w:rsidRPr="007D73EF">
              <w:rPr>
                <w:sz w:val="22"/>
                <w:szCs w:val="22"/>
              </w:rPr>
              <w:t>Feb</w:t>
            </w:r>
            <w:proofErr w:type="spellEnd"/>
            <w:r w:rsidRPr="007D73EF">
              <w:rPr>
                <w:sz w:val="22"/>
                <w:szCs w:val="22"/>
              </w:rPr>
              <w:t>)</w:t>
            </w:r>
          </w:p>
        </w:tc>
        <w:tc>
          <w:tcPr>
            <w:tcW w:w="1400" w:type="dxa"/>
            <w:vAlign w:val="center"/>
          </w:tcPr>
          <w:p w14:paraId="13FB4BBE"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14</w:t>
            </w:r>
          </w:p>
        </w:tc>
        <w:tc>
          <w:tcPr>
            <w:cnfStyle w:val="000010000000" w:firstRow="0" w:lastRow="0" w:firstColumn="0" w:lastColumn="0" w:oddVBand="1" w:evenVBand="0" w:oddHBand="0" w:evenHBand="0" w:firstRowFirstColumn="0" w:firstRowLastColumn="0" w:lastRowFirstColumn="0" w:lastRowLastColumn="0"/>
            <w:tcW w:w="3960" w:type="dxa"/>
            <w:vAlign w:val="center"/>
          </w:tcPr>
          <w:p w14:paraId="2A9580C8" w14:textId="77777777" w:rsidR="008F3C82" w:rsidRPr="007D73EF" w:rsidRDefault="00000000" w:rsidP="007D73EF">
            <w:pPr>
              <w:spacing w:line="480" w:lineRule="auto"/>
              <w:jc w:val="center"/>
              <w:rPr>
                <w:sz w:val="22"/>
                <w:szCs w:val="22"/>
              </w:rPr>
            </w:pPr>
            <w:r w:rsidRPr="007D73EF">
              <w:rPr>
                <w:sz w:val="22"/>
                <w:szCs w:val="22"/>
              </w:rPr>
              <w:t>0.991 (0.819–1.199)</w:t>
            </w:r>
          </w:p>
        </w:tc>
        <w:tc>
          <w:tcPr>
            <w:tcW w:w="1800" w:type="dxa"/>
            <w:vAlign w:val="center"/>
          </w:tcPr>
          <w:p w14:paraId="447A3A71"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0.92</w:t>
            </w:r>
          </w:p>
        </w:tc>
      </w:tr>
    </w:tbl>
    <w:p w14:paraId="2A3D4EB0" w14:textId="3713E020" w:rsidR="008F3C82" w:rsidRPr="007D73EF" w:rsidRDefault="00000000">
      <w:pPr>
        <w:spacing w:after="120" w:line="480" w:lineRule="auto"/>
        <w:jc w:val="both"/>
        <w:rPr>
          <w:lang w:val="en-US"/>
        </w:rPr>
      </w:pPr>
      <w:r w:rsidRPr="007D73EF">
        <w:rPr>
          <w:b/>
          <w:bCs/>
          <w:lang w:val="en-US"/>
        </w:rPr>
        <w:t xml:space="preserve">Legend: </w:t>
      </w:r>
      <w:r w:rsidRPr="007D73EF">
        <w:rPr>
          <w:lang w:val="en-US"/>
        </w:rPr>
        <w:t xml:space="preserve">Quasi-Poisson generalized linear models fitted separately for the overall study period and within each season, with monthly SAH admissions as the outcome and mean </w:t>
      </w:r>
      <w:r w:rsidRPr="007D73EF">
        <w:rPr>
          <w:lang w:val="en-US"/>
        </w:rPr>
        <w:lastRenderedPageBreak/>
        <w:t>minimum temperature as the exposure. Relative risks are expressed per 1°C decrease in mean minimum temperature. Summer comprises 14 months, as December 2024 was excluded due to incomplete data capture</w:t>
      </w:r>
      <w:r w:rsidR="008B3F6D">
        <w:rPr>
          <w:lang w:val="en-US"/>
        </w:rPr>
        <w:t>—CI</w:t>
      </w:r>
      <w:r w:rsidRPr="007D73EF">
        <w:rPr>
          <w:lang w:val="en-US"/>
        </w:rPr>
        <w:t>, confidence interval; RR, relative risk; SAH, subarachnoid hemorrhage.</w:t>
      </w:r>
    </w:p>
    <w:p w14:paraId="0D007EFF" w14:textId="77777777" w:rsidR="008F3C82" w:rsidRPr="007D73EF" w:rsidRDefault="008F3C82">
      <w:pPr>
        <w:spacing w:line="480" w:lineRule="auto"/>
        <w:rPr>
          <w:lang w:val="en-US"/>
        </w:rPr>
      </w:pPr>
    </w:p>
    <w:p w14:paraId="6714B3EF" w14:textId="77777777" w:rsidR="008F3C82" w:rsidRPr="007D73EF" w:rsidRDefault="00000000">
      <w:pPr>
        <w:spacing w:after="120" w:line="480" w:lineRule="auto"/>
        <w:jc w:val="both"/>
        <w:rPr>
          <w:lang w:val="en-US"/>
        </w:rPr>
      </w:pPr>
      <w:r w:rsidRPr="007D73EF">
        <w:rPr>
          <w:b/>
          <w:bCs/>
          <w:lang w:val="en-US"/>
        </w:rPr>
        <w:t>Supplementary Table S4. Sensitivity analysis excluding the first pandemic year (2020): season-stratified quasi-Poisson model results, Brazil, January 2021 – November 2024 (N = 47 months, 8,004 admissions).</w:t>
      </w:r>
    </w:p>
    <w:tbl>
      <w:tblPr>
        <w:tblStyle w:val="PlainTable1"/>
        <w:tblW w:w="9360" w:type="dxa"/>
        <w:tblLook w:val="0000" w:firstRow="0" w:lastRow="0" w:firstColumn="0" w:lastColumn="0" w:noHBand="0" w:noVBand="0"/>
      </w:tblPr>
      <w:tblGrid>
        <w:gridCol w:w="1800"/>
        <w:gridCol w:w="2400"/>
        <w:gridCol w:w="3360"/>
        <w:gridCol w:w="1800"/>
      </w:tblGrid>
      <w:tr w:rsidR="008F3C82" w:rsidRPr="007D73EF" w14:paraId="79F07FF3" w14:textId="77777777" w:rsidTr="007D73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2047B39D" w14:textId="77777777" w:rsidR="008F3C82" w:rsidRPr="007D73EF" w:rsidRDefault="00000000" w:rsidP="007D73EF">
            <w:pPr>
              <w:spacing w:line="480" w:lineRule="auto"/>
              <w:jc w:val="center"/>
              <w:rPr>
                <w:sz w:val="22"/>
                <w:szCs w:val="22"/>
              </w:rPr>
            </w:pPr>
            <w:r w:rsidRPr="007D73EF">
              <w:rPr>
                <w:b/>
                <w:bCs/>
                <w:sz w:val="22"/>
                <w:szCs w:val="22"/>
              </w:rPr>
              <w:t>Stratum</w:t>
            </w:r>
          </w:p>
        </w:tc>
        <w:tc>
          <w:tcPr>
            <w:tcW w:w="2400" w:type="dxa"/>
            <w:vAlign w:val="center"/>
          </w:tcPr>
          <w:p w14:paraId="79C25510"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7D73EF">
              <w:rPr>
                <w:b/>
                <w:bCs/>
                <w:sz w:val="22"/>
                <w:szCs w:val="22"/>
              </w:rPr>
              <w:t>Exposure</w:t>
            </w:r>
            <w:proofErr w:type="spellEnd"/>
          </w:p>
        </w:tc>
        <w:tc>
          <w:tcPr>
            <w:cnfStyle w:val="000010000000" w:firstRow="0" w:lastRow="0" w:firstColumn="0" w:lastColumn="0" w:oddVBand="1" w:evenVBand="0" w:oddHBand="0" w:evenHBand="0" w:firstRowFirstColumn="0" w:firstRowLastColumn="0" w:lastRowFirstColumn="0" w:lastRowLastColumn="0"/>
            <w:tcW w:w="3360" w:type="dxa"/>
            <w:vAlign w:val="center"/>
          </w:tcPr>
          <w:p w14:paraId="2F464E82" w14:textId="77777777" w:rsidR="008F3C82" w:rsidRPr="007D73EF" w:rsidRDefault="00000000" w:rsidP="007D73EF">
            <w:pPr>
              <w:spacing w:line="480" w:lineRule="auto"/>
              <w:jc w:val="center"/>
              <w:rPr>
                <w:sz w:val="22"/>
                <w:szCs w:val="22"/>
                <w:lang w:val="en-US"/>
              </w:rPr>
            </w:pPr>
            <w:r w:rsidRPr="007D73EF">
              <w:rPr>
                <w:b/>
                <w:bCs/>
                <w:sz w:val="22"/>
                <w:szCs w:val="22"/>
                <w:lang w:val="en-US"/>
              </w:rPr>
              <w:t>RR per 1°C decrease (95% CI)</w:t>
            </w:r>
          </w:p>
        </w:tc>
        <w:tc>
          <w:tcPr>
            <w:tcW w:w="1800" w:type="dxa"/>
            <w:vAlign w:val="center"/>
          </w:tcPr>
          <w:p w14:paraId="373EA945"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b/>
                <w:bCs/>
                <w:sz w:val="22"/>
                <w:szCs w:val="22"/>
              </w:rPr>
              <w:t>p-</w:t>
            </w:r>
            <w:proofErr w:type="spellStart"/>
            <w:r w:rsidRPr="007D73EF">
              <w:rPr>
                <w:b/>
                <w:bCs/>
                <w:sz w:val="22"/>
                <w:szCs w:val="22"/>
              </w:rPr>
              <w:t>value</w:t>
            </w:r>
            <w:proofErr w:type="spellEnd"/>
          </w:p>
        </w:tc>
      </w:tr>
      <w:tr w:rsidR="008F3C82" w:rsidRPr="007D73EF" w14:paraId="611ED966" w14:textId="77777777" w:rsidTr="007D73EF">
        <w:tc>
          <w:tcPr>
            <w:cnfStyle w:val="000010000000" w:firstRow="0" w:lastRow="0" w:firstColumn="0" w:lastColumn="0" w:oddVBand="1" w:evenVBand="0" w:oddHBand="0" w:evenHBand="0" w:firstRowFirstColumn="0" w:firstRowLastColumn="0" w:lastRowFirstColumn="0" w:lastRowLastColumn="0"/>
            <w:tcW w:w="1800" w:type="dxa"/>
            <w:vAlign w:val="center"/>
          </w:tcPr>
          <w:p w14:paraId="1A697CD9" w14:textId="77777777" w:rsidR="008F3C82" w:rsidRPr="007D73EF" w:rsidRDefault="00000000" w:rsidP="007D73EF">
            <w:pPr>
              <w:spacing w:line="480" w:lineRule="auto"/>
              <w:jc w:val="center"/>
              <w:rPr>
                <w:sz w:val="22"/>
                <w:szCs w:val="22"/>
              </w:rPr>
            </w:pPr>
            <w:r w:rsidRPr="007D73EF">
              <w:rPr>
                <w:sz w:val="22"/>
                <w:szCs w:val="22"/>
              </w:rPr>
              <w:t>Autumn</w:t>
            </w:r>
          </w:p>
        </w:tc>
        <w:tc>
          <w:tcPr>
            <w:tcW w:w="2400" w:type="dxa"/>
            <w:vAlign w:val="center"/>
          </w:tcPr>
          <w:p w14:paraId="5BE75624"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Mean minimum T</w:t>
            </w:r>
          </w:p>
        </w:tc>
        <w:tc>
          <w:tcPr>
            <w:cnfStyle w:val="000010000000" w:firstRow="0" w:lastRow="0" w:firstColumn="0" w:lastColumn="0" w:oddVBand="1" w:evenVBand="0" w:oddHBand="0" w:evenHBand="0" w:firstRowFirstColumn="0" w:firstRowLastColumn="0" w:lastRowFirstColumn="0" w:lastRowLastColumn="0"/>
            <w:tcW w:w="3360" w:type="dxa"/>
            <w:vAlign w:val="center"/>
          </w:tcPr>
          <w:p w14:paraId="54E07D97" w14:textId="77777777" w:rsidR="008F3C82" w:rsidRPr="007D73EF" w:rsidRDefault="00000000" w:rsidP="007D73EF">
            <w:pPr>
              <w:spacing w:line="480" w:lineRule="auto"/>
              <w:jc w:val="center"/>
              <w:rPr>
                <w:sz w:val="22"/>
                <w:szCs w:val="22"/>
              </w:rPr>
            </w:pPr>
            <w:r w:rsidRPr="007D73EF">
              <w:rPr>
                <w:sz w:val="22"/>
                <w:szCs w:val="22"/>
              </w:rPr>
              <w:t>1.035 (0.998–1.072)</w:t>
            </w:r>
          </w:p>
        </w:tc>
        <w:tc>
          <w:tcPr>
            <w:tcW w:w="1800" w:type="dxa"/>
            <w:vAlign w:val="center"/>
          </w:tcPr>
          <w:p w14:paraId="433EF3E1"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0.061</w:t>
            </w:r>
          </w:p>
        </w:tc>
      </w:tr>
      <w:tr w:rsidR="008F3C82" w:rsidRPr="007D73EF" w14:paraId="52F40624" w14:textId="77777777" w:rsidTr="007D73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77871603" w14:textId="77777777" w:rsidR="008F3C82" w:rsidRPr="007D73EF" w:rsidRDefault="00000000" w:rsidP="007D73EF">
            <w:pPr>
              <w:spacing w:line="480" w:lineRule="auto"/>
              <w:jc w:val="center"/>
              <w:rPr>
                <w:sz w:val="22"/>
                <w:szCs w:val="22"/>
              </w:rPr>
            </w:pPr>
            <w:r w:rsidRPr="007D73EF">
              <w:rPr>
                <w:sz w:val="22"/>
                <w:szCs w:val="22"/>
              </w:rPr>
              <w:t>Winter</w:t>
            </w:r>
          </w:p>
        </w:tc>
        <w:tc>
          <w:tcPr>
            <w:tcW w:w="2400" w:type="dxa"/>
            <w:vAlign w:val="center"/>
          </w:tcPr>
          <w:p w14:paraId="146469E1"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Mean minimum T</w:t>
            </w:r>
          </w:p>
        </w:tc>
        <w:tc>
          <w:tcPr>
            <w:cnfStyle w:val="000010000000" w:firstRow="0" w:lastRow="0" w:firstColumn="0" w:lastColumn="0" w:oddVBand="1" w:evenVBand="0" w:oddHBand="0" w:evenHBand="0" w:firstRowFirstColumn="0" w:firstRowLastColumn="0" w:lastRowFirstColumn="0" w:lastRowLastColumn="0"/>
            <w:tcW w:w="3360" w:type="dxa"/>
            <w:vAlign w:val="center"/>
          </w:tcPr>
          <w:p w14:paraId="6B3E88B8" w14:textId="77777777" w:rsidR="008F3C82" w:rsidRPr="007D73EF" w:rsidRDefault="00000000" w:rsidP="007D73EF">
            <w:pPr>
              <w:spacing w:line="480" w:lineRule="auto"/>
              <w:jc w:val="center"/>
              <w:rPr>
                <w:sz w:val="22"/>
                <w:szCs w:val="22"/>
              </w:rPr>
            </w:pPr>
            <w:r w:rsidRPr="007D73EF">
              <w:rPr>
                <w:sz w:val="22"/>
                <w:szCs w:val="22"/>
              </w:rPr>
              <w:t>1.140 (1.013–1.282)</w:t>
            </w:r>
          </w:p>
        </w:tc>
        <w:tc>
          <w:tcPr>
            <w:tcW w:w="1800" w:type="dxa"/>
            <w:vAlign w:val="center"/>
          </w:tcPr>
          <w:p w14:paraId="590FEC95"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0.030</w:t>
            </w:r>
          </w:p>
        </w:tc>
      </w:tr>
      <w:tr w:rsidR="008F3C82" w:rsidRPr="007D73EF" w14:paraId="0C065E50" w14:textId="77777777" w:rsidTr="007D73EF">
        <w:tc>
          <w:tcPr>
            <w:cnfStyle w:val="000010000000" w:firstRow="0" w:lastRow="0" w:firstColumn="0" w:lastColumn="0" w:oddVBand="1" w:evenVBand="0" w:oddHBand="0" w:evenHBand="0" w:firstRowFirstColumn="0" w:firstRowLastColumn="0" w:lastRowFirstColumn="0" w:lastRowLastColumn="0"/>
            <w:tcW w:w="1800" w:type="dxa"/>
            <w:vAlign w:val="center"/>
          </w:tcPr>
          <w:p w14:paraId="769C7023" w14:textId="77777777" w:rsidR="008F3C82" w:rsidRPr="007D73EF" w:rsidRDefault="00000000" w:rsidP="007D73EF">
            <w:pPr>
              <w:spacing w:line="480" w:lineRule="auto"/>
              <w:jc w:val="center"/>
              <w:rPr>
                <w:sz w:val="22"/>
                <w:szCs w:val="22"/>
              </w:rPr>
            </w:pPr>
            <w:r w:rsidRPr="007D73EF">
              <w:rPr>
                <w:sz w:val="22"/>
                <w:szCs w:val="22"/>
              </w:rPr>
              <w:t>Spring</w:t>
            </w:r>
          </w:p>
        </w:tc>
        <w:tc>
          <w:tcPr>
            <w:tcW w:w="2400" w:type="dxa"/>
            <w:vAlign w:val="center"/>
          </w:tcPr>
          <w:p w14:paraId="6A86DF7B"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Mean minimum T</w:t>
            </w:r>
          </w:p>
        </w:tc>
        <w:tc>
          <w:tcPr>
            <w:cnfStyle w:val="000010000000" w:firstRow="0" w:lastRow="0" w:firstColumn="0" w:lastColumn="0" w:oddVBand="1" w:evenVBand="0" w:oddHBand="0" w:evenHBand="0" w:firstRowFirstColumn="0" w:firstRowLastColumn="0" w:lastRowFirstColumn="0" w:lastRowLastColumn="0"/>
            <w:tcW w:w="3360" w:type="dxa"/>
            <w:vAlign w:val="center"/>
          </w:tcPr>
          <w:p w14:paraId="533859C2" w14:textId="77777777" w:rsidR="008F3C82" w:rsidRPr="007D73EF" w:rsidRDefault="00000000" w:rsidP="007D73EF">
            <w:pPr>
              <w:spacing w:line="480" w:lineRule="auto"/>
              <w:jc w:val="center"/>
              <w:rPr>
                <w:sz w:val="22"/>
                <w:szCs w:val="22"/>
              </w:rPr>
            </w:pPr>
            <w:r w:rsidRPr="007D73EF">
              <w:rPr>
                <w:sz w:val="22"/>
                <w:szCs w:val="22"/>
              </w:rPr>
              <w:t>1.038 (0.940–1.146)</w:t>
            </w:r>
          </w:p>
        </w:tc>
        <w:tc>
          <w:tcPr>
            <w:tcW w:w="1800" w:type="dxa"/>
            <w:vAlign w:val="center"/>
          </w:tcPr>
          <w:p w14:paraId="33D84CC8"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0.463</w:t>
            </w:r>
          </w:p>
        </w:tc>
      </w:tr>
      <w:tr w:rsidR="008F3C82" w:rsidRPr="007D73EF" w14:paraId="69C57AAD" w14:textId="77777777" w:rsidTr="007D73E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00" w:type="dxa"/>
            <w:vAlign w:val="center"/>
          </w:tcPr>
          <w:p w14:paraId="6B5CEBBE" w14:textId="77777777" w:rsidR="008F3C82" w:rsidRPr="007D73EF" w:rsidRDefault="00000000" w:rsidP="007D73EF">
            <w:pPr>
              <w:spacing w:line="480" w:lineRule="auto"/>
              <w:jc w:val="center"/>
              <w:rPr>
                <w:sz w:val="22"/>
                <w:szCs w:val="22"/>
              </w:rPr>
            </w:pPr>
            <w:r w:rsidRPr="007D73EF">
              <w:rPr>
                <w:sz w:val="22"/>
                <w:szCs w:val="22"/>
              </w:rPr>
              <w:t>Summer</w:t>
            </w:r>
          </w:p>
        </w:tc>
        <w:tc>
          <w:tcPr>
            <w:tcW w:w="2400" w:type="dxa"/>
            <w:vAlign w:val="center"/>
          </w:tcPr>
          <w:p w14:paraId="66CCB934"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Mean minimum T</w:t>
            </w:r>
          </w:p>
        </w:tc>
        <w:tc>
          <w:tcPr>
            <w:cnfStyle w:val="000010000000" w:firstRow="0" w:lastRow="0" w:firstColumn="0" w:lastColumn="0" w:oddVBand="1" w:evenVBand="0" w:oddHBand="0" w:evenHBand="0" w:firstRowFirstColumn="0" w:firstRowLastColumn="0" w:lastRowFirstColumn="0" w:lastRowLastColumn="0"/>
            <w:tcW w:w="3360" w:type="dxa"/>
            <w:vAlign w:val="center"/>
          </w:tcPr>
          <w:p w14:paraId="56E9F05B" w14:textId="77777777" w:rsidR="008F3C82" w:rsidRPr="007D73EF" w:rsidRDefault="00000000" w:rsidP="007D73EF">
            <w:pPr>
              <w:spacing w:line="480" w:lineRule="auto"/>
              <w:jc w:val="center"/>
              <w:rPr>
                <w:sz w:val="22"/>
                <w:szCs w:val="22"/>
              </w:rPr>
            </w:pPr>
            <w:r w:rsidRPr="007D73EF">
              <w:rPr>
                <w:sz w:val="22"/>
                <w:szCs w:val="22"/>
              </w:rPr>
              <w:t>1.006 (0.810–1.250)</w:t>
            </w:r>
          </w:p>
        </w:tc>
        <w:tc>
          <w:tcPr>
            <w:tcW w:w="1800" w:type="dxa"/>
            <w:vAlign w:val="center"/>
          </w:tcPr>
          <w:p w14:paraId="67B6C58C" w14:textId="77777777" w:rsidR="008F3C82" w:rsidRPr="007D73EF" w:rsidRDefault="00000000" w:rsidP="007D73E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D73EF">
              <w:rPr>
                <w:sz w:val="22"/>
                <w:szCs w:val="22"/>
              </w:rPr>
              <w:t>0.958</w:t>
            </w:r>
          </w:p>
        </w:tc>
      </w:tr>
      <w:tr w:rsidR="008F3C82" w:rsidRPr="007D73EF" w14:paraId="024DBD9A" w14:textId="77777777" w:rsidTr="007D73EF">
        <w:tc>
          <w:tcPr>
            <w:cnfStyle w:val="000010000000" w:firstRow="0" w:lastRow="0" w:firstColumn="0" w:lastColumn="0" w:oddVBand="1" w:evenVBand="0" w:oddHBand="0" w:evenHBand="0" w:firstRowFirstColumn="0" w:firstRowLastColumn="0" w:lastRowFirstColumn="0" w:lastRowLastColumn="0"/>
            <w:tcW w:w="1800" w:type="dxa"/>
            <w:vAlign w:val="center"/>
          </w:tcPr>
          <w:p w14:paraId="5800317D" w14:textId="77777777" w:rsidR="008F3C82" w:rsidRPr="007D73EF" w:rsidRDefault="00000000" w:rsidP="007D73EF">
            <w:pPr>
              <w:spacing w:line="480" w:lineRule="auto"/>
              <w:jc w:val="center"/>
              <w:rPr>
                <w:sz w:val="22"/>
                <w:szCs w:val="22"/>
              </w:rPr>
            </w:pPr>
            <w:r w:rsidRPr="007D73EF">
              <w:rPr>
                <w:sz w:val="22"/>
                <w:szCs w:val="22"/>
              </w:rPr>
              <w:t>Winter</w:t>
            </w:r>
          </w:p>
        </w:tc>
        <w:tc>
          <w:tcPr>
            <w:tcW w:w="2400" w:type="dxa"/>
            <w:vAlign w:val="center"/>
          </w:tcPr>
          <w:p w14:paraId="1A775ECE"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Mean maximum T</w:t>
            </w:r>
          </w:p>
        </w:tc>
        <w:tc>
          <w:tcPr>
            <w:cnfStyle w:val="000010000000" w:firstRow="0" w:lastRow="0" w:firstColumn="0" w:lastColumn="0" w:oddVBand="1" w:evenVBand="0" w:oddHBand="0" w:evenHBand="0" w:firstRowFirstColumn="0" w:firstRowLastColumn="0" w:lastRowFirstColumn="0" w:lastRowLastColumn="0"/>
            <w:tcW w:w="3360" w:type="dxa"/>
            <w:vAlign w:val="center"/>
          </w:tcPr>
          <w:p w14:paraId="707CC8DE" w14:textId="77777777" w:rsidR="008F3C82" w:rsidRPr="007D73EF" w:rsidRDefault="00000000" w:rsidP="007D73EF">
            <w:pPr>
              <w:spacing w:line="480" w:lineRule="auto"/>
              <w:jc w:val="center"/>
              <w:rPr>
                <w:sz w:val="22"/>
                <w:szCs w:val="22"/>
              </w:rPr>
            </w:pPr>
            <w:r w:rsidRPr="007D73EF">
              <w:rPr>
                <w:sz w:val="22"/>
                <w:szCs w:val="22"/>
              </w:rPr>
              <w:t>1.121 (0.995–1.263)</w:t>
            </w:r>
          </w:p>
        </w:tc>
        <w:tc>
          <w:tcPr>
            <w:tcW w:w="1800" w:type="dxa"/>
            <w:vAlign w:val="center"/>
          </w:tcPr>
          <w:p w14:paraId="7E32EA26" w14:textId="77777777" w:rsidR="008F3C82" w:rsidRPr="007D73EF" w:rsidRDefault="00000000" w:rsidP="007D73E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7D73EF">
              <w:rPr>
                <w:sz w:val="22"/>
                <w:szCs w:val="22"/>
              </w:rPr>
              <w:t>0.060</w:t>
            </w:r>
          </w:p>
        </w:tc>
      </w:tr>
    </w:tbl>
    <w:p w14:paraId="7B6F71EB" w14:textId="4832DF47" w:rsidR="008F3C82" w:rsidRPr="007D73EF" w:rsidRDefault="00000000">
      <w:pPr>
        <w:spacing w:after="120" w:line="480" w:lineRule="auto"/>
        <w:jc w:val="both"/>
        <w:rPr>
          <w:lang w:val="en-US"/>
        </w:rPr>
      </w:pPr>
      <w:r w:rsidRPr="007D73EF">
        <w:rPr>
          <w:b/>
          <w:bCs/>
          <w:lang w:val="en-US"/>
        </w:rPr>
        <w:t xml:space="preserve">Legend: </w:t>
      </w:r>
      <w:r w:rsidRPr="007D73EF">
        <w:rPr>
          <w:lang w:val="en-US"/>
        </w:rPr>
        <w:t>Quasi-Poisson generalized linear models refitted after exclusion of calendar year 2020 to address potential disruption associated with the first year of the COVID-19 pandemic. Results are stratified by season; an additional row shows the winter analysis using mean maximum temperature as an alternative exposure. Relative risks are expressed per 1°C decrease</w:t>
      </w:r>
      <w:r w:rsidR="008B3F6D">
        <w:rPr>
          <w:lang w:val="en-US"/>
        </w:rPr>
        <w:t>—CI</w:t>
      </w:r>
      <w:r w:rsidRPr="007D73EF">
        <w:rPr>
          <w:lang w:val="en-US"/>
        </w:rPr>
        <w:t>, confidence interval; RR, relative risk; SAH, subarachnoid hemorrhage.</w:t>
      </w:r>
    </w:p>
    <w:sectPr w:rsidR="008F3C82" w:rsidRPr="007D73EF">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D75A8" w14:textId="77777777" w:rsidR="005A03AB" w:rsidRDefault="005A03AB">
      <w:r>
        <w:separator/>
      </w:r>
    </w:p>
  </w:endnote>
  <w:endnote w:type="continuationSeparator" w:id="0">
    <w:p w14:paraId="520FF2AD" w14:textId="77777777" w:rsidR="005A03AB" w:rsidRDefault="005A0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05E9" w14:textId="77777777" w:rsidR="008F3C82" w:rsidRDefault="00000000">
    <w:pPr>
      <w:jc w:val="center"/>
    </w:pPr>
    <w:r>
      <w:rPr>
        <w:sz w:val="20"/>
        <w:szCs w:val="20"/>
      </w:rPr>
      <w:fldChar w:fldCharType="begin"/>
    </w:r>
    <w:r>
      <w:rPr>
        <w:sz w:val="20"/>
        <w:szCs w:val="20"/>
      </w:rPr>
      <w:instrText>PAGE</w:instrText>
    </w:r>
    <w:r>
      <w:rPr>
        <w:sz w:val="20"/>
        <w:szCs w:val="20"/>
      </w:rPr>
      <w:fldChar w:fldCharType="separate"/>
    </w:r>
    <w:r w:rsidR="007D73EF">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BAED1" w14:textId="77777777" w:rsidR="005A03AB" w:rsidRDefault="005A03AB">
      <w:r>
        <w:separator/>
      </w:r>
    </w:p>
  </w:footnote>
  <w:footnote w:type="continuationSeparator" w:id="0">
    <w:p w14:paraId="0D3714DD" w14:textId="77777777" w:rsidR="005A03AB" w:rsidRDefault="005A03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9195E"/>
    <w:multiLevelType w:val="hybridMultilevel"/>
    <w:tmpl w:val="A93AB43C"/>
    <w:lvl w:ilvl="0" w:tplc="08FE3310">
      <w:start w:val="1"/>
      <w:numFmt w:val="bullet"/>
      <w:lvlText w:val="●"/>
      <w:lvlJc w:val="left"/>
      <w:pPr>
        <w:ind w:left="720" w:hanging="360"/>
      </w:pPr>
    </w:lvl>
    <w:lvl w:ilvl="1" w:tplc="65FA84D0">
      <w:start w:val="1"/>
      <w:numFmt w:val="bullet"/>
      <w:lvlText w:val="○"/>
      <w:lvlJc w:val="left"/>
      <w:pPr>
        <w:ind w:left="1440" w:hanging="360"/>
      </w:pPr>
    </w:lvl>
    <w:lvl w:ilvl="2" w:tplc="C2885740">
      <w:start w:val="1"/>
      <w:numFmt w:val="bullet"/>
      <w:lvlText w:val="■"/>
      <w:lvlJc w:val="left"/>
      <w:pPr>
        <w:ind w:left="2160" w:hanging="360"/>
      </w:pPr>
    </w:lvl>
    <w:lvl w:ilvl="3" w:tplc="9C12E086">
      <w:start w:val="1"/>
      <w:numFmt w:val="bullet"/>
      <w:lvlText w:val="●"/>
      <w:lvlJc w:val="left"/>
      <w:pPr>
        <w:ind w:left="2880" w:hanging="360"/>
      </w:pPr>
    </w:lvl>
    <w:lvl w:ilvl="4" w:tplc="F306E17C">
      <w:start w:val="1"/>
      <w:numFmt w:val="bullet"/>
      <w:lvlText w:val="○"/>
      <w:lvlJc w:val="left"/>
      <w:pPr>
        <w:ind w:left="3600" w:hanging="360"/>
      </w:pPr>
    </w:lvl>
    <w:lvl w:ilvl="5" w:tplc="F140CEFC">
      <w:start w:val="1"/>
      <w:numFmt w:val="bullet"/>
      <w:lvlText w:val="■"/>
      <w:lvlJc w:val="left"/>
      <w:pPr>
        <w:ind w:left="4320" w:hanging="360"/>
      </w:pPr>
    </w:lvl>
    <w:lvl w:ilvl="6" w:tplc="501A4596">
      <w:start w:val="1"/>
      <w:numFmt w:val="bullet"/>
      <w:lvlText w:val="●"/>
      <w:lvlJc w:val="left"/>
      <w:pPr>
        <w:ind w:left="5040" w:hanging="360"/>
      </w:pPr>
    </w:lvl>
    <w:lvl w:ilvl="7" w:tplc="F836ED40">
      <w:start w:val="1"/>
      <w:numFmt w:val="bullet"/>
      <w:lvlText w:val="●"/>
      <w:lvlJc w:val="left"/>
      <w:pPr>
        <w:ind w:left="5760" w:hanging="360"/>
      </w:pPr>
    </w:lvl>
    <w:lvl w:ilvl="8" w:tplc="5046ECD2">
      <w:start w:val="1"/>
      <w:numFmt w:val="bullet"/>
      <w:lvlText w:val="●"/>
      <w:lvlJc w:val="left"/>
      <w:pPr>
        <w:ind w:left="6480" w:hanging="360"/>
      </w:pPr>
    </w:lvl>
  </w:abstractNum>
  <w:num w:numId="1" w16cid:durableId="3604760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C82"/>
    <w:rsid w:val="001D16D3"/>
    <w:rsid w:val="005A03AB"/>
    <w:rsid w:val="00732653"/>
    <w:rsid w:val="007D73EF"/>
    <w:rsid w:val="008B3F6D"/>
    <w:rsid w:val="008F3C82"/>
    <w:rsid w:val="00A069DA"/>
    <w:rsid w:val="00A84CC9"/>
    <w:rsid w:val="00AD41AF"/>
    <w:rsid w:val="00B84B37"/>
    <w:rsid w:val="00BC243C"/>
    <w:rsid w:val="00BF37B2"/>
    <w:rsid w:val="00C24853"/>
    <w:rsid w:val="00D2587C"/>
    <w:rsid w:val="00D82EA8"/>
    <w:rsid w:val="00F36E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6F1F8"/>
  <w15:docId w15:val="{16D25395-572E-4847-B327-ADB1FEF38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PlainTable1">
    <w:name w:val="Plain Table 1"/>
    <w:basedOn w:val="TableNormal"/>
    <w:uiPriority w:val="41"/>
    <w:rsid w:val="007D7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D73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1610</Words>
  <Characters>8696</Characters>
  <Application>Microsoft Office Word</Application>
  <DocSecurity>0</DocSecurity>
  <Lines>72</Lines>
  <Paragraphs>20</Paragraphs>
  <ScaleCrop>false</ScaleCrop>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Daniela Laranja Rodrigues</cp:lastModifiedBy>
  <cp:revision>2</cp:revision>
  <dcterms:created xsi:type="dcterms:W3CDTF">2026-06-29T19:52:00Z</dcterms:created>
  <dcterms:modified xsi:type="dcterms:W3CDTF">2026-06-29T19:52:00Z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ce1d81d6-c447-41af-b234-003f66ae1a6d</vt:lpwstr>
  </property>
</Properties>
</file>