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EBA" w:rsidRDefault="00E03EBA" w:rsidP="00E03EB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b/>
          <w:sz w:val="24"/>
          <w:szCs w:val="24"/>
          <w:lang w:val="en-GB"/>
        </w:rPr>
        <w:t>Supplementary Table 1.</w:t>
      </w: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95966" w:rsidRPr="00D95966">
        <w:rPr>
          <w:rFonts w:ascii="Times New Roman" w:hAnsi="Times New Roman" w:cs="Times New Roman"/>
          <w:sz w:val="24"/>
          <w:szCs w:val="24"/>
          <w:lang w:val="en-GB"/>
        </w:rPr>
        <w:t xml:space="preserve">Median circulating AFP levels in patients with HCC according to BCLC stage.  </w:t>
      </w:r>
    </w:p>
    <w:tbl>
      <w:tblPr>
        <w:tblStyle w:val="Grigliatabella"/>
        <w:tblW w:w="102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5"/>
        <w:gridCol w:w="1696"/>
        <w:gridCol w:w="1675"/>
        <w:gridCol w:w="1936"/>
        <w:gridCol w:w="2116"/>
        <w:gridCol w:w="1083"/>
      </w:tblGrid>
      <w:tr w:rsidR="00CD072F" w:rsidTr="00D77891">
        <w:tc>
          <w:tcPr>
            <w:tcW w:w="1745" w:type="dxa"/>
            <w:tcBorders>
              <w:bottom w:val="nil"/>
            </w:tcBorders>
          </w:tcPr>
          <w:p w:rsidR="00CD072F" w:rsidRDefault="00CD072F" w:rsidP="00E03E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423" w:type="dxa"/>
            <w:gridSpan w:val="4"/>
            <w:tcBorders>
              <w:bottom w:val="nil"/>
            </w:tcBorders>
          </w:tcPr>
          <w:p w:rsidR="00CD072F" w:rsidRPr="00CD072F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D07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BCLC</w:t>
            </w:r>
          </w:p>
        </w:tc>
        <w:tc>
          <w:tcPr>
            <w:tcW w:w="1083" w:type="dxa"/>
            <w:tcBorders>
              <w:bottom w:val="nil"/>
            </w:tcBorders>
          </w:tcPr>
          <w:p w:rsidR="00CD072F" w:rsidRPr="00CD072F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  <w:tr w:rsidR="00D95966" w:rsidTr="00CD072F">
        <w:tc>
          <w:tcPr>
            <w:tcW w:w="1745" w:type="dxa"/>
            <w:tcBorders>
              <w:top w:val="nil"/>
              <w:bottom w:val="single" w:sz="4" w:space="0" w:color="auto"/>
            </w:tcBorders>
          </w:tcPr>
          <w:p w:rsidR="00D95966" w:rsidRDefault="00D95966" w:rsidP="00E03E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:rsidR="00D95966" w:rsidRPr="00CD072F" w:rsidRDefault="00D95966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D07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</w:t>
            </w:r>
          </w:p>
        </w:tc>
        <w:tc>
          <w:tcPr>
            <w:tcW w:w="1675" w:type="dxa"/>
            <w:tcBorders>
              <w:top w:val="nil"/>
              <w:bottom w:val="single" w:sz="4" w:space="0" w:color="auto"/>
            </w:tcBorders>
          </w:tcPr>
          <w:p w:rsidR="00D95966" w:rsidRPr="00CD072F" w:rsidRDefault="00D95966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D07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</w:t>
            </w:r>
          </w:p>
        </w:tc>
        <w:tc>
          <w:tcPr>
            <w:tcW w:w="1936" w:type="dxa"/>
            <w:tcBorders>
              <w:top w:val="nil"/>
              <w:bottom w:val="single" w:sz="4" w:space="0" w:color="auto"/>
            </w:tcBorders>
          </w:tcPr>
          <w:p w:rsidR="00D95966" w:rsidRPr="00CD072F" w:rsidRDefault="00D95966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D07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</w:t>
            </w:r>
          </w:p>
        </w:tc>
        <w:tc>
          <w:tcPr>
            <w:tcW w:w="2116" w:type="dxa"/>
            <w:tcBorders>
              <w:top w:val="nil"/>
              <w:bottom w:val="single" w:sz="4" w:space="0" w:color="auto"/>
            </w:tcBorders>
          </w:tcPr>
          <w:p w:rsidR="00D95966" w:rsidRPr="00CD072F" w:rsidRDefault="00D95966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D07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</w:t>
            </w:r>
          </w:p>
        </w:tc>
        <w:tc>
          <w:tcPr>
            <w:tcW w:w="1083" w:type="dxa"/>
            <w:tcBorders>
              <w:top w:val="nil"/>
              <w:bottom w:val="single" w:sz="4" w:space="0" w:color="auto"/>
            </w:tcBorders>
          </w:tcPr>
          <w:p w:rsidR="00D95966" w:rsidRPr="00CD072F" w:rsidRDefault="00D95966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CD0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p</w:t>
            </w:r>
            <w:r w:rsidRPr="00CD07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-value</w:t>
            </w:r>
          </w:p>
        </w:tc>
      </w:tr>
      <w:tr w:rsidR="00D95966" w:rsidTr="00CD072F">
        <w:tc>
          <w:tcPr>
            <w:tcW w:w="1745" w:type="dxa"/>
            <w:tcBorders>
              <w:top w:val="single" w:sz="4" w:space="0" w:color="auto"/>
            </w:tcBorders>
          </w:tcPr>
          <w:p w:rsidR="00CD072F" w:rsidRDefault="00D95966" w:rsidP="00E03E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AFP </w:t>
            </w:r>
            <w:r w:rsidR="00CD07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ng/mL</w:t>
            </w:r>
            <w:r w:rsidR="00CD072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), </w:t>
            </w:r>
          </w:p>
          <w:p w:rsidR="00D95966" w:rsidRDefault="00CD072F" w:rsidP="00E03EB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median (IQR)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:rsidR="00D95966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4.7 (2.3–16.8)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vAlign w:val="center"/>
          </w:tcPr>
          <w:p w:rsidR="00D95966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6.9 (3.2–16.7)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:rsidR="00D95966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15.6 (5.3–103.6)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:rsidR="00D95966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222.3 (23.6–2000)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:rsidR="00D95966" w:rsidRDefault="00CD072F" w:rsidP="00CD072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&lt;0.001</w:t>
            </w:r>
          </w:p>
        </w:tc>
      </w:tr>
    </w:tbl>
    <w:p w:rsidR="00CD072F" w:rsidRPr="00CD072F" w:rsidRDefault="00CD072F" w:rsidP="00D9596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-value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was calculated</w:t>
      </w:r>
      <w:proofErr w:type="gramEnd"/>
      <w:r>
        <w:rPr>
          <w:rFonts w:ascii="Times New Roman" w:hAnsi="Times New Roman" w:cs="Times New Roman"/>
          <w:sz w:val="24"/>
          <w:szCs w:val="24"/>
          <w:lang w:val="en-GB"/>
        </w:rPr>
        <w:t xml:space="preserve"> using the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Kruskal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-Wallis non-parametric test.</w:t>
      </w:r>
    </w:p>
    <w:p w:rsidR="00D95966" w:rsidRPr="00B02BE3" w:rsidRDefault="00D95966" w:rsidP="00D9596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Abbreviations: AFP, alpha-fetoprotein; BCLC, Barcelona Clinic Liver Cancer; IQR, interquartile </w:t>
      </w:r>
      <w:r w:rsidR="00CD072F">
        <w:rPr>
          <w:rFonts w:ascii="Times New Roman" w:hAnsi="Times New Roman" w:cs="Times New Roman"/>
          <w:sz w:val="24"/>
          <w:szCs w:val="24"/>
          <w:lang w:val="en-GB"/>
        </w:rPr>
        <w:t>range.</w:t>
      </w:r>
    </w:p>
    <w:p w:rsidR="00D95966" w:rsidRPr="00B02BE3" w:rsidRDefault="00D95966" w:rsidP="00E03EB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03EBA" w:rsidRDefault="00E03EBA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E1032F" w:rsidRPr="00B02BE3" w:rsidRDefault="00E03EBA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2</w:t>
      </w:r>
      <w:r w:rsidR="00E1032F" w:rsidRPr="00B02BE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Characteristics of patients from cohort A stratified by HCC development during the FU.</w:t>
      </w:r>
    </w:p>
    <w:tbl>
      <w:tblPr>
        <w:tblW w:w="83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814"/>
        <w:gridCol w:w="1814"/>
        <w:gridCol w:w="881"/>
      </w:tblGrid>
      <w:tr w:rsidR="00E1032F" w:rsidRPr="00B02BE3" w:rsidTr="00274C84">
        <w:tc>
          <w:tcPr>
            <w:tcW w:w="3833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Variables *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No HCC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HCC during FU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p</w:t>
            </w: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-value</w:t>
            </w:r>
          </w:p>
        </w:tc>
      </w:tr>
      <w:tr w:rsidR="00E1032F" w:rsidRPr="00B02BE3" w:rsidTr="00274C84">
        <w:tc>
          <w:tcPr>
            <w:tcW w:w="3833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Patients, n (%)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488 (88.6%)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63 (11.4%)</w:t>
            </w:r>
          </w:p>
        </w:tc>
        <w:tc>
          <w:tcPr>
            <w:tcW w:w="881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Age (years),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64 (57–76)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67 (60–77)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0.119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Male sex, n (%)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290 (59.4%)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43 (68.3%)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0.178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Child-</w:t>
            </w: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Turcotte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-Pugh score A, n (%)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454 (93.0%)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48 (76.2%)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Esophageal varices, n (%)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119 (24.4%)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33 (52.4%)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ALT (U/L),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20 (16–25)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21 (18–28)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0.037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AST (U/L),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24 (20–29)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29 (24–38)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γGT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(U/L),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28 (18–38)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30 (25–54)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0.002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Platelet count (×10</w:t>
            </w:r>
            <w:r w:rsidRPr="00B02BE3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t>9</w:t>
            </w: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/L),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130 (96–167)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102 (73–136)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0.001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Albumin (g/</w:t>
            </w: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dL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4.3 (4.2–4.6)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4.2 (3.8–4.3)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Total bilirubin (mg/</w:t>
            </w: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dL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),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0.7 (0.5–0.9)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1.1 (0.6–1.7)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383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INR, median (IQR)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1.11 (1.04–1.20)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1.21 (1.11–1.34)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3833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AFP (ng/mL), median (IQR)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3.6 (2.4–5.5)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4.9 (3.2–13.5)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</w:tbl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* Continuous variables were reported as median and IQR, while categorical variables as number and percentage. 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Abbreviations: AFP, alpha-fetoprotein; ALT, alanine aminotransferase; AST, aspartate aminotransferase;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γGT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>, γ-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glutamyl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transferase; HCC, hepatocellular carcinoma; INR, international normalized ratio; IQR, interquartile range; n, number.</w:t>
      </w:r>
    </w:p>
    <w:p w:rsidR="00E1032F" w:rsidRPr="00B02BE3" w:rsidRDefault="00E1032F" w:rsidP="00E1032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</w:t>
      </w:r>
      <w:r w:rsidR="00E03EBA">
        <w:rPr>
          <w:rFonts w:ascii="Times New Roman" w:hAnsi="Times New Roman" w:cs="Times New Roman"/>
          <w:b/>
          <w:sz w:val="24"/>
          <w:szCs w:val="24"/>
          <w:lang w:val="en-GB"/>
        </w:rPr>
        <w:t>ble 3</w:t>
      </w:r>
      <w:r w:rsidRPr="00B02BE3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Overall survival by BCLC stage at diagnosis in Cohort B: median OS (months) and hazard ratios. 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2470"/>
        <w:gridCol w:w="2056"/>
      </w:tblGrid>
      <w:tr w:rsidR="00E1032F" w:rsidRPr="00B02BE3" w:rsidTr="00274C84"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BCLC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Median OS (95%CI)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HR (95% CI)</w:t>
            </w:r>
          </w:p>
        </w:tc>
      </w:tr>
      <w:tr w:rsidR="00E1032F" w:rsidRPr="00B02BE3" w:rsidTr="00274C84">
        <w:tc>
          <w:tcPr>
            <w:tcW w:w="1003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0/A</w:t>
            </w:r>
          </w:p>
        </w:tc>
        <w:tc>
          <w:tcPr>
            <w:tcW w:w="2470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98.8 (59.1–113.9)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Ref.</w:t>
            </w:r>
          </w:p>
        </w:tc>
      </w:tr>
      <w:tr w:rsidR="00E1032F" w:rsidRPr="00B02BE3" w:rsidTr="00274C84">
        <w:tc>
          <w:tcPr>
            <w:tcW w:w="1003" w:type="dxa"/>
          </w:tcPr>
          <w:p w:rsidR="00E1032F" w:rsidRPr="00B02BE3" w:rsidRDefault="00E1032F" w:rsidP="00274C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</w:p>
        </w:tc>
        <w:tc>
          <w:tcPr>
            <w:tcW w:w="2470" w:type="dxa"/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55.2 (27.1–61.5)</w:t>
            </w:r>
          </w:p>
        </w:tc>
        <w:tc>
          <w:tcPr>
            <w:tcW w:w="2056" w:type="dxa"/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2.12 (1.14–3.96)</w:t>
            </w:r>
          </w:p>
        </w:tc>
      </w:tr>
      <w:tr w:rsidR="00E1032F" w:rsidRPr="00B02BE3" w:rsidTr="00274C84">
        <w:tc>
          <w:tcPr>
            <w:tcW w:w="1003" w:type="dxa"/>
          </w:tcPr>
          <w:p w:rsidR="00E1032F" w:rsidRPr="00B02BE3" w:rsidRDefault="00E1032F" w:rsidP="00274C8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</w:p>
        </w:tc>
        <w:tc>
          <w:tcPr>
            <w:tcW w:w="2470" w:type="dxa"/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17.1 (4.3–28.4)</w:t>
            </w:r>
          </w:p>
        </w:tc>
        <w:tc>
          <w:tcPr>
            <w:tcW w:w="2056" w:type="dxa"/>
          </w:tcPr>
          <w:p w:rsidR="00E1032F" w:rsidRPr="00B02BE3" w:rsidRDefault="00E1032F" w:rsidP="00274C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2BE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5.98 (2.67–13.40)</w:t>
            </w:r>
          </w:p>
        </w:tc>
      </w:tr>
    </w:tbl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HRs </w:t>
      </w:r>
      <w:proofErr w:type="gramStart"/>
      <w:r w:rsidRPr="00B02BE3">
        <w:rPr>
          <w:rFonts w:ascii="Times New Roman" w:hAnsi="Times New Roman" w:cs="Times New Roman"/>
          <w:sz w:val="24"/>
          <w:szCs w:val="24"/>
          <w:lang w:val="en-GB"/>
        </w:rPr>
        <w:t>are reported</w:t>
      </w:r>
      <w:proofErr w:type="gram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with 95% CIs; reference category: BCLC 0/A. HR were calculated by Cox regression analysis. 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Abbreviations: BCLC, Barcelona Clinic Liver Cancer; CI, confidence interval; HR, hazard ratio.</w:t>
      </w:r>
    </w:p>
    <w:p w:rsidR="00E1032F" w:rsidRPr="00B02BE3" w:rsidRDefault="00E1032F" w:rsidP="00E1032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E1032F" w:rsidRPr="00B02BE3" w:rsidRDefault="00E03EBA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4</w:t>
      </w:r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. Sensitivity analysis of overall survival predictors with ALBI and </w:t>
      </w:r>
      <w:proofErr w:type="spellStart"/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>tumor</w:t>
      </w:r>
      <w:proofErr w:type="spellEnd"/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burden covariates.</w:t>
      </w:r>
    </w:p>
    <w:tbl>
      <w:tblPr>
        <w:tblW w:w="796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3"/>
        <w:gridCol w:w="1814"/>
        <w:gridCol w:w="881"/>
        <w:gridCol w:w="1620"/>
        <w:gridCol w:w="881"/>
      </w:tblGrid>
      <w:tr w:rsidR="00E1032F" w:rsidRPr="00B02BE3" w:rsidTr="00274C84"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Covariates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Univariate</w:t>
            </w:r>
          </w:p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HR, 95% CI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p</w:t>
            </w: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-value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Multivariate</w:t>
            </w:r>
          </w:p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aHR</w:t>
            </w:r>
            <w:proofErr w:type="spellEnd"/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, 95% CI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p</w:t>
            </w: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-value</w:t>
            </w:r>
          </w:p>
        </w:tc>
      </w:tr>
      <w:tr w:rsidR="00E1032F" w:rsidRPr="00B02BE3" w:rsidTr="00274C84">
        <w:tc>
          <w:tcPr>
            <w:tcW w:w="2773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GPC-3 &gt;150 </w:t>
            </w: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pg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/mL</w:t>
            </w:r>
          </w:p>
        </w:tc>
        <w:tc>
          <w:tcPr>
            <w:tcW w:w="18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1.76, 1.12–2.74</w:t>
            </w:r>
          </w:p>
        </w:tc>
        <w:tc>
          <w:tcPr>
            <w:tcW w:w="881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0.013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1.64, 1.01–2.67</w:t>
            </w:r>
          </w:p>
        </w:tc>
        <w:tc>
          <w:tcPr>
            <w:tcW w:w="881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0.048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1.00, 0.97–1.02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0.748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1.01, 0.99–1.04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0.342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Male sex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1.37, 0.83–2.26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0.214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1.45, 0.82–2.57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0.207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ALBI score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1.53, 1.06–2.21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0.024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1.36, 0.92–2.00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0.120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Multifocal HCC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2.07, 1.34–3.22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0.001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1.32, 0.80–2.18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0.271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Major nodule &gt; 3 cm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2.72, 1.73–4.29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2.46, 1.46–4.16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Extrahepatic spread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1.57, 0.63–3.89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0.334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1.46, 0.54–3.92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0.452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Curative-intent treatment*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0.18, 0.10–0.31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0.17, 0.09–0.31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  <w:tr w:rsidR="00E1032F" w:rsidRPr="00B02BE3" w:rsidTr="00274C84">
        <w:tc>
          <w:tcPr>
            <w:tcW w:w="2773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Disease control treatment**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0.57, 0.33–0.98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0.043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0.30, 0.16–0.57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&lt;0.001</w:t>
            </w:r>
          </w:p>
        </w:tc>
      </w:tr>
    </w:tbl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The ALBI score has been included in the analyses as a continuous variable.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ALBI score was calculated according to the original formula (Log Total Bilirubin (µ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mol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/L) * 0.66) + (Albumin (g/L) * −0.085) reported in Johnson PJ et al J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Clin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Oncol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2015.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* Liver resection, ablation, transplant.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** Arterial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locoregional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therapy, systemic therapy.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Abbreviations: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aHR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, adjusted hazard ratio; ALBI, albumin-bilirubin; CI, confidence interval; GPC-3, glypican-3; HCC, hepatocellular carcinoma; HR, hazard ratio. </w:t>
      </w:r>
    </w:p>
    <w:p w:rsidR="00E1032F" w:rsidRPr="00B02BE3" w:rsidRDefault="00E1032F" w:rsidP="00E1032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E1032F" w:rsidRPr="00B02BE3" w:rsidRDefault="00E03EBA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5</w:t>
      </w:r>
      <w:r w:rsidR="00E1032F" w:rsidRPr="00B02BE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Multivariate Cox proportional-hazard regression analysis of RFS predictors in patients undergoing curative-intent therapies as first line treatment.</w:t>
      </w:r>
    </w:p>
    <w:tbl>
      <w:tblPr>
        <w:tblW w:w="5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3"/>
        <w:gridCol w:w="1620"/>
        <w:gridCol w:w="881"/>
      </w:tblGrid>
      <w:tr w:rsidR="00E1032F" w:rsidRPr="00B02BE3" w:rsidTr="00274C84"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Covariates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Multivariate</w:t>
            </w:r>
          </w:p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aHR</w:t>
            </w:r>
            <w:proofErr w:type="spellEnd"/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, 95% CI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p</w:t>
            </w: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-value</w:t>
            </w:r>
          </w:p>
        </w:tc>
      </w:tr>
      <w:tr w:rsidR="00E1032F" w:rsidRPr="00B02BE3" w:rsidTr="00274C84">
        <w:tc>
          <w:tcPr>
            <w:tcW w:w="2773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GPC-3 &gt;150 </w:t>
            </w: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pg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/mL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0.87, 0.50–1.50</w:t>
            </w:r>
          </w:p>
        </w:tc>
        <w:tc>
          <w:tcPr>
            <w:tcW w:w="881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0.608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1.00, 0.98–1.03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0.791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Male sex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0.94, 0.55–1.60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0.821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BCLC stage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1.48, 1.03–2.13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0.036</w:t>
            </w:r>
          </w:p>
        </w:tc>
      </w:tr>
      <w:tr w:rsidR="00E1032F" w:rsidRPr="00B02BE3" w:rsidTr="00274C84">
        <w:tc>
          <w:tcPr>
            <w:tcW w:w="2773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Curative-intent treatment*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2.15, 0.86–5.39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0.104</w:t>
            </w:r>
          </w:p>
        </w:tc>
      </w:tr>
    </w:tbl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The BCLC stage has been included in the analyses as a continuous variable.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* </w:t>
      </w:r>
      <w:proofErr w:type="gramStart"/>
      <w:r w:rsidRPr="00B02BE3">
        <w:rPr>
          <w:rFonts w:ascii="Times New Roman" w:hAnsi="Times New Roman" w:cs="Times New Roman"/>
          <w:sz w:val="24"/>
          <w:szCs w:val="24"/>
          <w:lang w:val="en-GB"/>
        </w:rPr>
        <w:t>ablation</w:t>
      </w:r>
      <w:proofErr w:type="gram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vs liver resection.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Abbreviations: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aHR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>, adjusted hazard ratio; BCLC, Barcelona Clinic Liver Cancer; CI, confidence interval; GPC-3, glypican-3; HCC, hepatocellular carcinoma; HR, hazard ratio; RFS, recurrence-free survival.</w:t>
      </w:r>
    </w:p>
    <w:p w:rsidR="00E1032F" w:rsidRPr="00B02BE3" w:rsidRDefault="00E1032F" w:rsidP="00E1032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E1032F" w:rsidRPr="00B02BE3" w:rsidRDefault="00E03EBA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6</w:t>
      </w:r>
      <w:r w:rsidR="00E1032F" w:rsidRPr="00B02BE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Multivariate Cox proportional-hazard regression analysis of PFS predictors in patients undergoing disease-control therapies as first line treatment.</w:t>
      </w:r>
    </w:p>
    <w:tbl>
      <w:tblPr>
        <w:tblW w:w="5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3"/>
        <w:gridCol w:w="1620"/>
        <w:gridCol w:w="881"/>
      </w:tblGrid>
      <w:tr w:rsidR="00E1032F" w:rsidRPr="00B02BE3" w:rsidTr="00274C84"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Covariates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Multivariate</w:t>
            </w:r>
          </w:p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aHR</w:t>
            </w:r>
            <w:proofErr w:type="spellEnd"/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, 95% CI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  <w:t>p</w:t>
            </w:r>
            <w:r w:rsidRPr="00B02BE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-value</w:t>
            </w:r>
          </w:p>
        </w:tc>
      </w:tr>
      <w:tr w:rsidR="00E1032F" w:rsidRPr="00B02BE3" w:rsidTr="00274C84">
        <w:tc>
          <w:tcPr>
            <w:tcW w:w="2773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GPC-3 &gt;150 </w:t>
            </w:r>
            <w:proofErr w:type="spellStart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pg</w:t>
            </w:r>
            <w:proofErr w:type="spellEnd"/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/mL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2.61, 1.27–5.38</w:t>
            </w:r>
          </w:p>
        </w:tc>
        <w:tc>
          <w:tcPr>
            <w:tcW w:w="881" w:type="dxa"/>
            <w:tcBorders>
              <w:top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0.009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Age (years)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1.00, 0.97–1.04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0.879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Male sex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1.64, 0.68–3.92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0.269</w:t>
            </w:r>
          </w:p>
        </w:tc>
      </w:tr>
      <w:tr w:rsidR="00E1032F" w:rsidRPr="00B02BE3" w:rsidTr="00274C84">
        <w:tc>
          <w:tcPr>
            <w:tcW w:w="2773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BCLC stage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1.18, 0.85–1.65</w:t>
            </w:r>
          </w:p>
        </w:tc>
        <w:tc>
          <w:tcPr>
            <w:tcW w:w="881" w:type="dxa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0.789</w:t>
            </w:r>
          </w:p>
        </w:tc>
      </w:tr>
      <w:tr w:rsidR="00E1032F" w:rsidRPr="00B02BE3" w:rsidTr="00274C84">
        <w:tc>
          <w:tcPr>
            <w:tcW w:w="2773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disease-control treatment*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1.10, 0.54–2.24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:rsidR="00E1032F" w:rsidRPr="00B02BE3" w:rsidRDefault="00E1032F" w:rsidP="00274C84">
            <w:pPr>
              <w:pStyle w:val="MDPI42tablebody"/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02BE3">
              <w:rPr>
                <w:rFonts w:ascii="Times New Roman" w:hAnsi="Times New Roman"/>
                <w:color w:val="auto"/>
                <w:sz w:val="24"/>
                <w:szCs w:val="24"/>
              </w:rPr>
              <w:t>0.789</w:t>
            </w:r>
          </w:p>
        </w:tc>
      </w:tr>
    </w:tbl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The BCLC stage has been included in the analyses as a continuous variable.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* </w:t>
      </w:r>
      <w:proofErr w:type="gramStart"/>
      <w:r w:rsidRPr="00B02BE3">
        <w:rPr>
          <w:rFonts w:ascii="Times New Roman" w:hAnsi="Times New Roman" w:cs="Times New Roman"/>
          <w:sz w:val="24"/>
          <w:szCs w:val="24"/>
          <w:lang w:val="en-GB"/>
        </w:rPr>
        <w:t>systemic</w:t>
      </w:r>
      <w:proofErr w:type="gram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therapy vs endovascular treatment.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Abbreviations: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aHR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>, adjusted hazard ratio; BCLC, Barcelona Clinic Liver Cancer; CI, confidence interval; GPC-3, glypican-3; HCC, hepatocellular carcinoma; HR, hazard ratio; PFS, progression-free survival.</w:t>
      </w:r>
    </w:p>
    <w:p w:rsidR="00E1032F" w:rsidRPr="00B02BE3" w:rsidRDefault="00E1032F" w:rsidP="00E1032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E1032F" w:rsidRPr="00B02BE3" w:rsidRDefault="00E1032F" w:rsidP="00E1032F">
      <w:pPr>
        <w:rPr>
          <w:rFonts w:ascii="Times New Roman" w:hAnsi="Times New Roman" w:cs="Times New Roman"/>
          <w:b/>
          <w:sz w:val="24"/>
          <w:szCs w:val="24"/>
          <w:lang w:val="en-GB"/>
        </w:rPr>
        <w:sectPr w:rsidR="00E1032F" w:rsidRPr="00B02BE3">
          <w:footerReference w:type="default" r:id="rId6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Figure 1.</w:t>
      </w: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Heat-map of pairwise correlations between clinical chemistry parameters and serum biomarkers in HCC patients.</w:t>
      </w:r>
    </w:p>
    <w:p w:rsidR="00E1032F" w:rsidRPr="00B02BE3" w:rsidRDefault="00E1032F" w:rsidP="00E1032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 wp14:anchorId="1B0A6865" wp14:editId="7953BB89">
            <wp:extent cx="9058334" cy="3398520"/>
            <wp:effectExtent l="0" t="0" r="952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rrelogram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0754" cy="339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32F" w:rsidRPr="00B02BE3" w:rsidRDefault="00E1032F" w:rsidP="00E1032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>Correlation coefficients were calculated using Spearman correlation analysis.</w:t>
      </w:r>
    </w:p>
    <w:p w:rsidR="00E1032F" w:rsidRPr="00B02BE3" w:rsidRDefault="00E1032F" w:rsidP="00E1032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  <w:sectPr w:rsidR="00E1032F" w:rsidRPr="00B02BE3" w:rsidSect="006B501E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Abbreviations: AFP, alpha-fetoprotein; ALT, alanine aminotransferase; AST, aspartate aminotransferase; 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γGT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>, γ-</w:t>
      </w:r>
      <w:proofErr w:type="spellStart"/>
      <w:r w:rsidRPr="00B02BE3">
        <w:rPr>
          <w:rFonts w:ascii="Times New Roman" w:hAnsi="Times New Roman" w:cs="Times New Roman"/>
          <w:sz w:val="24"/>
          <w:szCs w:val="24"/>
          <w:lang w:val="en-GB"/>
        </w:rPr>
        <w:t>glutamyl</w:t>
      </w:r>
      <w:proofErr w:type="spellEnd"/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transferase; GPC-3, glypican-3; HCC, hepatocellular carcinoma; INR, international normalized ratio.</w:t>
      </w:r>
    </w:p>
    <w:p w:rsidR="00E03EBA" w:rsidRDefault="00E03EBA" w:rsidP="00E03EB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B02BE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95966" w:rsidRPr="00D95966">
        <w:rPr>
          <w:rFonts w:ascii="Times New Roman" w:hAnsi="Times New Roman" w:cs="Times New Roman"/>
          <w:sz w:val="24"/>
          <w:szCs w:val="24"/>
          <w:lang w:val="en-GB"/>
        </w:rPr>
        <w:t xml:space="preserve">Median circulating </w:t>
      </w:r>
      <w:r w:rsidR="00D95966">
        <w:rPr>
          <w:rFonts w:ascii="Times New Roman" w:hAnsi="Times New Roman" w:cs="Times New Roman"/>
          <w:sz w:val="24"/>
          <w:szCs w:val="24"/>
          <w:lang w:val="en-GB"/>
        </w:rPr>
        <w:t>AFP</w:t>
      </w:r>
      <w:r w:rsidR="00D95966" w:rsidRPr="00D95966">
        <w:rPr>
          <w:rFonts w:ascii="Times New Roman" w:hAnsi="Times New Roman" w:cs="Times New Roman"/>
          <w:sz w:val="24"/>
          <w:szCs w:val="24"/>
          <w:lang w:val="en-GB"/>
        </w:rPr>
        <w:t xml:space="preserve"> levels in patients w</w:t>
      </w:r>
      <w:bookmarkStart w:id="0" w:name="_GoBack"/>
      <w:bookmarkEnd w:id="0"/>
      <w:r w:rsidR="00D95966" w:rsidRPr="00D95966">
        <w:rPr>
          <w:rFonts w:ascii="Times New Roman" w:hAnsi="Times New Roman" w:cs="Times New Roman"/>
          <w:sz w:val="24"/>
          <w:szCs w:val="24"/>
          <w:lang w:val="en-GB"/>
        </w:rPr>
        <w:t xml:space="preserve">ith </w:t>
      </w:r>
      <w:r w:rsidR="00D95966">
        <w:rPr>
          <w:rFonts w:ascii="Times New Roman" w:hAnsi="Times New Roman" w:cs="Times New Roman"/>
          <w:sz w:val="24"/>
          <w:szCs w:val="24"/>
          <w:lang w:val="en-GB"/>
        </w:rPr>
        <w:t>HCC according to BCLC stage.</w:t>
      </w:r>
      <w:r w:rsidR="00D95966" w:rsidRPr="00D95966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:rsidR="00573255" w:rsidRPr="00B02BE3" w:rsidRDefault="00573255" w:rsidP="00E03EB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it-IT"/>
        </w:rPr>
        <w:drawing>
          <wp:inline distT="0" distB="0" distL="0" distR="0">
            <wp:extent cx="4840376" cy="3848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238" cy="38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EBA" w:rsidRDefault="00E03EBA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E1032F" w:rsidRPr="00B02BE3" w:rsidRDefault="00E03EBA" w:rsidP="00E1032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Figure 3</w:t>
      </w:r>
      <w:r w:rsidR="00E1032F" w:rsidRPr="00B02BE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E1032F" w:rsidRPr="00B02BE3">
        <w:rPr>
          <w:rFonts w:ascii="Times New Roman" w:hAnsi="Times New Roman" w:cs="Times New Roman"/>
          <w:sz w:val="24"/>
          <w:szCs w:val="24"/>
          <w:lang w:val="en-GB"/>
        </w:rPr>
        <w:t xml:space="preserve"> Kaplan–Meier overall survival curves by BCLC stage at diagnosis in Cohort B. Abbreviations: BCLC, Barcelona Clinic Liver Cancer.</w:t>
      </w:r>
    </w:p>
    <w:p w:rsidR="00166321" w:rsidRPr="00E1032F" w:rsidRDefault="00E1032F">
      <w:pPr>
        <w:rPr>
          <w:lang w:val="en-GB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it-IT"/>
        </w:rPr>
        <w:drawing>
          <wp:inline distT="0" distB="0" distL="0" distR="0" wp14:anchorId="693B98DA" wp14:editId="2E63D6D0">
            <wp:extent cx="6012000" cy="4509000"/>
            <wp:effectExtent l="0" t="0" r="8255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1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321" w:rsidRPr="00E103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104" w:rsidRDefault="00697104">
      <w:pPr>
        <w:spacing w:after="0" w:line="240" w:lineRule="auto"/>
      </w:pPr>
      <w:r>
        <w:separator/>
      </w:r>
    </w:p>
  </w:endnote>
  <w:endnote w:type="continuationSeparator" w:id="0">
    <w:p w:rsidR="00697104" w:rsidRDefault="00697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3594428"/>
      <w:docPartObj>
        <w:docPartGallery w:val="Page Numbers (Bottom of Page)"/>
        <w:docPartUnique/>
      </w:docPartObj>
    </w:sdtPr>
    <w:sdtEndPr/>
    <w:sdtContent>
      <w:p w:rsidR="007B018A" w:rsidRDefault="00E103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255">
          <w:rPr>
            <w:noProof/>
          </w:rPr>
          <w:t>8</w:t>
        </w:r>
        <w:r>
          <w:fldChar w:fldCharType="end"/>
        </w:r>
      </w:p>
    </w:sdtContent>
  </w:sdt>
  <w:p w:rsidR="007B018A" w:rsidRDefault="006971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104" w:rsidRDefault="00697104">
      <w:pPr>
        <w:spacing w:after="0" w:line="240" w:lineRule="auto"/>
      </w:pPr>
      <w:r>
        <w:separator/>
      </w:r>
    </w:p>
  </w:footnote>
  <w:footnote w:type="continuationSeparator" w:id="0">
    <w:p w:rsidR="00697104" w:rsidRDefault="006971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55"/>
    <w:rsid w:val="002E6384"/>
    <w:rsid w:val="00573255"/>
    <w:rsid w:val="00697104"/>
    <w:rsid w:val="00CD072F"/>
    <w:rsid w:val="00D95966"/>
    <w:rsid w:val="00E03EBA"/>
    <w:rsid w:val="00E1032F"/>
    <w:rsid w:val="00F16755"/>
    <w:rsid w:val="00F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1BAE2"/>
  <w15:chartTrackingRefBased/>
  <w15:docId w15:val="{64970D27-D0C9-4E15-901A-D6CBFE12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03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DPI42tablebody">
    <w:name w:val="MDPI_4.2_table_body"/>
    <w:qFormat/>
    <w:rsid w:val="00E1032F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table" w:styleId="Grigliatabella">
    <w:name w:val="Table Grid"/>
    <w:basedOn w:val="Tabellanormale"/>
    <w:uiPriority w:val="39"/>
    <w:rsid w:val="00E1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E103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0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Torino</Company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 di Medicina Torino</dc:creator>
  <cp:keywords/>
  <dc:description/>
  <cp:lastModifiedBy>Polo di Medicina Torino</cp:lastModifiedBy>
  <cp:revision>5</cp:revision>
  <dcterms:created xsi:type="dcterms:W3CDTF">2025-10-24T21:44:00Z</dcterms:created>
  <dcterms:modified xsi:type="dcterms:W3CDTF">2025-12-02T12:25:00Z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8517c29f-ce4d-44ef-8d3e-b626245b6ad9</vt:lpwstr>
  </property>
</Properties>
</file>