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D5971" w14:textId="77777777" w:rsidR="00F1319B" w:rsidRDefault="00F1319B" w:rsidP="00F1319B">
      <w:pPr>
        <w:spacing w:line="276" w:lineRule="auto"/>
        <w:rPr>
          <w:rFonts w:cs="Tahoma"/>
          <w:b/>
        </w:rPr>
      </w:pPr>
      <w:r>
        <w:rPr>
          <w:rFonts w:cs="Tahoma"/>
          <w:b/>
        </w:rPr>
        <w:t>Table 1:  PICOS framework</w:t>
      </w:r>
    </w:p>
    <w:tbl>
      <w:tblPr>
        <w:tblW w:w="9669" w:type="dxa"/>
        <w:tblInd w:w="107" w:type="dxa"/>
        <w:tblCellMar>
          <w:left w:w="10" w:type="dxa"/>
          <w:right w:w="10" w:type="dxa"/>
        </w:tblCellMar>
        <w:tblLook w:val="0000" w:firstRow="0" w:lastRow="0" w:firstColumn="0" w:lastColumn="0" w:noHBand="0" w:noVBand="0"/>
      </w:tblPr>
      <w:tblGrid>
        <w:gridCol w:w="1271"/>
        <w:gridCol w:w="8398"/>
      </w:tblGrid>
      <w:tr w:rsidR="00F1319B" w14:paraId="41A10E2E" w14:textId="77777777" w:rsidTr="00954B1C">
        <w:trPr>
          <w:trHeight w:val="460"/>
        </w:trPr>
        <w:tc>
          <w:tcPr>
            <w:tcW w:w="96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17CF3C8" w14:textId="09C8A2AC" w:rsidR="00F1319B" w:rsidRDefault="00F1319B" w:rsidP="00954B1C">
            <w:pPr>
              <w:spacing w:after="0" w:line="480" w:lineRule="auto"/>
              <w:rPr>
                <w:sz w:val="18"/>
                <w:szCs w:val="18"/>
              </w:rPr>
            </w:pPr>
            <w:r>
              <w:rPr>
                <w:kern w:val="0"/>
                <w:sz w:val="18"/>
                <w:szCs w:val="18"/>
              </w:rPr>
              <w:t>Review Question: What are the published</w:t>
            </w:r>
            <w:r w:rsidRPr="3B9A2EE6">
              <w:rPr>
                <w:sz w:val="18"/>
                <w:szCs w:val="18"/>
              </w:rPr>
              <w:t xml:space="preserve"> randomised controlled </w:t>
            </w:r>
            <w:r w:rsidR="00802DC6" w:rsidRPr="3B9A2EE6">
              <w:rPr>
                <w:sz w:val="18"/>
                <w:szCs w:val="18"/>
              </w:rPr>
              <w:t xml:space="preserve">trials </w:t>
            </w:r>
            <w:r w:rsidR="00802DC6">
              <w:rPr>
                <w:kern w:val="0"/>
                <w:sz w:val="18"/>
                <w:szCs w:val="18"/>
              </w:rPr>
              <w:t>of</w:t>
            </w:r>
            <w:r>
              <w:rPr>
                <w:kern w:val="0"/>
                <w:sz w:val="18"/>
                <w:szCs w:val="18"/>
              </w:rPr>
              <w:t xml:space="preserve"> systemic treatments for advanced and metastatic gastric cancer</w:t>
            </w:r>
            <w:r>
              <w:rPr>
                <w:color w:val="FF0000"/>
                <w:kern w:val="0"/>
                <w:sz w:val="18"/>
                <w:szCs w:val="18"/>
              </w:rPr>
              <w:t xml:space="preserve"> </w:t>
            </w:r>
            <w:r>
              <w:rPr>
                <w:kern w:val="0"/>
                <w:sz w:val="18"/>
                <w:szCs w:val="18"/>
              </w:rPr>
              <w:t>in the second- or later-line setting?</w:t>
            </w:r>
          </w:p>
        </w:tc>
      </w:tr>
      <w:tr w:rsidR="00F1319B" w14:paraId="7FE7A476" w14:textId="77777777" w:rsidTr="00954B1C">
        <w:trPr>
          <w:trHeight w:val="460"/>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AA9E256" w14:textId="77777777" w:rsidR="00F1319B" w:rsidRDefault="00F1319B" w:rsidP="00954B1C">
            <w:pPr>
              <w:spacing w:after="0" w:line="480" w:lineRule="auto"/>
            </w:pPr>
            <w:r>
              <w:rPr>
                <w:rFonts w:cs="Tahoma"/>
                <w:kern w:val="0"/>
                <w:sz w:val="18"/>
                <w:szCs w:val="18"/>
              </w:rPr>
              <w:t>Population</w:t>
            </w:r>
          </w:p>
        </w:tc>
        <w:tc>
          <w:tcPr>
            <w:tcW w:w="8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25CDF19" w14:textId="77777777" w:rsidR="00F1319B" w:rsidRDefault="00F1319B" w:rsidP="00954B1C">
            <w:pPr>
              <w:spacing w:after="0" w:line="480" w:lineRule="auto"/>
            </w:pPr>
            <w:r>
              <w:rPr>
                <w:iCs/>
                <w:color w:val="000000"/>
                <w:kern w:val="0"/>
                <w:sz w:val="18"/>
                <w:szCs w:val="18"/>
              </w:rPr>
              <w:t>Individuals with a diagnosis</w:t>
            </w:r>
            <w:r>
              <w:rPr>
                <w:iCs/>
                <w:kern w:val="0"/>
                <w:sz w:val="18"/>
                <w:szCs w:val="18"/>
              </w:rPr>
              <w:t xml:space="preserve"> of advanced or metastatic gastric cancer</w:t>
            </w:r>
            <w:r>
              <w:rPr>
                <w:kern w:val="0"/>
                <w:sz w:val="18"/>
                <w:szCs w:val="18"/>
              </w:rPr>
              <w:t xml:space="preserve"> in the second- or later-line setting.</w:t>
            </w:r>
          </w:p>
        </w:tc>
      </w:tr>
      <w:tr w:rsidR="00F1319B" w14:paraId="7113A73D" w14:textId="77777777" w:rsidTr="00954B1C">
        <w:trPr>
          <w:trHeight w:val="460"/>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49D2FA9" w14:textId="77777777" w:rsidR="00F1319B" w:rsidRDefault="00F1319B" w:rsidP="00954B1C">
            <w:pPr>
              <w:spacing w:after="0" w:line="480" w:lineRule="auto"/>
              <w:rPr>
                <w:iCs/>
                <w:kern w:val="0"/>
                <w:sz w:val="18"/>
                <w:szCs w:val="18"/>
              </w:rPr>
            </w:pPr>
            <w:r>
              <w:rPr>
                <w:iCs/>
                <w:kern w:val="0"/>
                <w:sz w:val="18"/>
                <w:szCs w:val="18"/>
              </w:rPr>
              <w:t>Intervention</w:t>
            </w:r>
          </w:p>
        </w:tc>
        <w:tc>
          <w:tcPr>
            <w:tcW w:w="8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D3A5CB5" w14:textId="77777777" w:rsidR="00F1319B" w:rsidRDefault="00F1319B" w:rsidP="00954B1C">
            <w:pPr>
              <w:spacing w:after="0" w:line="480" w:lineRule="auto"/>
              <w:rPr>
                <w:sz w:val="18"/>
                <w:szCs w:val="18"/>
              </w:rPr>
            </w:pPr>
            <w:r>
              <w:rPr>
                <w:iCs/>
                <w:kern w:val="0"/>
                <w:sz w:val="18"/>
                <w:szCs w:val="18"/>
              </w:rPr>
              <w:t xml:space="preserve">All systemic treatments approved by both </w:t>
            </w:r>
            <w:r w:rsidRPr="0078722C">
              <w:rPr>
                <w:iCs/>
                <w:kern w:val="0"/>
                <w:sz w:val="18"/>
                <w:szCs w:val="18"/>
              </w:rPr>
              <w:t xml:space="preserve">ESMO (Lordick et al., 2022) and NCCN </w:t>
            </w:r>
            <w:r w:rsidRPr="14663A94">
              <w:rPr>
                <w:kern w:val="0"/>
                <w:sz w:val="18"/>
                <w:szCs w:val="18"/>
              </w:rPr>
              <w:t>Guidelines</w:t>
            </w:r>
            <w:r w:rsidRPr="0078722C">
              <w:rPr>
                <w:iCs/>
                <w:kern w:val="0"/>
                <w:sz w:val="18"/>
                <w:szCs w:val="18"/>
              </w:rPr>
              <w:t xml:space="preserve"> (Ajani et al., </w:t>
            </w:r>
            <w:r w:rsidRPr="3B9A2EE6">
              <w:rPr>
                <w:kern w:val="0"/>
                <w:sz w:val="18"/>
                <w:szCs w:val="18"/>
              </w:rPr>
              <w:t xml:space="preserve">2022) and that are also aligned with Expert Clinical opinion. </w:t>
            </w:r>
          </w:p>
          <w:p w14:paraId="53035E66" w14:textId="77777777" w:rsidR="00F1319B" w:rsidRDefault="00F1319B" w:rsidP="00954B1C">
            <w:pPr>
              <w:spacing w:after="0" w:line="480" w:lineRule="auto"/>
              <w:rPr>
                <w:iCs/>
                <w:kern w:val="0"/>
                <w:sz w:val="18"/>
                <w:szCs w:val="18"/>
              </w:rPr>
            </w:pPr>
            <w:r>
              <w:rPr>
                <w:iCs/>
                <w:kern w:val="0"/>
                <w:sz w:val="18"/>
                <w:szCs w:val="18"/>
              </w:rPr>
              <w:t>Studies evaluating at least one of the following treatments:</w:t>
            </w:r>
          </w:p>
          <w:p w14:paraId="4349564E" w14:textId="77777777" w:rsidR="00F1319B" w:rsidRDefault="00F1319B" w:rsidP="00954B1C">
            <w:pPr>
              <w:pStyle w:val="ListParagraph"/>
              <w:widowControl w:val="0"/>
              <w:numPr>
                <w:ilvl w:val="0"/>
                <w:numId w:val="1"/>
              </w:numPr>
              <w:spacing w:after="0" w:line="360" w:lineRule="auto"/>
              <w:jc w:val="both"/>
              <w:textAlignment w:val="baseline"/>
              <w:rPr>
                <w:rFonts w:ascii="Times New Roman" w:hAnsi="Times New Roman"/>
                <w:iCs/>
                <w:sz w:val="18"/>
                <w:szCs w:val="18"/>
              </w:rPr>
            </w:pPr>
            <w:r>
              <w:rPr>
                <w:rFonts w:ascii="Times New Roman" w:hAnsi="Times New Roman"/>
                <w:iCs/>
                <w:sz w:val="18"/>
                <w:szCs w:val="18"/>
              </w:rPr>
              <w:t>Paclitaxel</w:t>
            </w:r>
          </w:p>
          <w:p w14:paraId="6F80D3B6" w14:textId="77777777" w:rsidR="00F1319B" w:rsidRDefault="00F1319B" w:rsidP="00954B1C">
            <w:pPr>
              <w:pStyle w:val="ListParagraph"/>
              <w:widowControl w:val="0"/>
              <w:numPr>
                <w:ilvl w:val="0"/>
                <w:numId w:val="1"/>
              </w:numPr>
              <w:spacing w:after="0" w:line="360" w:lineRule="auto"/>
              <w:jc w:val="both"/>
              <w:textAlignment w:val="baseline"/>
              <w:rPr>
                <w:rFonts w:ascii="Times New Roman" w:hAnsi="Times New Roman"/>
                <w:iCs/>
                <w:sz w:val="18"/>
                <w:szCs w:val="18"/>
              </w:rPr>
            </w:pPr>
            <w:r>
              <w:rPr>
                <w:rFonts w:ascii="Times New Roman" w:hAnsi="Times New Roman"/>
                <w:iCs/>
                <w:sz w:val="18"/>
                <w:szCs w:val="18"/>
              </w:rPr>
              <w:t>Docetaxel</w:t>
            </w:r>
          </w:p>
          <w:p w14:paraId="3C46E41B" w14:textId="77777777" w:rsidR="00F1319B" w:rsidRDefault="00F1319B" w:rsidP="00954B1C">
            <w:pPr>
              <w:pStyle w:val="ListParagraph"/>
              <w:widowControl w:val="0"/>
              <w:numPr>
                <w:ilvl w:val="0"/>
                <w:numId w:val="1"/>
              </w:numPr>
              <w:spacing w:after="0" w:line="360" w:lineRule="auto"/>
              <w:jc w:val="both"/>
              <w:textAlignment w:val="baseline"/>
              <w:rPr>
                <w:rFonts w:ascii="Times New Roman" w:hAnsi="Times New Roman"/>
                <w:iCs/>
                <w:sz w:val="18"/>
                <w:szCs w:val="18"/>
              </w:rPr>
            </w:pPr>
            <w:r>
              <w:rPr>
                <w:rFonts w:ascii="Times New Roman" w:hAnsi="Times New Roman"/>
                <w:iCs/>
                <w:sz w:val="18"/>
                <w:szCs w:val="18"/>
              </w:rPr>
              <w:t>Irinotecan</w:t>
            </w:r>
          </w:p>
          <w:p w14:paraId="06A9A45F" w14:textId="77777777" w:rsidR="00F1319B" w:rsidRDefault="00F1319B" w:rsidP="00954B1C">
            <w:pPr>
              <w:pStyle w:val="ListParagraph"/>
              <w:widowControl w:val="0"/>
              <w:numPr>
                <w:ilvl w:val="0"/>
                <w:numId w:val="1"/>
              </w:numPr>
              <w:spacing w:after="0" w:line="360" w:lineRule="auto"/>
              <w:jc w:val="both"/>
              <w:textAlignment w:val="baseline"/>
              <w:rPr>
                <w:rFonts w:ascii="Times New Roman" w:hAnsi="Times New Roman"/>
                <w:iCs/>
                <w:sz w:val="18"/>
                <w:szCs w:val="18"/>
              </w:rPr>
            </w:pPr>
            <w:r>
              <w:rPr>
                <w:rFonts w:ascii="Times New Roman" w:hAnsi="Times New Roman"/>
                <w:iCs/>
                <w:sz w:val="18"/>
                <w:szCs w:val="18"/>
              </w:rPr>
              <w:t>FOLFIRI</w:t>
            </w:r>
          </w:p>
          <w:p w14:paraId="35138BB5" w14:textId="77777777" w:rsidR="00F1319B" w:rsidRDefault="00F1319B" w:rsidP="00954B1C">
            <w:pPr>
              <w:pStyle w:val="ListParagraph"/>
              <w:widowControl w:val="0"/>
              <w:numPr>
                <w:ilvl w:val="0"/>
                <w:numId w:val="1"/>
              </w:numPr>
              <w:spacing w:after="0" w:line="360" w:lineRule="auto"/>
              <w:jc w:val="both"/>
              <w:textAlignment w:val="baseline"/>
              <w:rPr>
                <w:rFonts w:ascii="Times New Roman" w:hAnsi="Times New Roman"/>
                <w:iCs/>
                <w:sz w:val="18"/>
                <w:szCs w:val="18"/>
              </w:rPr>
            </w:pPr>
            <w:r>
              <w:rPr>
                <w:rFonts w:ascii="Times New Roman" w:hAnsi="Times New Roman"/>
                <w:iCs/>
                <w:sz w:val="18"/>
                <w:szCs w:val="18"/>
              </w:rPr>
              <w:t>Ramucirumab</w:t>
            </w:r>
          </w:p>
          <w:p w14:paraId="49E36543" w14:textId="77777777" w:rsidR="00F1319B" w:rsidRDefault="00F1319B" w:rsidP="00954B1C">
            <w:pPr>
              <w:pStyle w:val="ListParagraph"/>
              <w:widowControl w:val="0"/>
              <w:numPr>
                <w:ilvl w:val="0"/>
                <w:numId w:val="1"/>
              </w:numPr>
              <w:spacing w:after="0" w:line="360" w:lineRule="auto"/>
              <w:jc w:val="both"/>
              <w:textAlignment w:val="baseline"/>
              <w:rPr>
                <w:rFonts w:ascii="Times New Roman" w:hAnsi="Times New Roman"/>
                <w:iCs/>
                <w:sz w:val="18"/>
                <w:szCs w:val="18"/>
              </w:rPr>
            </w:pPr>
            <w:r>
              <w:rPr>
                <w:rFonts w:ascii="Times New Roman" w:hAnsi="Times New Roman"/>
                <w:iCs/>
                <w:sz w:val="18"/>
                <w:szCs w:val="18"/>
              </w:rPr>
              <w:t>Ramucirumab + Paclitaxel</w:t>
            </w:r>
          </w:p>
          <w:p w14:paraId="33B09242" w14:textId="77777777" w:rsidR="00F1319B" w:rsidRDefault="00F1319B" w:rsidP="00954B1C">
            <w:pPr>
              <w:pStyle w:val="ListParagraph"/>
              <w:widowControl w:val="0"/>
              <w:numPr>
                <w:ilvl w:val="0"/>
                <w:numId w:val="1"/>
              </w:numPr>
              <w:spacing w:after="0" w:line="360" w:lineRule="auto"/>
              <w:jc w:val="both"/>
              <w:textAlignment w:val="baseline"/>
              <w:rPr>
                <w:rFonts w:ascii="Times New Roman" w:hAnsi="Times New Roman"/>
                <w:iCs/>
                <w:sz w:val="18"/>
                <w:szCs w:val="18"/>
              </w:rPr>
            </w:pPr>
            <w:bookmarkStart w:id="0" w:name="_Hlk169862358"/>
            <w:r>
              <w:rPr>
                <w:rFonts w:ascii="Times New Roman" w:hAnsi="Times New Roman"/>
                <w:iCs/>
                <w:sz w:val="18"/>
                <w:szCs w:val="18"/>
              </w:rPr>
              <w:t>Pembrolizumab</w:t>
            </w:r>
          </w:p>
          <w:p w14:paraId="17E7BC6E" w14:textId="77777777" w:rsidR="00F1319B" w:rsidRDefault="00F1319B" w:rsidP="00954B1C">
            <w:pPr>
              <w:pStyle w:val="ListParagraph"/>
              <w:widowControl w:val="0"/>
              <w:numPr>
                <w:ilvl w:val="0"/>
                <w:numId w:val="1"/>
              </w:numPr>
              <w:spacing w:after="0" w:line="360" w:lineRule="auto"/>
              <w:jc w:val="both"/>
              <w:textAlignment w:val="baseline"/>
              <w:rPr>
                <w:rFonts w:ascii="Times New Roman" w:hAnsi="Times New Roman"/>
                <w:iCs/>
                <w:sz w:val="18"/>
                <w:szCs w:val="18"/>
              </w:rPr>
            </w:pPr>
            <w:r>
              <w:rPr>
                <w:rFonts w:ascii="Times New Roman" w:hAnsi="Times New Roman"/>
                <w:iCs/>
                <w:sz w:val="18"/>
                <w:szCs w:val="18"/>
              </w:rPr>
              <w:t>Trastuzumab deruxtecan (for HER2 overexpression-positive adenocarcinoma)</w:t>
            </w:r>
          </w:p>
          <w:p w14:paraId="275DAC9F" w14:textId="77777777" w:rsidR="000D6E86" w:rsidRDefault="00F1319B" w:rsidP="00954B1C">
            <w:pPr>
              <w:pStyle w:val="ListParagraph"/>
              <w:widowControl w:val="0"/>
              <w:numPr>
                <w:ilvl w:val="0"/>
                <w:numId w:val="1"/>
              </w:numPr>
              <w:spacing w:after="0" w:line="360" w:lineRule="auto"/>
              <w:jc w:val="both"/>
              <w:textAlignment w:val="baseline"/>
              <w:rPr>
                <w:rFonts w:ascii="Times New Roman" w:hAnsi="Times New Roman"/>
                <w:iCs/>
                <w:sz w:val="18"/>
                <w:szCs w:val="18"/>
              </w:rPr>
            </w:pPr>
            <w:r>
              <w:rPr>
                <w:rFonts w:ascii="Times New Roman" w:hAnsi="Times New Roman"/>
                <w:iCs/>
                <w:sz w:val="18"/>
                <w:szCs w:val="18"/>
              </w:rPr>
              <w:t>Dostarlimab</w:t>
            </w:r>
          </w:p>
          <w:p w14:paraId="30348242" w14:textId="6DF9E89C" w:rsidR="00F1319B" w:rsidRPr="009C422D" w:rsidRDefault="00F1319B" w:rsidP="00954B1C">
            <w:pPr>
              <w:pStyle w:val="ListParagraph"/>
              <w:widowControl w:val="0"/>
              <w:numPr>
                <w:ilvl w:val="0"/>
                <w:numId w:val="1"/>
              </w:numPr>
              <w:spacing w:after="0" w:line="360" w:lineRule="auto"/>
              <w:jc w:val="both"/>
              <w:textAlignment w:val="baseline"/>
              <w:rPr>
                <w:rFonts w:ascii="Times New Roman" w:hAnsi="Times New Roman"/>
                <w:iCs/>
                <w:sz w:val="18"/>
                <w:szCs w:val="18"/>
              </w:rPr>
            </w:pPr>
            <w:r w:rsidRPr="009C422D">
              <w:rPr>
                <w:rFonts w:ascii="Times New Roman" w:hAnsi="Times New Roman"/>
                <w:iCs/>
                <w:sz w:val="18"/>
                <w:szCs w:val="18"/>
              </w:rPr>
              <w:t>Entrectinib</w:t>
            </w:r>
          </w:p>
          <w:p w14:paraId="6975DD97" w14:textId="77777777" w:rsidR="00F1319B" w:rsidRPr="003C067A" w:rsidRDefault="00F1319B" w:rsidP="00954B1C">
            <w:pPr>
              <w:pStyle w:val="ListParagraph"/>
              <w:widowControl w:val="0"/>
              <w:numPr>
                <w:ilvl w:val="0"/>
                <w:numId w:val="1"/>
              </w:numPr>
              <w:spacing w:after="0" w:line="360" w:lineRule="auto"/>
              <w:jc w:val="both"/>
              <w:textAlignment w:val="baseline"/>
              <w:rPr>
                <w:rFonts w:ascii="Times New Roman" w:hAnsi="Times New Roman"/>
                <w:iCs/>
                <w:sz w:val="18"/>
                <w:szCs w:val="18"/>
              </w:rPr>
            </w:pPr>
            <w:r w:rsidRPr="003C067A">
              <w:rPr>
                <w:rFonts w:ascii="Times New Roman" w:hAnsi="Times New Roman"/>
                <w:iCs/>
                <w:sz w:val="18"/>
                <w:szCs w:val="18"/>
              </w:rPr>
              <w:t>trifluridine-tipiracil</w:t>
            </w:r>
          </w:p>
          <w:p w14:paraId="69C2CBDC" w14:textId="77777777" w:rsidR="00F1319B" w:rsidRPr="00C2310D" w:rsidRDefault="00F1319B" w:rsidP="00954B1C">
            <w:pPr>
              <w:pStyle w:val="ListParagraph"/>
              <w:widowControl w:val="0"/>
              <w:numPr>
                <w:ilvl w:val="0"/>
                <w:numId w:val="1"/>
              </w:numPr>
              <w:spacing w:after="0" w:line="360" w:lineRule="auto"/>
              <w:jc w:val="both"/>
              <w:textAlignment w:val="baseline"/>
              <w:rPr>
                <w:rFonts w:ascii="Times New Roman" w:hAnsi="Times New Roman"/>
                <w:iCs/>
                <w:sz w:val="18"/>
                <w:szCs w:val="18"/>
              </w:rPr>
            </w:pPr>
            <w:r>
              <w:rPr>
                <w:rFonts w:ascii="Times New Roman" w:hAnsi="Times New Roman"/>
                <w:iCs/>
                <w:sz w:val="18"/>
                <w:szCs w:val="18"/>
              </w:rPr>
              <w:t>Best supportive car</w:t>
            </w:r>
            <w:bookmarkEnd w:id="0"/>
            <w:r>
              <w:rPr>
                <w:rFonts w:ascii="Times New Roman" w:hAnsi="Times New Roman"/>
                <w:iCs/>
                <w:sz w:val="18"/>
                <w:szCs w:val="18"/>
              </w:rPr>
              <w:t xml:space="preserve">e </w:t>
            </w:r>
          </w:p>
        </w:tc>
      </w:tr>
      <w:tr w:rsidR="00F1319B" w14:paraId="26D423FB" w14:textId="77777777" w:rsidTr="00954B1C">
        <w:trPr>
          <w:trHeight w:val="460"/>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A03B3B7" w14:textId="77777777" w:rsidR="00F1319B" w:rsidRDefault="00F1319B" w:rsidP="00954B1C">
            <w:pPr>
              <w:spacing w:after="0" w:line="480" w:lineRule="auto"/>
              <w:rPr>
                <w:rFonts w:cs="Tahoma"/>
                <w:kern w:val="0"/>
                <w:sz w:val="18"/>
                <w:szCs w:val="18"/>
              </w:rPr>
            </w:pPr>
            <w:r>
              <w:rPr>
                <w:rFonts w:cs="Tahoma"/>
                <w:kern w:val="0"/>
                <w:sz w:val="18"/>
                <w:szCs w:val="18"/>
              </w:rPr>
              <w:t>Comparator</w:t>
            </w:r>
          </w:p>
        </w:tc>
        <w:tc>
          <w:tcPr>
            <w:tcW w:w="8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124455" w14:textId="77777777" w:rsidR="00F1319B" w:rsidRDefault="00F1319B" w:rsidP="00954B1C">
            <w:pPr>
              <w:widowControl w:val="0"/>
              <w:spacing w:after="0" w:line="480" w:lineRule="auto"/>
              <w:jc w:val="both"/>
              <w:textAlignment w:val="baseline"/>
              <w:rPr>
                <w:iCs/>
                <w:kern w:val="0"/>
                <w:sz w:val="18"/>
                <w:szCs w:val="18"/>
              </w:rPr>
            </w:pPr>
            <w:r>
              <w:rPr>
                <w:iCs/>
                <w:kern w:val="0"/>
                <w:sz w:val="18"/>
                <w:szCs w:val="18"/>
              </w:rPr>
              <w:t>Unrestricted</w:t>
            </w:r>
          </w:p>
        </w:tc>
      </w:tr>
      <w:tr w:rsidR="00F1319B" w14:paraId="7F3C785C" w14:textId="77777777" w:rsidTr="00954B1C">
        <w:trPr>
          <w:trHeight w:val="460"/>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3752961" w14:textId="77777777" w:rsidR="00F1319B" w:rsidRDefault="00F1319B" w:rsidP="00954B1C">
            <w:pPr>
              <w:spacing w:after="0" w:line="480" w:lineRule="auto"/>
            </w:pPr>
            <w:r>
              <w:rPr>
                <w:rFonts w:cs="Tahoma"/>
                <w:kern w:val="0"/>
                <w:sz w:val="18"/>
                <w:szCs w:val="18"/>
              </w:rPr>
              <w:t>Outcomes</w:t>
            </w:r>
          </w:p>
        </w:tc>
        <w:tc>
          <w:tcPr>
            <w:tcW w:w="8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0C135DF" w14:textId="1C56BFDD" w:rsidR="00F1319B" w:rsidRPr="007369EE" w:rsidRDefault="008031BE" w:rsidP="00954B1C">
            <w:pPr>
              <w:spacing w:after="0" w:line="480" w:lineRule="auto"/>
              <w:rPr>
                <w:color w:val="FF0000"/>
              </w:rPr>
            </w:pPr>
            <w:r w:rsidRPr="004B3151">
              <w:rPr>
                <w:kern w:val="0"/>
                <w:sz w:val="18"/>
                <w:szCs w:val="18"/>
              </w:rPr>
              <w:t>Primary Outcomes</w:t>
            </w:r>
            <w:r w:rsidR="005C332B" w:rsidRPr="004B3151">
              <w:rPr>
                <w:kern w:val="0"/>
                <w:sz w:val="18"/>
                <w:szCs w:val="18"/>
              </w:rPr>
              <w:t xml:space="preserve">: </w:t>
            </w:r>
            <w:r w:rsidR="00F1319B" w:rsidRPr="004C1231">
              <w:rPr>
                <w:kern w:val="0"/>
                <w:sz w:val="18"/>
                <w:szCs w:val="18"/>
              </w:rPr>
              <w:t>Overall</w:t>
            </w:r>
            <w:r w:rsidR="00F1319B" w:rsidRPr="004C1231">
              <w:rPr>
                <w:iCs/>
                <w:kern w:val="0"/>
                <w:sz w:val="18"/>
                <w:szCs w:val="18"/>
              </w:rPr>
              <w:t xml:space="preserve"> survival, progression-free survival</w:t>
            </w:r>
            <w:r w:rsidR="005C332B" w:rsidRPr="004C1231">
              <w:rPr>
                <w:iCs/>
                <w:kern w:val="0"/>
                <w:sz w:val="18"/>
                <w:szCs w:val="18"/>
              </w:rPr>
              <w:t xml:space="preserve">. </w:t>
            </w:r>
            <w:r w:rsidR="00F1319B" w:rsidRPr="007369EE">
              <w:rPr>
                <w:iCs/>
                <w:color w:val="FF0000"/>
                <w:kern w:val="0"/>
                <w:sz w:val="18"/>
                <w:szCs w:val="18"/>
              </w:rPr>
              <w:t xml:space="preserve"> </w:t>
            </w:r>
            <w:r w:rsidR="004C1231" w:rsidRPr="004B3151">
              <w:rPr>
                <w:iCs/>
                <w:kern w:val="0"/>
                <w:sz w:val="18"/>
                <w:szCs w:val="18"/>
              </w:rPr>
              <w:t xml:space="preserve">Additional outcomes: </w:t>
            </w:r>
            <w:r w:rsidR="00F1319B" w:rsidRPr="004C1231">
              <w:rPr>
                <w:iCs/>
                <w:kern w:val="0"/>
                <w:sz w:val="18"/>
                <w:szCs w:val="18"/>
              </w:rPr>
              <w:t xml:space="preserve">overall response rate, </w:t>
            </w:r>
            <w:r w:rsidR="00F1319B" w:rsidRPr="004C1231">
              <w:rPr>
                <w:kern w:val="0"/>
                <w:sz w:val="18"/>
                <w:szCs w:val="18"/>
              </w:rPr>
              <w:t>Grade ≥ 3 T</w:t>
            </w:r>
            <w:r w:rsidR="00F1319B" w:rsidRPr="004C1231">
              <w:rPr>
                <w:iCs/>
                <w:kern w:val="0"/>
                <w:sz w:val="18"/>
                <w:szCs w:val="18"/>
              </w:rPr>
              <w:t xml:space="preserve">reatment-related adverse events </w:t>
            </w:r>
          </w:p>
        </w:tc>
      </w:tr>
      <w:tr w:rsidR="00F1319B" w14:paraId="53F9841A" w14:textId="77777777" w:rsidTr="00954B1C">
        <w:trPr>
          <w:trHeight w:val="460"/>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DE26525" w14:textId="77777777" w:rsidR="00F1319B" w:rsidRDefault="00F1319B" w:rsidP="00954B1C">
            <w:pPr>
              <w:spacing w:after="0" w:line="480" w:lineRule="auto"/>
              <w:rPr>
                <w:rFonts w:cs="Tahoma"/>
                <w:color w:val="000000"/>
                <w:kern w:val="0"/>
                <w:sz w:val="18"/>
                <w:szCs w:val="18"/>
              </w:rPr>
            </w:pPr>
            <w:r>
              <w:rPr>
                <w:rFonts w:cs="Tahoma"/>
                <w:color w:val="000000"/>
                <w:kern w:val="0"/>
                <w:sz w:val="18"/>
                <w:szCs w:val="18"/>
              </w:rPr>
              <w:t>Study design</w:t>
            </w:r>
          </w:p>
        </w:tc>
        <w:tc>
          <w:tcPr>
            <w:tcW w:w="8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14F22DF" w14:textId="77777777" w:rsidR="00F1319B" w:rsidRDefault="00F1319B" w:rsidP="00954B1C">
            <w:pPr>
              <w:autoSpaceDE w:val="0"/>
              <w:spacing w:after="0" w:line="480" w:lineRule="auto"/>
              <w:jc w:val="both"/>
              <w:rPr>
                <w:color w:val="000000"/>
                <w:kern w:val="0"/>
                <w:sz w:val="18"/>
                <w:szCs w:val="18"/>
              </w:rPr>
            </w:pPr>
            <w:r>
              <w:rPr>
                <w:color w:val="000000"/>
                <w:kern w:val="0"/>
                <w:sz w:val="18"/>
                <w:szCs w:val="18"/>
              </w:rPr>
              <w:t>randomised controlled trials</w:t>
            </w:r>
          </w:p>
        </w:tc>
      </w:tr>
      <w:tr w:rsidR="00F1319B" w14:paraId="0011A738" w14:textId="77777777" w:rsidTr="00954B1C">
        <w:trPr>
          <w:trHeight w:val="460"/>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4DB10A" w14:textId="77777777" w:rsidR="00F1319B" w:rsidRDefault="00F1319B" w:rsidP="00954B1C">
            <w:pPr>
              <w:spacing w:after="0" w:line="480" w:lineRule="auto"/>
              <w:rPr>
                <w:rFonts w:cs="Tahoma"/>
                <w:color w:val="000000"/>
                <w:kern w:val="0"/>
                <w:sz w:val="18"/>
                <w:szCs w:val="18"/>
              </w:rPr>
            </w:pPr>
            <w:r>
              <w:rPr>
                <w:rFonts w:cs="Tahoma"/>
                <w:color w:val="000000"/>
                <w:kern w:val="0"/>
                <w:sz w:val="18"/>
                <w:szCs w:val="18"/>
              </w:rPr>
              <w:t>Exclusion criteria</w:t>
            </w:r>
          </w:p>
        </w:tc>
        <w:tc>
          <w:tcPr>
            <w:tcW w:w="8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D8D988A" w14:textId="77777777" w:rsidR="00F1319B" w:rsidRDefault="00F1319B" w:rsidP="00954B1C">
            <w:pPr>
              <w:autoSpaceDE w:val="0"/>
              <w:spacing w:after="0" w:line="480" w:lineRule="auto"/>
              <w:jc w:val="both"/>
              <w:rPr>
                <w:color w:val="000000"/>
                <w:kern w:val="0"/>
                <w:sz w:val="18"/>
                <w:szCs w:val="18"/>
              </w:rPr>
            </w:pPr>
            <w:r>
              <w:rPr>
                <w:color w:val="000000"/>
                <w:kern w:val="0"/>
                <w:sz w:val="18"/>
                <w:szCs w:val="18"/>
              </w:rPr>
              <w:t>Studies in first-line treatment for advanced and metastatic gastric cancer, conference papers, commentaries, abstracts, and letters, where the full paper was unobtainable.</w:t>
            </w:r>
          </w:p>
          <w:p w14:paraId="0C2199B0" w14:textId="77777777" w:rsidR="00F1319B" w:rsidRDefault="00F1319B" w:rsidP="00954B1C">
            <w:pPr>
              <w:autoSpaceDE w:val="0"/>
              <w:spacing w:after="0" w:line="480" w:lineRule="auto"/>
              <w:jc w:val="both"/>
              <w:rPr>
                <w:color w:val="000000"/>
                <w:kern w:val="0"/>
                <w:sz w:val="18"/>
                <w:szCs w:val="18"/>
              </w:rPr>
            </w:pPr>
            <w:r>
              <w:rPr>
                <w:color w:val="000000"/>
                <w:kern w:val="0"/>
                <w:sz w:val="18"/>
                <w:szCs w:val="18"/>
              </w:rPr>
              <w:t>Subgroup, exploratory and post-hoc analysis of original trials.</w:t>
            </w:r>
          </w:p>
        </w:tc>
      </w:tr>
      <w:tr w:rsidR="00F1319B" w14:paraId="34B16010" w14:textId="77777777" w:rsidTr="00954B1C">
        <w:trPr>
          <w:trHeight w:val="460"/>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048BE40" w14:textId="77777777" w:rsidR="00F1319B" w:rsidRDefault="00F1319B" w:rsidP="00954B1C">
            <w:pPr>
              <w:spacing w:after="0" w:line="480" w:lineRule="auto"/>
              <w:rPr>
                <w:color w:val="000000"/>
                <w:kern w:val="0"/>
                <w:sz w:val="18"/>
                <w:szCs w:val="18"/>
              </w:rPr>
            </w:pPr>
            <w:r>
              <w:rPr>
                <w:color w:val="000000"/>
                <w:kern w:val="0"/>
                <w:sz w:val="18"/>
                <w:szCs w:val="18"/>
              </w:rPr>
              <w:t xml:space="preserve">Language </w:t>
            </w:r>
          </w:p>
        </w:tc>
        <w:tc>
          <w:tcPr>
            <w:tcW w:w="8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1B76BDA" w14:textId="77777777" w:rsidR="00F1319B" w:rsidRDefault="00F1319B" w:rsidP="00954B1C">
            <w:pPr>
              <w:autoSpaceDE w:val="0"/>
              <w:spacing w:after="0" w:line="480" w:lineRule="auto"/>
              <w:jc w:val="both"/>
              <w:rPr>
                <w:color w:val="000000"/>
                <w:kern w:val="0"/>
                <w:sz w:val="18"/>
                <w:szCs w:val="18"/>
              </w:rPr>
            </w:pPr>
            <w:r>
              <w:rPr>
                <w:color w:val="000000"/>
                <w:kern w:val="0"/>
                <w:sz w:val="18"/>
                <w:szCs w:val="18"/>
              </w:rPr>
              <w:t>English only</w:t>
            </w:r>
          </w:p>
        </w:tc>
      </w:tr>
      <w:tr w:rsidR="00F1319B" w14:paraId="24699D08" w14:textId="77777777" w:rsidTr="00954B1C">
        <w:trPr>
          <w:trHeight w:val="460"/>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3BF25CC" w14:textId="77777777" w:rsidR="00F1319B" w:rsidRDefault="00F1319B" w:rsidP="00954B1C">
            <w:pPr>
              <w:spacing w:after="0" w:line="480" w:lineRule="auto"/>
              <w:rPr>
                <w:color w:val="000000"/>
                <w:kern w:val="0"/>
                <w:sz w:val="18"/>
                <w:szCs w:val="18"/>
              </w:rPr>
            </w:pPr>
            <w:r>
              <w:rPr>
                <w:color w:val="000000"/>
                <w:kern w:val="0"/>
                <w:sz w:val="18"/>
                <w:szCs w:val="18"/>
              </w:rPr>
              <w:t>Time period</w:t>
            </w:r>
          </w:p>
        </w:tc>
        <w:tc>
          <w:tcPr>
            <w:tcW w:w="8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719D0BD" w14:textId="77777777" w:rsidR="00F1319B" w:rsidRDefault="00F1319B" w:rsidP="00954B1C">
            <w:pPr>
              <w:autoSpaceDE w:val="0"/>
              <w:spacing w:after="0" w:line="480" w:lineRule="auto"/>
              <w:jc w:val="both"/>
              <w:rPr>
                <w:color w:val="000000"/>
                <w:kern w:val="0"/>
                <w:sz w:val="18"/>
                <w:szCs w:val="18"/>
              </w:rPr>
            </w:pPr>
            <w:r>
              <w:rPr>
                <w:color w:val="000000"/>
                <w:kern w:val="0"/>
                <w:sz w:val="18"/>
                <w:szCs w:val="18"/>
              </w:rPr>
              <w:t>2009 to 29 May 2024</w:t>
            </w:r>
          </w:p>
        </w:tc>
      </w:tr>
    </w:tbl>
    <w:p w14:paraId="02BA027E" w14:textId="77777777" w:rsidR="00F1319B" w:rsidRDefault="00F1319B" w:rsidP="00F1319B">
      <w:pPr>
        <w:spacing w:line="276" w:lineRule="auto"/>
        <w:rPr>
          <w:rFonts w:ascii="Times New Roman" w:hAnsi="Times New Roman"/>
          <w:sz w:val="20"/>
          <w:szCs w:val="20"/>
        </w:rPr>
      </w:pPr>
      <w:r>
        <w:rPr>
          <w:rFonts w:cs="Tahoma"/>
        </w:rPr>
        <w:t xml:space="preserve">*ESMO: </w:t>
      </w:r>
      <w:r w:rsidRPr="00861EDF">
        <w:rPr>
          <w:rFonts w:ascii="Times New Roman" w:hAnsi="Times New Roman"/>
          <w:sz w:val="20"/>
          <w:szCs w:val="20"/>
        </w:rPr>
        <w:t>European Society for Medical Oncology</w:t>
      </w:r>
      <w:r>
        <w:rPr>
          <w:rFonts w:ascii="Times New Roman" w:hAnsi="Times New Roman"/>
          <w:sz w:val="20"/>
          <w:szCs w:val="20"/>
        </w:rPr>
        <w:t>; NCCN:</w:t>
      </w:r>
      <w:r w:rsidRPr="00861EDF">
        <w:rPr>
          <w:rFonts w:ascii="Times New Roman" w:hAnsi="Times New Roman"/>
          <w:sz w:val="20"/>
          <w:szCs w:val="20"/>
        </w:rPr>
        <w:t xml:space="preserve"> National Comprehensive Cancer Network</w:t>
      </w:r>
    </w:p>
    <w:p w14:paraId="012D2A21" w14:textId="77777777" w:rsidR="00A360B7" w:rsidRDefault="00A360B7" w:rsidP="00A360B7">
      <w:pPr>
        <w:rPr>
          <w:rStyle w:val="normaltextrun"/>
          <w:rFonts w:cs="Calibri"/>
          <w:b/>
          <w:bCs/>
          <w:color w:val="000000"/>
          <w:shd w:val="clear" w:color="auto" w:fill="FFFFFF"/>
          <w:lang w:val="en-GB"/>
        </w:rPr>
      </w:pPr>
    </w:p>
    <w:p w14:paraId="292A35A8" w14:textId="77777777" w:rsidR="00A360B7" w:rsidRDefault="00A360B7" w:rsidP="00A360B7">
      <w:pPr>
        <w:rPr>
          <w:rStyle w:val="normaltextrun"/>
          <w:rFonts w:cs="Calibri"/>
          <w:b/>
          <w:bCs/>
          <w:color w:val="000000"/>
          <w:shd w:val="clear" w:color="auto" w:fill="FFFFFF"/>
          <w:lang w:val="en-GB"/>
        </w:rPr>
      </w:pPr>
    </w:p>
    <w:p w14:paraId="1FB76F42" w14:textId="77777777" w:rsidR="00A360B7" w:rsidRDefault="00A360B7" w:rsidP="00A360B7">
      <w:pPr>
        <w:rPr>
          <w:rStyle w:val="normaltextrun"/>
          <w:rFonts w:cs="Calibri"/>
          <w:b/>
          <w:bCs/>
          <w:color w:val="000000"/>
          <w:shd w:val="clear" w:color="auto" w:fill="FFFFFF"/>
          <w:lang w:val="en-GB"/>
        </w:rPr>
      </w:pPr>
    </w:p>
    <w:p w14:paraId="76A6FCE8" w14:textId="77777777" w:rsidR="00A360B7" w:rsidRDefault="00A360B7" w:rsidP="00A360B7">
      <w:pPr>
        <w:rPr>
          <w:rStyle w:val="normaltextrun"/>
          <w:rFonts w:cs="Calibri"/>
          <w:b/>
          <w:bCs/>
          <w:color w:val="000000"/>
          <w:shd w:val="clear" w:color="auto" w:fill="FFFFFF"/>
          <w:lang w:val="en-GB"/>
        </w:rPr>
      </w:pPr>
    </w:p>
    <w:p w14:paraId="06214929" w14:textId="77777777" w:rsidR="00A360B7" w:rsidRDefault="00A360B7" w:rsidP="00A360B7">
      <w:pPr>
        <w:rPr>
          <w:rStyle w:val="normaltextrun"/>
          <w:rFonts w:cs="Calibri"/>
          <w:b/>
          <w:bCs/>
          <w:color w:val="000000"/>
          <w:shd w:val="clear" w:color="auto" w:fill="FFFFFF"/>
          <w:lang w:val="en-GB"/>
        </w:rPr>
      </w:pPr>
    </w:p>
    <w:p w14:paraId="197D7AFE" w14:textId="77777777" w:rsidR="00A360B7" w:rsidRDefault="00A360B7" w:rsidP="00A360B7">
      <w:pPr>
        <w:rPr>
          <w:rStyle w:val="normaltextrun"/>
          <w:rFonts w:cs="Calibri"/>
          <w:b/>
          <w:bCs/>
          <w:color w:val="000000"/>
          <w:shd w:val="clear" w:color="auto" w:fill="FFFFFF"/>
          <w:lang w:val="en-GB"/>
        </w:rPr>
      </w:pPr>
    </w:p>
    <w:p w14:paraId="356A92A9" w14:textId="77777777" w:rsidR="00A360B7" w:rsidRDefault="00A360B7" w:rsidP="00A360B7">
      <w:pPr>
        <w:rPr>
          <w:rStyle w:val="normaltextrun"/>
          <w:rFonts w:cs="Calibri"/>
          <w:b/>
          <w:bCs/>
          <w:color w:val="000000"/>
          <w:shd w:val="clear" w:color="auto" w:fill="FFFFFF"/>
          <w:lang w:val="en-GB"/>
        </w:rPr>
      </w:pPr>
    </w:p>
    <w:p w14:paraId="34FE534C" w14:textId="7DE42BA0" w:rsidR="00F1319B" w:rsidRDefault="00A360B7" w:rsidP="00A360B7">
      <w:pPr>
        <w:rPr>
          <w:rStyle w:val="normaltextrun"/>
          <w:rFonts w:cs="Calibri"/>
          <w:b/>
          <w:bCs/>
          <w:color w:val="000000"/>
          <w:shd w:val="clear" w:color="auto" w:fill="FFFFFF"/>
          <w:lang w:val="en-GB"/>
        </w:rPr>
      </w:pPr>
      <w:r>
        <w:rPr>
          <w:rStyle w:val="normaltextrun"/>
          <w:rFonts w:cs="Calibri"/>
          <w:b/>
          <w:bCs/>
          <w:color w:val="000000"/>
          <w:shd w:val="clear" w:color="auto" w:fill="FFFFFF"/>
          <w:lang w:val="en-GB"/>
        </w:rPr>
        <w:t>Fig 1: PRISMA flow chart</w:t>
      </w:r>
    </w:p>
    <w:p w14:paraId="2303C3CA" w14:textId="35AA1E68" w:rsidR="00CF5DBF" w:rsidRPr="00A360B7" w:rsidRDefault="00CF5DBF" w:rsidP="00A360B7">
      <w:pPr>
        <w:rPr>
          <w:rFonts w:cs="Calibri"/>
          <w:b/>
          <w:bCs/>
          <w:color w:val="000000"/>
          <w:shd w:val="clear" w:color="auto" w:fill="FFFFFF"/>
          <w:lang w:val="en-GB"/>
        </w:rPr>
      </w:pPr>
      <w:r w:rsidRPr="00CF5DBF">
        <w:rPr>
          <w:rFonts w:cs="Calibri"/>
          <w:b/>
          <w:bCs/>
          <w:noProof/>
          <w:color w:val="000000"/>
          <w:shd w:val="clear" w:color="auto" w:fill="FFFFFF"/>
          <w:lang w:val="en-GB"/>
        </w:rPr>
        <w:drawing>
          <wp:inline distT="0" distB="0" distL="0" distR="0" wp14:anchorId="5A5D52C6" wp14:editId="4F8071DE">
            <wp:extent cx="5553850" cy="6516009"/>
            <wp:effectExtent l="0" t="0" r="8890" b="0"/>
            <wp:docPr id="756658949" name="Picture 1" descr="A screenshot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58949" name="Picture 1" descr="A screenshot of a flowchart&#10;&#10;AI-generated content may be incorrect."/>
                    <pic:cNvPicPr/>
                  </pic:nvPicPr>
                  <pic:blipFill>
                    <a:blip r:embed="rId8"/>
                    <a:stretch>
                      <a:fillRect/>
                    </a:stretch>
                  </pic:blipFill>
                  <pic:spPr>
                    <a:xfrm>
                      <a:off x="0" y="0"/>
                      <a:ext cx="5553850" cy="6516009"/>
                    </a:xfrm>
                    <a:prstGeom prst="rect">
                      <a:avLst/>
                    </a:prstGeom>
                  </pic:spPr>
                </pic:pic>
              </a:graphicData>
            </a:graphic>
          </wp:inline>
        </w:drawing>
      </w:r>
    </w:p>
    <w:p w14:paraId="1BCE54F1" w14:textId="0D9D3801" w:rsidR="00F1319B" w:rsidRDefault="00F1319B" w:rsidP="00F1319B">
      <w:pPr>
        <w:spacing w:line="276" w:lineRule="auto"/>
        <w:rPr>
          <w:noProof/>
        </w:rPr>
      </w:pPr>
    </w:p>
    <w:p w14:paraId="62890EC2" w14:textId="77777777" w:rsidR="00CF5DBF" w:rsidRDefault="00CF5DBF" w:rsidP="00F1319B">
      <w:pPr>
        <w:spacing w:line="276" w:lineRule="auto"/>
        <w:rPr>
          <w:rFonts w:ascii="Times New Roman" w:hAnsi="Times New Roman"/>
          <w:sz w:val="20"/>
          <w:szCs w:val="20"/>
        </w:rPr>
      </w:pPr>
    </w:p>
    <w:p w14:paraId="145A2B19" w14:textId="77777777" w:rsidR="00F1319B" w:rsidRPr="0045175C" w:rsidRDefault="00F1319B" w:rsidP="00F1319B">
      <w:pPr>
        <w:spacing w:line="276" w:lineRule="auto"/>
        <w:rPr>
          <w:rFonts w:ascii="Times New Roman" w:hAnsi="Times New Roman"/>
          <w:sz w:val="20"/>
          <w:szCs w:val="20"/>
        </w:rPr>
      </w:pPr>
    </w:p>
    <w:p w14:paraId="0E90C685" w14:textId="77777777" w:rsidR="00F1319B" w:rsidRDefault="00F1319B">
      <w:pPr>
        <w:rPr>
          <w:rStyle w:val="normaltextrun"/>
          <w:rFonts w:cs="Calibri"/>
          <w:b/>
          <w:bCs/>
          <w:color w:val="000000"/>
          <w:shd w:val="clear" w:color="auto" w:fill="FFFFFF"/>
          <w:lang w:val="en-GB"/>
        </w:rPr>
      </w:pPr>
    </w:p>
    <w:p w14:paraId="5B37FFBC" w14:textId="77777777" w:rsidR="00F1319B" w:rsidRDefault="00F1319B">
      <w:pPr>
        <w:rPr>
          <w:rStyle w:val="normaltextrun"/>
          <w:rFonts w:cs="Calibri"/>
          <w:b/>
          <w:bCs/>
          <w:color w:val="000000"/>
          <w:shd w:val="clear" w:color="auto" w:fill="FFFFFF"/>
          <w:lang w:val="en-GB"/>
        </w:rPr>
      </w:pPr>
    </w:p>
    <w:p w14:paraId="47D80CB9" w14:textId="77777777" w:rsidR="00F1319B" w:rsidRDefault="00F1319B">
      <w:pPr>
        <w:rPr>
          <w:rStyle w:val="normaltextrun"/>
          <w:rFonts w:cs="Calibri"/>
          <w:b/>
          <w:bCs/>
          <w:color w:val="000000"/>
          <w:shd w:val="clear" w:color="auto" w:fill="FFFFFF"/>
          <w:lang w:val="en-GB"/>
        </w:rPr>
      </w:pPr>
    </w:p>
    <w:p w14:paraId="0D0DA32E" w14:textId="1CB60F74" w:rsidR="0049294C" w:rsidRDefault="00A360B7">
      <w:r>
        <w:t xml:space="preserve">Fig 2: </w:t>
      </w:r>
      <w:r>
        <w:rPr>
          <w:lang w:val="en-US"/>
        </w:rPr>
        <w:t xml:space="preserve">Bayesian Network Meta-Analysis of </w:t>
      </w:r>
      <w:r>
        <w:t>Overall Survival </w:t>
      </w:r>
    </w:p>
    <w:p w14:paraId="0D0DA32F" w14:textId="2C4CC835" w:rsidR="0049294C" w:rsidRPr="008949B6" w:rsidRDefault="00F1319B" w:rsidP="008949B6">
      <w:pPr>
        <w:jc w:val="both"/>
        <w:rPr>
          <w:rFonts w:cs="Calibri"/>
        </w:rPr>
      </w:pPr>
      <w:r>
        <w:rPr>
          <w:noProof/>
        </w:rPr>
        <w:drawing>
          <wp:inline distT="0" distB="0" distL="0" distR="0" wp14:anchorId="0D0DA32E" wp14:editId="0D0DA32F">
            <wp:extent cx="5731514" cy="3540757"/>
            <wp:effectExtent l="0" t="0" r="2536" b="2543"/>
            <wp:docPr id="142951445" name="Picture 2" descr="Picture 1, Pictur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5731514" cy="3540757"/>
                    </a:xfrm>
                    <a:prstGeom prst="rect">
                      <a:avLst/>
                    </a:prstGeom>
                    <a:noFill/>
                    <a:ln>
                      <a:noFill/>
                      <a:prstDash/>
                    </a:ln>
                  </pic:spPr>
                </pic:pic>
              </a:graphicData>
            </a:graphic>
          </wp:inline>
        </w:drawing>
      </w:r>
      <w:r>
        <w:br/>
      </w:r>
      <w:r w:rsidR="008949B6">
        <w:rPr>
          <w:rFonts w:cs="Calibri"/>
        </w:rPr>
        <w:t xml:space="preserve">Fig 3: </w:t>
      </w:r>
      <w:r w:rsidR="008949B6">
        <w:rPr>
          <w:lang w:val="en-US"/>
        </w:rPr>
        <w:t>Bayesian Network Meta-Analysis</w:t>
      </w:r>
      <w:r w:rsidR="008949B6">
        <w:rPr>
          <w:rFonts w:cs="Calibri"/>
          <w:lang w:val="en-US"/>
        </w:rPr>
        <w:t xml:space="preserve"> of </w:t>
      </w:r>
      <w:r w:rsidR="008949B6">
        <w:rPr>
          <w:rFonts w:cs="Calibri"/>
        </w:rPr>
        <w:t>Progression Free Survival</w:t>
      </w:r>
    </w:p>
    <w:p w14:paraId="0D0DA330" w14:textId="77777777" w:rsidR="0049294C" w:rsidRDefault="00F1319B">
      <w:r>
        <w:rPr>
          <w:noProof/>
        </w:rPr>
        <w:drawing>
          <wp:inline distT="0" distB="0" distL="0" distR="0" wp14:anchorId="0D0DA330" wp14:editId="0D0DA331">
            <wp:extent cx="5731514" cy="3742053"/>
            <wp:effectExtent l="0" t="0" r="2536" b="0"/>
            <wp:docPr id="120297884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31514" cy="3742053"/>
                    </a:xfrm>
                    <a:prstGeom prst="rect">
                      <a:avLst/>
                    </a:prstGeom>
                    <a:noFill/>
                    <a:ln>
                      <a:noFill/>
                      <a:prstDash/>
                    </a:ln>
                  </pic:spPr>
                </pic:pic>
              </a:graphicData>
            </a:graphic>
          </wp:inline>
        </w:drawing>
      </w:r>
    </w:p>
    <w:p w14:paraId="720F4D46" w14:textId="77777777" w:rsidR="008949B6" w:rsidRDefault="008949B6"/>
    <w:p w14:paraId="29707BA3" w14:textId="77777777" w:rsidR="008949B6" w:rsidRDefault="008949B6" w:rsidP="008949B6">
      <w:pPr>
        <w:jc w:val="both"/>
        <w:rPr>
          <w:rFonts w:cs="Calibri"/>
        </w:rPr>
      </w:pPr>
    </w:p>
    <w:p w14:paraId="579CBBC4" w14:textId="77777777" w:rsidR="008949B6" w:rsidRDefault="008949B6" w:rsidP="008949B6">
      <w:pPr>
        <w:jc w:val="both"/>
        <w:rPr>
          <w:rFonts w:cs="Calibri"/>
        </w:rPr>
      </w:pPr>
    </w:p>
    <w:p w14:paraId="37933B3F" w14:textId="6C84C4E5" w:rsidR="00A360B7" w:rsidRPr="008949B6" w:rsidRDefault="008949B6" w:rsidP="00A360B7">
      <w:pPr>
        <w:jc w:val="both"/>
      </w:pPr>
      <w:r>
        <w:rPr>
          <w:rFonts w:cs="Calibri"/>
        </w:rPr>
        <w:t xml:space="preserve">Fig 4: </w:t>
      </w:r>
      <w:r>
        <w:rPr>
          <w:lang w:val="en-US"/>
        </w:rPr>
        <w:t xml:space="preserve">Bayesian Network Meta-Analysis </w:t>
      </w:r>
      <w:r>
        <w:rPr>
          <w:rFonts w:cs="Calibri"/>
          <w:lang w:val="en-US"/>
        </w:rPr>
        <w:t xml:space="preserve">of </w:t>
      </w:r>
      <w:r>
        <w:rPr>
          <w:rFonts w:cs="Calibri"/>
        </w:rPr>
        <w:t>Objective Response Rate</w:t>
      </w:r>
    </w:p>
    <w:p w14:paraId="10F20C8F" w14:textId="0996C0DA" w:rsidR="00A360B7" w:rsidRDefault="00A360B7" w:rsidP="00A360B7">
      <w:pPr>
        <w:jc w:val="both"/>
      </w:pPr>
      <w:r>
        <w:rPr>
          <w:noProof/>
        </w:rPr>
        <w:drawing>
          <wp:inline distT="0" distB="0" distL="0" distR="0" wp14:anchorId="777129FB" wp14:editId="40217151">
            <wp:extent cx="5731510" cy="3669030"/>
            <wp:effectExtent l="0" t="0" r="2540" b="7620"/>
            <wp:docPr id="50065847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31510" cy="3669030"/>
                    </a:xfrm>
                    <a:prstGeom prst="rect">
                      <a:avLst/>
                    </a:prstGeom>
                    <a:noFill/>
                    <a:ln>
                      <a:noFill/>
                      <a:prstDash/>
                    </a:ln>
                  </pic:spPr>
                </pic:pic>
              </a:graphicData>
            </a:graphic>
          </wp:inline>
        </w:drawing>
      </w:r>
    </w:p>
    <w:p w14:paraId="47D22ED6" w14:textId="77777777" w:rsidR="008949B6" w:rsidRDefault="008949B6" w:rsidP="008949B6">
      <w:pPr>
        <w:jc w:val="both"/>
        <w:rPr>
          <w:rFonts w:cs="Calibri"/>
          <w:lang w:val="en-US"/>
        </w:rPr>
      </w:pPr>
      <w:r>
        <w:rPr>
          <w:rFonts w:cs="Calibri"/>
          <w:lang w:val="en-US"/>
        </w:rPr>
        <w:t>Fig 5: Bayesian Network Meta-Analysis of Grade ≥ 3 TRAEs</w:t>
      </w:r>
    </w:p>
    <w:p w14:paraId="7839D99D" w14:textId="3D0B17B4" w:rsidR="008949B6" w:rsidRDefault="008949B6" w:rsidP="008949B6">
      <w:pPr>
        <w:jc w:val="both"/>
        <w:rPr>
          <w:rFonts w:cs="Calibri"/>
          <w:lang w:val="en-US"/>
        </w:rPr>
      </w:pPr>
      <w:r>
        <w:rPr>
          <w:noProof/>
        </w:rPr>
        <w:drawing>
          <wp:inline distT="0" distB="0" distL="0" distR="0" wp14:anchorId="6D993831" wp14:editId="59A62862">
            <wp:extent cx="5731510" cy="3744595"/>
            <wp:effectExtent l="0" t="0" r="2540" b="8255"/>
            <wp:docPr id="97507744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31510" cy="3744595"/>
                    </a:xfrm>
                    <a:prstGeom prst="rect">
                      <a:avLst/>
                    </a:prstGeom>
                    <a:noFill/>
                    <a:ln>
                      <a:noFill/>
                      <a:prstDash/>
                    </a:ln>
                  </pic:spPr>
                </pic:pic>
              </a:graphicData>
            </a:graphic>
          </wp:inline>
        </w:drawing>
      </w:r>
    </w:p>
    <w:p w14:paraId="5D159668" w14:textId="77777777" w:rsidR="008949B6" w:rsidRDefault="008949B6" w:rsidP="008949B6">
      <w:pPr>
        <w:jc w:val="both"/>
        <w:rPr>
          <w:rFonts w:cs="Calibri"/>
          <w:b/>
          <w:bCs/>
          <w:lang w:val="en-GB"/>
        </w:rPr>
      </w:pPr>
    </w:p>
    <w:p w14:paraId="1D3937B6" w14:textId="77777777" w:rsidR="008949B6" w:rsidRDefault="008949B6" w:rsidP="008949B6">
      <w:pPr>
        <w:jc w:val="both"/>
        <w:rPr>
          <w:rFonts w:cs="Calibri"/>
          <w:b/>
          <w:bCs/>
          <w:lang w:val="en-GB"/>
        </w:rPr>
      </w:pPr>
    </w:p>
    <w:p w14:paraId="4D6E4598" w14:textId="2037F185" w:rsidR="008949B6" w:rsidRDefault="008949B6" w:rsidP="008949B6">
      <w:pPr>
        <w:jc w:val="both"/>
        <w:rPr>
          <w:rFonts w:cs="Calibri"/>
          <w:b/>
          <w:bCs/>
          <w:lang w:val="en-GB"/>
        </w:rPr>
      </w:pPr>
      <w:r>
        <w:rPr>
          <w:rFonts w:cs="Calibri"/>
          <w:b/>
          <w:bCs/>
          <w:lang w:val="en-GB"/>
        </w:rPr>
        <w:t>Fig 6: Flow chart depicting the process of exclusion and final inclusion of studies in the OS network</w:t>
      </w:r>
    </w:p>
    <w:p w14:paraId="4689DC73" w14:textId="3EE88CD4" w:rsidR="008949B6" w:rsidRDefault="008949B6" w:rsidP="008949B6">
      <w:pPr>
        <w:jc w:val="both"/>
        <w:rPr>
          <w:rFonts w:cs="Calibri"/>
        </w:rPr>
      </w:pPr>
      <w:r>
        <w:rPr>
          <w:noProof/>
        </w:rPr>
        <w:drawing>
          <wp:inline distT="0" distB="0" distL="0" distR="0" wp14:anchorId="7A6F8471" wp14:editId="2338E4AE">
            <wp:extent cx="5133975" cy="7524750"/>
            <wp:effectExtent l="0" t="0" r="9525" b="0"/>
            <wp:docPr id="1980869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69304" name=""/>
                    <pic:cNvPicPr/>
                  </pic:nvPicPr>
                  <pic:blipFill>
                    <a:blip r:embed="rId13"/>
                    <a:stretch>
                      <a:fillRect/>
                    </a:stretch>
                  </pic:blipFill>
                  <pic:spPr>
                    <a:xfrm>
                      <a:off x="0" y="0"/>
                      <a:ext cx="5133975" cy="7524750"/>
                    </a:xfrm>
                    <a:prstGeom prst="rect">
                      <a:avLst/>
                    </a:prstGeom>
                  </pic:spPr>
                </pic:pic>
              </a:graphicData>
            </a:graphic>
          </wp:inline>
        </w:drawing>
      </w:r>
    </w:p>
    <w:p w14:paraId="641B17E1" w14:textId="77777777" w:rsidR="008949B6" w:rsidRDefault="008949B6" w:rsidP="008949B6">
      <w:pPr>
        <w:jc w:val="both"/>
        <w:rPr>
          <w:rFonts w:cs="Calibri"/>
          <w:b/>
          <w:bCs/>
          <w:lang w:val="en-GB"/>
        </w:rPr>
      </w:pPr>
    </w:p>
    <w:p w14:paraId="28496AA0" w14:textId="77777777" w:rsidR="008949B6" w:rsidRDefault="008949B6" w:rsidP="008949B6">
      <w:pPr>
        <w:jc w:val="both"/>
        <w:rPr>
          <w:rFonts w:cs="Calibri"/>
          <w:b/>
          <w:bCs/>
          <w:lang w:val="en-GB"/>
        </w:rPr>
      </w:pPr>
    </w:p>
    <w:p w14:paraId="59ED34D9" w14:textId="77777777" w:rsidR="008949B6" w:rsidRDefault="008949B6" w:rsidP="008949B6">
      <w:pPr>
        <w:jc w:val="both"/>
        <w:rPr>
          <w:rFonts w:cs="Calibri"/>
          <w:b/>
          <w:bCs/>
          <w:lang w:val="en-GB"/>
        </w:rPr>
      </w:pPr>
    </w:p>
    <w:p w14:paraId="23F39A17" w14:textId="238C56DD" w:rsidR="008949B6" w:rsidRDefault="008949B6" w:rsidP="008949B6">
      <w:pPr>
        <w:jc w:val="both"/>
        <w:rPr>
          <w:rFonts w:cs="Calibri"/>
          <w:b/>
          <w:bCs/>
          <w:lang w:val="en-GB"/>
        </w:rPr>
      </w:pPr>
      <w:r>
        <w:rPr>
          <w:rFonts w:cs="Calibri"/>
          <w:b/>
          <w:bCs/>
          <w:lang w:val="en-GB"/>
        </w:rPr>
        <w:t xml:space="preserve">Fig 7: Flow chart depicting the process of exclusion and final inclusion of studies in the PFS network </w:t>
      </w:r>
    </w:p>
    <w:p w14:paraId="22368EBF" w14:textId="51E5F4DB" w:rsidR="008949B6" w:rsidRDefault="008949B6" w:rsidP="008949B6">
      <w:pPr>
        <w:jc w:val="both"/>
        <w:rPr>
          <w:rFonts w:cs="Calibri"/>
          <w:b/>
          <w:bCs/>
          <w:lang w:val="en-GB"/>
        </w:rPr>
      </w:pPr>
      <w:r>
        <w:rPr>
          <w:noProof/>
        </w:rPr>
        <w:drawing>
          <wp:inline distT="0" distB="0" distL="0" distR="0" wp14:anchorId="7DEF5F94" wp14:editId="6332B1CA">
            <wp:extent cx="5210175" cy="7486650"/>
            <wp:effectExtent l="0" t="0" r="9525" b="0"/>
            <wp:docPr id="1833283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283034" name=""/>
                    <pic:cNvPicPr/>
                  </pic:nvPicPr>
                  <pic:blipFill>
                    <a:blip r:embed="rId14"/>
                    <a:stretch>
                      <a:fillRect/>
                    </a:stretch>
                  </pic:blipFill>
                  <pic:spPr>
                    <a:xfrm>
                      <a:off x="0" y="0"/>
                      <a:ext cx="5210175" cy="7486650"/>
                    </a:xfrm>
                    <a:prstGeom prst="rect">
                      <a:avLst/>
                    </a:prstGeom>
                  </pic:spPr>
                </pic:pic>
              </a:graphicData>
            </a:graphic>
          </wp:inline>
        </w:drawing>
      </w:r>
    </w:p>
    <w:p w14:paraId="47DA6FE6" w14:textId="77777777" w:rsidR="008949B6" w:rsidRDefault="008949B6" w:rsidP="008949B6">
      <w:pPr>
        <w:jc w:val="both"/>
        <w:rPr>
          <w:rFonts w:cs="Calibri"/>
          <w:b/>
          <w:bCs/>
          <w:lang w:val="en-GB"/>
        </w:rPr>
      </w:pPr>
    </w:p>
    <w:p w14:paraId="00FA460A" w14:textId="77777777" w:rsidR="008949B6" w:rsidRDefault="008949B6" w:rsidP="008949B6">
      <w:pPr>
        <w:jc w:val="both"/>
        <w:rPr>
          <w:rFonts w:cs="Calibri"/>
          <w:b/>
          <w:bCs/>
          <w:lang w:val="en-GB"/>
        </w:rPr>
      </w:pPr>
    </w:p>
    <w:p w14:paraId="4F4AFD39" w14:textId="77777777" w:rsidR="008949B6" w:rsidRDefault="008949B6" w:rsidP="008949B6">
      <w:pPr>
        <w:jc w:val="both"/>
        <w:rPr>
          <w:rFonts w:cs="Calibri"/>
          <w:b/>
          <w:bCs/>
          <w:lang w:val="en-GB"/>
        </w:rPr>
      </w:pPr>
    </w:p>
    <w:p w14:paraId="10A7870B" w14:textId="1C5DA336" w:rsidR="008949B6" w:rsidRDefault="008949B6" w:rsidP="008949B6">
      <w:pPr>
        <w:jc w:val="both"/>
        <w:rPr>
          <w:rFonts w:cs="Calibri"/>
          <w:b/>
          <w:bCs/>
          <w:lang w:val="en-GB"/>
        </w:rPr>
      </w:pPr>
      <w:r>
        <w:rPr>
          <w:rFonts w:cs="Calibri"/>
          <w:b/>
          <w:bCs/>
          <w:lang w:val="en-GB"/>
        </w:rPr>
        <w:t xml:space="preserve">Fig 8: Flow chart depicting the process of exclusion and final inclusion of studies in the ORR network </w:t>
      </w:r>
    </w:p>
    <w:p w14:paraId="4220F4AB" w14:textId="26B61F6F" w:rsidR="008949B6" w:rsidRDefault="008949B6" w:rsidP="008949B6">
      <w:pPr>
        <w:jc w:val="both"/>
        <w:rPr>
          <w:rFonts w:cs="Calibri"/>
          <w:b/>
          <w:bCs/>
          <w:lang w:val="en-GB"/>
        </w:rPr>
      </w:pPr>
      <w:r>
        <w:rPr>
          <w:noProof/>
        </w:rPr>
        <w:drawing>
          <wp:inline distT="0" distB="0" distL="0" distR="0" wp14:anchorId="33E0B74C" wp14:editId="4EE4AD82">
            <wp:extent cx="5038725" cy="7534275"/>
            <wp:effectExtent l="0" t="0" r="9525" b="9525"/>
            <wp:docPr id="989277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277120" name=""/>
                    <pic:cNvPicPr/>
                  </pic:nvPicPr>
                  <pic:blipFill>
                    <a:blip r:embed="rId15"/>
                    <a:stretch>
                      <a:fillRect/>
                    </a:stretch>
                  </pic:blipFill>
                  <pic:spPr>
                    <a:xfrm>
                      <a:off x="0" y="0"/>
                      <a:ext cx="5038725" cy="7534275"/>
                    </a:xfrm>
                    <a:prstGeom prst="rect">
                      <a:avLst/>
                    </a:prstGeom>
                  </pic:spPr>
                </pic:pic>
              </a:graphicData>
            </a:graphic>
          </wp:inline>
        </w:drawing>
      </w:r>
    </w:p>
    <w:p w14:paraId="3DC39CC7" w14:textId="77777777" w:rsidR="008949B6" w:rsidRDefault="008949B6" w:rsidP="008949B6">
      <w:pPr>
        <w:jc w:val="both"/>
        <w:rPr>
          <w:rFonts w:cs="Calibri"/>
          <w:b/>
          <w:bCs/>
          <w:lang w:val="en-GB"/>
        </w:rPr>
      </w:pPr>
    </w:p>
    <w:p w14:paraId="1126E15F" w14:textId="77777777" w:rsidR="008949B6" w:rsidRDefault="008949B6" w:rsidP="008949B6">
      <w:pPr>
        <w:jc w:val="both"/>
        <w:rPr>
          <w:rFonts w:cs="Calibri"/>
          <w:b/>
          <w:bCs/>
          <w:lang w:val="en-GB"/>
        </w:rPr>
      </w:pPr>
    </w:p>
    <w:p w14:paraId="0ECD6F4C" w14:textId="3E710703" w:rsidR="008949B6" w:rsidRDefault="008949B6" w:rsidP="008949B6">
      <w:pPr>
        <w:jc w:val="both"/>
        <w:rPr>
          <w:rFonts w:cs="Calibri"/>
          <w:b/>
          <w:bCs/>
          <w:lang w:val="en-GB"/>
        </w:rPr>
      </w:pPr>
      <w:r>
        <w:rPr>
          <w:rFonts w:cs="Calibri"/>
          <w:b/>
          <w:bCs/>
          <w:lang w:val="en-GB"/>
        </w:rPr>
        <w:lastRenderedPageBreak/>
        <w:t xml:space="preserve">Fig 9: Flow chart depicting the process of exclusion and final inclusion of studies in the Grade ≥ TRAEs network </w:t>
      </w:r>
    </w:p>
    <w:p w14:paraId="504F9AA5" w14:textId="7ED70077" w:rsidR="000B3B93" w:rsidRDefault="000B3B93" w:rsidP="008949B6">
      <w:pPr>
        <w:jc w:val="both"/>
        <w:rPr>
          <w:rFonts w:cs="Calibri"/>
          <w:b/>
          <w:bCs/>
          <w:lang w:val="en-GB"/>
        </w:rPr>
      </w:pPr>
      <w:r w:rsidRPr="000B3B93">
        <w:rPr>
          <w:rFonts w:cs="Calibri"/>
          <w:b/>
          <w:bCs/>
          <w:noProof/>
          <w:lang w:val="en-GB"/>
        </w:rPr>
        <w:drawing>
          <wp:inline distT="0" distB="0" distL="0" distR="0" wp14:anchorId="1939D057" wp14:editId="74EFD354">
            <wp:extent cx="5410955" cy="8354591"/>
            <wp:effectExtent l="0" t="0" r="0" b="8890"/>
            <wp:docPr id="1461345531" name="Picture 1" descr="A flowchar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345531" name="Picture 1" descr="A flowchart of a document&#10;&#10;AI-generated content may be incorrect."/>
                    <pic:cNvPicPr/>
                  </pic:nvPicPr>
                  <pic:blipFill>
                    <a:blip r:embed="rId16"/>
                    <a:stretch>
                      <a:fillRect/>
                    </a:stretch>
                  </pic:blipFill>
                  <pic:spPr>
                    <a:xfrm>
                      <a:off x="0" y="0"/>
                      <a:ext cx="5410955" cy="8354591"/>
                    </a:xfrm>
                    <a:prstGeom prst="rect">
                      <a:avLst/>
                    </a:prstGeom>
                  </pic:spPr>
                </pic:pic>
              </a:graphicData>
            </a:graphic>
          </wp:inline>
        </w:drawing>
      </w:r>
    </w:p>
    <w:p w14:paraId="15C33A83" w14:textId="77777777" w:rsidR="00027527" w:rsidRDefault="00027527" w:rsidP="008949B6">
      <w:pPr>
        <w:jc w:val="both"/>
        <w:rPr>
          <w:rFonts w:cs="Calibri"/>
          <w:b/>
          <w:bCs/>
          <w:lang w:val="en-GB"/>
        </w:rPr>
      </w:pPr>
    </w:p>
    <w:p w14:paraId="2BDFE846" w14:textId="61520EFA" w:rsidR="00027527" w:rsidRDefault="00027527" w:rsidP="008949B6">
      <w:pPr>
        <w:jc w:val="both"/>
        <w:rPr>
          <w:rFonts w:cs="Calibri"/>
          <w:b/>
          <w:bCs/>
          <w:lang w:val="en-GB"/>
        </w:rPr>
      </w:pPr>
      <w:r>
        <w:rPr>
          <w:rFonts w:cs="Calibri"/>
          <w:b/>
          <w:bCs/>
          <w:lang w:val="en-GB"/>
        </w:rPr>
        <w:t xml:space="preserve">Table 2: </w:t>
      </w:r>
      <w:r w:rsidR="00454388">
        <w:rPr>
          <w:rFonts w:cs="Calibri"/>
          <w:b/>
          <w:bCs/>
          <w:lang w:val="en-GB"/>
        </w:rPr>
        <w:t xml:space="preserve">Domain-Level </w:t>
      </w:r>
      <w:r>
        <w:rPr>
          <w:rFonts w:cs="Calibri"/>
          <w:b/>
          <w:bCs/>
          <w:lang w:val="en-GB"/>
        </w:rPr>
        <w:t xml:space="preserve">Risk of Bias </w:t>
      </w:r>
      <w:r w:rsidR="00454388">
        <w:rPr>
          <w:rFonts w:cs="Calibri"/>
          <w:b/>
          <w:bCs/>
          <w:lang w:val="en-GB"/>
        </w:rPr>
        <w:t xml:space="preserve">Assessment </w:t>
      </w:r>
      <w:r>
        <w:rPr>
          <w:rFonts w:cs="Calibri"/>
          <w:b/>
          <w:bCs/>
          <w:lang w:val="en-GB"/>
        </w:rPr>
        <w:t xml:space="preserve">for </w:t>
      </w:r>
      <w:r w:rsidR="00454388">
        <w:rPr>
          <w:rFonts w:cs="Calibri"/>
          <w:b/>
          <w:bCs/>
          <w:lang w:val="en-GB"/>
        </w:rPr>
        <w:t xml:space="preserve">Individual Identified </w:t>
      </w:r>
      <w:r w:rsidR="005650F5">
        <w:rPr>
          <w:rFonts w:cs="Calibri"/>
          <w:b/>
          <w:bCs/>
          <w:lang w:val="en-GB"/>
        </w:rPr>
        <w:t>RCTs (</w:t>
      </w:r>
      <w:r w:rsidR="00454388">
        <w:rPr>
          <w:rFonts w:cs="Calibri"/>
          <w:b/>
          <w:bCs/>
          <w:lang w:val="en-GB"/>
        </w:rPr>
        <w:t>n=44) using Cochrane Collaboration Risk of Bias 1 Tool</w:t>
      </w:r>
    </w:p>
    <w:tbl>
      <w:tblPr>
        <w:tblStyle w:val="TableGrid"/>
        <w:tblW w:w="9209" w:type="dxa"/>
        <w:tblLook w:val="04A0" w:firstRow="1" w:lastRow="0" w:firstColumn="1" w:lastColumn="0" w:noHBand="0" w:noVBand="1"/>
      </w:tblPr>
      <w:tblGrid>
        <w:gridCol w:w="2407"/>
        <w:gridCol w:w="1007"/>
        <w:gridCol w:w="1160"/>
        <w:gridCol w:w="1217"/>
        <w:gridCol w:w="1060"/>
        <w:gridCol w:w="1042"/>
        <w:gridCol w:w="953"/>
        <w:gridCol w:w="800"/>
      </w:tblGrid>
      <w:tr w:rsidR="00027527" w:rsidRPr="00724FF8" w14:paraId="02E1E25C" w14:textId="77777777" w:rsidTr="0080326B">
        <w:trPr>
          <w:trHeight w:val="290"/>
        </w:trPr>
        <w:tc>
          <w:tcPr>
            <w:tcW w:w="2407" w:type="dxa"/>
            <w:noWrap/>
            <w:hideMark/>
          </w:tcPr>
          <w:p w14:paraId="3AE076D8" w14:textId="77777777" w:rsidR="00027527" w:rsidRPr="0080326B" w:rsidRDefault="00027527" w:rsidP="00AF41CC">
            <w:pPr>
              <w:rPr>
                <w:rFonts w:ascii="Calibri" w:hAnsi="Calibri" w:cs="Calibri"/>
                <w:sz w:val="18"/>
                <w:szCs w:val="18"/>
              </w:rPr>
            </w:pPr>
            <w:r w:rsidRPr="0080326B">
              <w:rPr>
                <w:rFonts w:ascii="Calibri" w:hAnsi="Calibri" w:cs="Calibri"/>
                <w:sz w:val="18"/>
                <w:szCs w:val="18"/>
              </w:rPr>
              <w:t>Study</w:t>
            </w:r>
          </w:p>
        </w:tc>
        <w:tc>
          <w:tcPr>
            <w:tcW w:w="940" w:type="dxa"/>
            <w:noWrap/>
            <w:hideMark/>
          </w:tcPr>
          <w:p w14:paraId="503C0DD7" w14:textId="77777777" w:rsidR="00027527" w:rsidRPr="0080326B" w:rsidRDefault="00027527" w:rsidP="00AF41CC">
            <w:pPr>
              <w:rPr>
                <w:rFonts w:ascii="Calibri" w:hAnsi="Calibri" w:cs="Calibri"/>
                <w:sz w:val="18"/>
                <w:szCs w:val="18"/>
              </w:rPr>
            </w:pPr>
            <w:r w:rsidRPr="0080326B">
              <w:rPr>
                <w:rFonts w:ascii="Calibri" w:hAnsi="Calibri" w:cs="Calibri"/>
                <w:sz w:val="18"/>
                <w:szCs w:val="18"/>
              </w:rPr>
              <w:t>Randon sequence generation (selection bias)</w:t>
            </w:r>
          </w:p>
        </w:tc>
        <w:tc>
          <w:tcPr>
            <w:tcW w:w="1080" w:type="dxa"/>
            <w:noWrap/>
            <w:hideMark/>
          </w:tcPr>
          <w:p w14:paraId="2AEBD4FD" w14:textId="77777777" w:rsidR="00027527" w:rsidRPr="0080326B" w:rsidRDefault="00027527" w:rsidP="00AF41CC">
            <w:pPr>
              <w:rPr>
                <w:rFonts w:ascii="Calibri" w:hAnsi="Calibri" w:cs="Calibri"/>
                <w:sz w:val="18"/>
                <w:szCs w:val="18"/>
              </w:rPr>
            </w:pPr>
            <w:r w:rsidRPr="0080326B">
              <w:rPr>
                <w:rFonts w:ascii="Calibri" w:hAnsi="Calibri" w:cs="Calibri"/>
                <w:sz w:val="18"/>
                <w:szCs w:val="18"/>
              </w:rPr>
              <w:t>Allocation concealment (selection bias)</w:t>
            </w:r>
          </w:p>
        </w:tc>
        <w:tc>
          <w:tcPr>
            <w:tcW w:w="1132" w:type="dxa"/>
            <w:noWrap/>
            <w:hideMark/>
          </w:tcPr>
          <w:p w14:paraId="3456A642" w14:textId="77777777" w:rsidR="00027527" w:rsidRPr="0080326B" w:rsidRDefault="00027527" w:rsidP="00AF41CC">
            <w:pPr>
              <w:rPr>
                <w:rFonts w:ascii="Calibri" w:hAnsi="Calibri" w:cs="Calibri"/>
                <w:sz w:val="18"/>
                <w:szCs w:val="18"/>
              </w:rPr>
            </w:pPr>
            <w:r w:rsidRPr="0080326B">
              <w:rPr>
                <w:rFonts w:ascii="Calibri" w:hAnsi="Calibri" w:cs="Calibri"/>
                <w:sz w:val="18"/>
                <w:szCs w:val="18"/>
              </w:rPr>
              <w:t xml:space="preserve">Blinding of participants and personnel (performance bias) </w:t>
            </w:r>
          </w:p>
        </w:tc>
        <w:tc>
          <w:tcPr>
            <w:tcW w:w="988" w:type="dxa"/>
            <w:noWrap/>
            <w:hideMark/>
          </w:tcPr>
          <w:p w14:paraId="7B34FC3A" w14:textId="77777777" w:rsidR="00027527" w:rsidRPr="0080326B" w:rsidRDefault="00027527" w:rsidP="00AF41CC">
            <w:pPr>
              <w:rPr>
                <w:rFonts w:ascii="Calibri" w:hAnsi="Calibri" w:cs="Calibri"/>
                <w:sz w:val="18"/>
                <w:szCs w:val="18"/>
              </w:rPr>
            </w:pPr>
            <w:r w:rsidRPr="0080326B">
              <w:rPr>
                <w:rFonts w:ascii="Calibri" w:hAnsi="Calibri" w:cs="Calibri"/>
                <w:sz w:val="18"/>
                <w:szCs w:val="18"/>
              </w:rPr>
              <w:t>Blinding of outcome assessment (detection bias)</w:t>
            </w:r>
          </w:p>
        </w:tc>
        <w:tc>
          <w:tcPr>
            <w:tcW w:w="972" w:type="dxa"/>
            <w:noWrap/>
            <w:hideMark/>
          </w:tcPr>
          <w:p w14:paraId="3ABD3D80" w14:textId="77777777" w:rsidR="00027527" w:rsidRPr="0080326B" w:rsidRDefault="00027527" w:rsidP="00AF41CC">
            <w:pPr>
              <w:rPr>
                <w:rFonts w:ascii="Calibri" w:hAnsi="Calibri" w:cs="Calibri"/>
                <w:sz w:val="18"/>
                <w:szCs w:val="18"/>
              </w:rPr>
            </w:pPr>
            <w:r w:rsidRPr="0080326B">
              <w:rPr>
                <w:rFonts w:ascii="Calibri" w:hAnsi="Calibri" w:cs="Calibri"/>
                <w:sz w:val="18"/>
                <w:szCs w:val="18"/>
              </w:rPr>
              <w:t>Incomplete outcome data (attrition bias)</w:t>
            </w:r>
          </w:p>
        </w:tc>
        <w:tc>
          <w:tcPr>
            <w:tcW w:w="890" w:type="dxa"/>
            <w:noWrap/>
            <w:hideMark/>
          </w:tcPr>
          <w:p w14:paraId="08ED17DE" w14:textId="77777777" w:rsidR="00027527" w:rsidRPr="0080326B" w:rsidRDefault="00027527" w:rsidP="00AF41CC">
            <w:pPr>
              <w:rPr>
                <w:rFonts w:ascii="Calibri" w:hAnsi="Calibri" w:cs="Calibri"/>
                <w:sz w:val="18"/>
                <w:szCs w:val="18"/>
              </w:rPr>
            </w:pPr>
            <w:r w:rsidRPr="0080326B">
              <w:rPr>
                <w:rFonts w:ascii="Calibri" w:hAnsi="Calibri" w:cs="Calibri"/>
                <w:sz w:val="18"/>
                <w:szCs w:val="18"/>
              </w:rPr>
              <w:t>Selective reporting (reporting bias)</w:t>
            </w:r>
          </w:p>
        </w:tc>
        <w:tc>
          <w:tcPr>
            <w:tcW w:w="800" w:type="dxa"/>
            <w:noWrap/>
            <w:hideMark/>
          </w:tcPr>
          <w:p w14:paraId="0AB95440" w14:textId="77777777" w:rsidR="00027527" w:rsidRPr="0080326B" w:rsidRDefault="00027527" w:rsidP="00AF41CC">
            <w:pPr>
              <w:rPr>
                <w:rFonts w:ascii="Calibri" w:hAnsi="Calibri" w:cs="Calibri"/>
                <w:sz w:val="18"/>
                <w:szCs w:val="18"/>
              </w:rPr>
            </w:pPr>
            <w:r w:rsidRPr="0080326B">
              <w:rPr>
                <w:rFonts w:ascii="Calibri" w:hAnsi="Calibri" w:cs="Calibri"/>
                <w:sz w:val="18"/>
                <w:szCs w:val="18"/>
              </w:rPr>
              <w:t>Other bias</w:t>
            </w:r>
          </w:p>
        </w:tc>
      </w:tr>
      <w:tr w:rsidR="00027527" w:rsidRPr="00724FF8" w14:paraId="09958E46" w14:textId="77777777" w:rsidTr="0080326B">
        <w:trPr>
          <w:trHeight w:val="290"/>
        </w:trPr>
        <w:tc>
          <w:tcPr>
            <w:tcW w:w="9209" w:type="dxa"/>
            <w:gridSpan w:val="8"/>
            <w:noWrap/>
          </w:tcPr>
          <w:p w14:paraId="2EB5A55C" w14:textId="77777777" w:rsidR="00027527" w:rsidRPr="006710FC" w:rsidRDefault="00027527" w:rsidP="00AF41CC">
            <w:pPr>
              <w:rPr>
                <w:rFonts w:ascii="Calibri" w:hAnsi="Calibri" w:cs="Calibri"/>
              </w:rPr>
            </w:pPr>
            <w:r w:rsidRPr="006710FC">
              <w:rPr>
                <w:rFonts w:ascii="Calibri" w:eastAsia="Times New Roman" w:hAnsi="Calibri" w:cs="Calibri"/>
                <w:b/>
                <w:bCs/>
                <w:color w:val="000000"/>
                <w:sz w:val="18"/>
                <w:szCs w:val="18"/>
                <w:lang w:eastAsia="en-IE"/>
              </w:rPr>
              <w:t>Second-line Setting (n=37)</w:t>
            </w:r>
          </w:p>
        </w:tc>
      </w:tr>
      <w:tr w:rsidR="00027527" w:rsidRPr="00724FF8" w14:paraId="6FBE651E" w14:textId="77777777" w:rsidTr="0080326B">
        <w:trPr>
          <w:trHeight w:val="290"/>
        </w:trPr>
        <w:tc>
          <w:tcPr>
            <w:tcW w:w="9209" w:type="dxa"/>
            <w:gridSpan w:val="8"/>
            <w:noWrap/>
          </w:tcPr>
          <w:p w14:paraId="497FC15C" w14:textId="77777777" w:rsidR="00027527" w:rsidRPr="006710FC" w:rsidRDefault="00027527" w:rsidP="00AF41CC">
            <w:pPr>
              <w:pStyle w:val="Heading5"/>
              <w:outlineLvl w:val="4"/>
              <w:rPr>
                <w:rFonts w:ascii="Calibri" w:hAnsi="Calibri" w:cs="Calibri"/>
                <w:sz w:val="18"/>
                <w:szCs w:val="18"/>
                <w:lang w:eastAsia="en-IE"/>
              </w:rPr>
            </w:pPr>
            <w:r w:rsidRPr="006710FC">
              <w:rPr>
                <w:rFonts w:ascii="Calibri" w:hAnsi="Calibri" w:cs="Calibri"/>
                <w:sz w:val="18"/>
                <w:szCs w:val="18"/>
                <w:lang w:eastAsia="en-IE"/>
              </w:rPr>
              <w:t>Paclitaxel versus Paclitaxel in Combination with Various Treatments</w:t>
            </w:r>
          </w:p>
          <w:p w14:paraId="4529CD86" w14:textId="77777777" w:rsidR="00027527" w:rsidRPr="00724FF8" w:rsidRDefault="00027527" w:rsidP="00AF41CC"/>
        </w:tc>
      </w:tr>
      <w:tr w:rsidR="00027527" w:rsidRPr="00724FF8" w14:paraId="22011225" w14:textId="77777777" w:rsidTr="0080326B">
        <w:trPr>
          <w:trHeight w:val="290"/>
        </w:trPr>
        <w:tc>
          <w:tcPr>
            <w:tcW w:w="2407" w:type="dxa"/>
            <w:noWrap/>
            <w:hideMark/>
          </w:tcPr>
          <w:p w14:paraId="763A2F2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 xml:space="preserve">Shah et al (2022) </w:t>
            </w:r>
          </w:p>
        </w:tc>
        <w:tc>
          <w:tcPr>
            <w:tcW w:w="940" w:type="dxa"/>
            <w:noWrap/>
            <w:hideMark/>
          </w:tcPr>
          <w:p w14:paraId="312EC8F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hideMark/>
          </w:tcPr>
          <w:p w14:paraId="6ADFE28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hideMark/>
          </w:tcPr>
          <w:p w14:paraId="2A021D2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88" w:type="dxa"/>
            <w:noWrap/>
            <w:hideMark/>
          </w:tcPr>
          <w:p w14:paraId="2E24249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hideMark/>
          </w:tcPr>
          <w:p w14:paraId="3B9BEDF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890" w:type="dxa"/>
            <w:noWrap/>
            <w:hideMark/>
          </w:tcPr>
          <w:p w14:paraId="680549B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hideMark/>
          </w:tcPr>
          <w:p w14:paraId="2DEAC12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63E6E319" w14:textId="77777777" w:rsidTr="0080326B">
        <w:trPr>
          <w:trHeight w:val="290"/>
        </w:trPr>
        <w:tc>
          <w:tcPr>
            <w:tcW w:w="2407" w:type="dxa"/>
            <w:noWrap/>
          </w:tcPr>
          <w:p w14:paraId="1E21DD8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Zhao et al (2023)</w:t>
            </w:r>
          </w:p>
        </w:tc>
        <w:tc>
          <w:tcPr>
            <w:tcW w:w="940" w:type="dxa"/>
            <w:noWrap/>
          </w:tcPr>
          <w:p w14:paraId="143C2D7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080" w:type="dxa"/>
            <w:noWrap/>
          </w:tcPr>
          <w:p w14:paraId="63A98C5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1132" w:type="dxa"/>
            <w:noWrap/>
          </w:tcPr>
          <w:p w14:paraId="7A78E7F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0B673E0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12C369F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890" w:type="dxa"/>
            <w:noWrap/>
          </w:tcPr>
          <w:p w14:paraId="6DC5C16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5699C35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35C88003" w14:textId="77777777" w:rsidTr="0080326B">
        <w:trPr>
          <w:trHeight w:val="290"/>
        </w:trPr>
        <w:tc>
          <w:tcPr>
            <w:tcW w:w="2407" w:type="dxa"/>
            <w:noWrap/>
          </w:tcPr>
          <w:p w14:paraId="2BA32CC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Makiyama et al (2020)</w:t>
            </w:r>
          </w:p>
        </w:tc>
        <w:tc>
          <w:tcPr>
            <w:tcW w:w="940" w:type="dxa"/>
            <w:noWrap/>
          </w:tcPr>
          <w:p w14:paraId="2DF9509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5096891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3A15894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6740276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2335A17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5B8051C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64CD5F2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0164CE6A" w14:textId="77777777" w:rsidTr="0080326B">
        <w:trPr>
          <w:trHeight w:val="290"/>
        </w:trPr>
        <w:tc>
          <w:tcPr>
            <w:tcW w:w="2407" w:type="dxa"/>
            <w:noWrap/>
            <w:hideMark/>
          </w:tcPr>
          <w:p w14:paraId="67E3BDF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Bang et al (2015)</w:t>
            </w:r>
          </w:p>
        </w:tc>
        <w:tc>
          <w:tcPr>
            <w:tcW w:w="940" w:type="dxa"/>
            <w:noWrap/>
            <w:hideMark/>
          </w:tcPr>
          <w:p w14:paraId="26FAB20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hideMark/>
          </w:tcPr>
          <w:p w14:paraId="7A8B6F9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hideMark/>
          </w:tcPr>
          <w:p w14:paraId="524583B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88" w:type="dxa"/>
            <w:noWrap/>
            <w:hideMark/>
          </w:tcPr>
          <w:p w14:paraId="4FDA1D3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hideMark/>
          </w:tcPr>
          <w:p w14:paraId="7D9F300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hideMark/>
          </w:tcPr>
          <w:p w14:paraId="5F034C9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hideMark/>
          </w:tcPr>
          <w:p w14:paraId="1C9E566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7DA3D76E" w14:textId="77777777" w:rsidTr="0080326B">
        <w:trPr>
          <w:trHeight w:val="290"/>
        </w:trPr>
        <w:tc>
          <w:tcPr>
            <w:tcW w:w="2407" w:type="dxa"/>
            <w:noWrap/>
          </w:tcPr>
          <w:p w14:paraId="134F5FB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Bang et al (2017)</w:t>
            </w:r>
          </w:p>
        </w:tc>
        <w:tc>
          <w:tcPr>
            <w:tcW w:w="940" w:type="dxa"/>
            <w:noWrap/>
          </w:tcPr>
          <w:p w14:paraId="6717096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79D1972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78A1127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88" w:type="dxa"/>
            <w:noWrap/>
          </w:tcPr>
          <w:p w14:paraId="564DD11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025A6CC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620C65A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10A3F96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7D9BFBDA" w14:textId="77777777" w:rsidTr="0080326B">
        <w:trPr>
          <w:trHeight w:val="290"/>
        </w:trPr>
        <w:tc>
          <w:tcPr>
            <w:tcW w:w="2407" w:type="dxa"/>
            <w:noWrap/>
          </w:tcPr>
          <w:p w14:paraId="118C903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Wilke et al (2014)</w:t>
            </w:r>
          </w:p>
        </w:tc>
        <w:tc>
          <w:tcPr>
            <w:tcW w:w="940" w:type="dxa"/>
            <w:noWrap/>
          </w:tcPr>
          <w:p w14:paraId="5884A41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739886C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3D76B05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88" w:type="dxa"/>
            <w:noWrap/>
          </w:tcPr>
          <w:p w14:paraId="0D58012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0430FF3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66BB0CA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30E2888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12661460" w14:textId="77777777" w:rsidTr="0080326B">
        <w:trPr>
          <w:trHeight w:val="290"/>
        </w:trPr>
        <w:tc>
          <w:tcPr>
            <w:tcW w:w="2407" w:type="dxa"/>
            <w:noWrap/>
          </w:tcPr>
          <w:p w14:paraId="6419DA7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Muro et al (2016)</w:t>
            </w:r>
          </w:p>
        </w:tc>
        <w:tc>
          <w:tcPr>
            <w:tcW w:w="940" w:type="dxa"/>
            <w:noWrap/>
          </w:tcPr>
          <w:p w14:paraId="4EDF2C9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62BEBED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4AAC7FC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88" w:type="dxa"/>
            <w:noWrap/>
          </w:tcPr>
          <w:p w14:paraId="56AF7D5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2568505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2DDEFC5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800" w:type="dxa"/>
            <w:noWrap/>
          </w:tcPr>
          <w:p w14:paraId="5E843EB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0FFA65E5" w14:textId="77777777" w:rsidTr="0080326B">
        <w:trPr>
          <w:trHeight w:val="290"/>
        </w:trPr>
        <w:tc>
          <w:tcPr>
            <w:tcW w:w="2407" w:type="dxa"/>
            <w:noWrap/>
          </w:tcPr>
          <w:p w14:paraId="712854F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Shitara et al (2016)</w:t>
            </w:r>
          </w:p>
        </w:tc>
        <w:tc>
          <w:tcPr>
            <w:tcW w:w="940" w:type="dxa"/>
            <w:noWrap/>
          </w:tcPr>
          <w:p w14:paraId="335009A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2090279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554A808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88" w:type="dxa"/>
            <w:noWrap/>
          </w:tcPr>
          <w:p w14:paraId="2630896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2F13817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1A5A9EA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800" w:type="dxa"/>
            <w:noWrap/>
          </w:tcPr>
          <w:p w14:paraId="2185402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655E0EA2" w14:textId="77777777" w:rsidTr="0080326B">
        <w:trPr>
          <w:trHeight w:val="290"/>
        </w:trPr>
        <w:tc>
          <w:tcPr>
            <w:tcW w:w="2407" w:type="dxa"/>
            <w:noWrap/>
          </w:tcPr>
          <w:p w14:paraId="1423BA3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Satoh et al (2014)</w:t>
            </w:r>
          </w:p>
        </w:tc>
        <w:tc>
          <w:tcPr>
            <w:tcW w:w="940" w:type="dxa"/>
            <w:noWrap/>
          </w:tcPr>
          <w:p w14:paraId="39AC8AE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2B59AA7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29ED7C4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16C6BDD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616CA99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20B37F5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212A0DB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1884E7D4" w14:textId="77777777" w:rsidTr="0080326B">
        <w:trPr>
          <w:trHeight w:val="290"/>
        </w:trPr>
        <w:tc>
          <w:tcPr>
            <w:tcW w:w="2407" w:type="dxa"/>
            <w:noWrap/>
          </w:tcPr>
          <w:p w14:paraId="64644A2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Nakanishi et al (2016)</w:t>
            </w:r>
          </w:p>
        </w:tc>
        <w:tc>
          <w:tcPr>
            <w:tcW w:w="940" w:type="dxa"/>
            <w:noWrap/>
          </w:tcPr>
          <w:p w14:paraId="767E545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6776B66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504109D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6A23C80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72" w:type="dxa"/>
            <w:noWrap/>
          </w:tcPr>
          <w:p w14:paraId="79BCF06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6060A7E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7715C07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4B942F1A" w14:textId="77777777" w:rsidTr="0080326B">
        <w:trPr>
          <w:trHeight w:val="290"/>
        </w:trPr>
        <w:tc>
          <w:tcPr>
            <w:tcW w:w="9209" w:type="dxa"/>
            <w:gridSpan w:val="8"/>
            <w:noWrap/>
          </w:tcPr>
          <w:p w14:paraId="3DBE60CB" w14:textId="77777777" w:rsidR="00027527" w:rsidRPr="006710FC" w:rsidRDefault="00027527" w:rsidP="00AF41CC">
            <w:pPr>
              <w:pStyle w:val="Heading5"/>
              <w:outlineLvl w:val="4"/>
              <w:rPr>
                <w:rFonts w:ascii="Calibri" w:hAnsi="Calibri" w:cs="Calibri"/>
              </w:rPr>
            </w:pPr>
            <w:r w:rsidRPr="006710FC">
              <w:rPr>
                <w:rFonts w:ascii="Calibri" w:hAnsi="Calibri" w:cs="Calibri"/>
                <w:sz w:val="18"/>
                <w:szCs w:val="18"/>
                <w:lang w:eastAsia="en-IE"/>
              </w:rPr>
              <w:t>Paclitaxel versus Other Treatments</w:t>
            </w:r>
          </w:p>
        </w:tc>
      </w:tr>
      <w:tr w:rsidR="00027527" w:rsidRPr="00724FF8" w14:paraId="09C22F4C" w14:textId="77777777" w:rsidTr="0080326B">
        <w:trPr>
          <w:trHeight w:val="290"/>
        </w:trPr>
        <w:tc>
          <w:tcPr>
            <w:tcW w:w="2407" w:type="dxa"/>
            <w:noWrap/>
          </w:tcPr>
          <w:p w14:paraId="0EDFCCB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Nishina et al (2016)</w:t>
            </w:r>
          </w:p>
        </w:tc>
        <w:tc>
          <w:tcPr>
            <w:tcW w:w="940" w:type="dxa"/>
            <w:noWrap/>
          </w:tcPr>
          <w:p w14:paraId="3ABE55C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32ECF14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46F1300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2DCC19F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0A0DE78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527755F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4728F81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0A17C99C" w14:textId="77777777" w:rsidTr="0080326B">
        <w:trPr>
          <w:trHeight w:val="290"/>
        </w:trPr>
        <w:tc>
          <w:tcPr>
            <w:tcW w:w="2407" w:type="dxa"/>
            <w:noWrap/>
          </w:tcPr>
          <w:p w14:paraId="799D3F2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Van Cutsem et al (2017)</w:t>
            </w:r>
          </w:p>
        </w:tc>
        <w:tc>
          <w:tcPr>
            <w:tcW w:w="940" w:type="dxa"/>
            <w:noWrap/>
          </w:tcPr>
          <w:p w14:paraId="208C1B5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3A01118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560926E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3825553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72" w:type="dxa"/>
            <w:noWrap/>
          </w:tcPr>
          <w:p w14:paraId="0B43D44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4433C72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116C7D8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47443C31" w14:textId="77777777" w:rsidTr="0080326B">
        <w:trPr>
          <w:trHeight w:val="290"/>
        </w:trPr>
        <w:tc>
          <w:tcPr>
            <w:tcW w:w="2407" w:type="dxa"/>
            <w:noWrap/>
          </w:tcPr>
          <w:p w14:paraId="4D9E0FE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Lee et al (2019)</w:t>
            </w:r>
          </w:p>
        </w:tc>
        <w:tc>
          <w:tcPr>
            <w:tcW w:w="940" w:type="dxa"/>
            <w:noWrap/>
          </w:tcPr>
          <w:p w14:paraId="43D6086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050C792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4A90E06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32FDA65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47E2FFB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6A7809F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800" w:type="dxa"/>
            <w:noWrap/>
          </w:tcPr>
          <w:p w14:paraId="1A22E1F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54A75B6D" w14:textId="77777777" w:rsidTr="0080326B">
        <w:trPr>
          <w:trHeight w:val="290"/>
        </w:trPr>
        <w:tc>
          <w:tcPr>
            <w:tcW w:w="2407" w:type="dxa"/>
            <w:noWrap/>
          </w:tcPr>
          <w:p w14:paraId="1FC5EDC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Hironaka et al (2013)</w:t>
            </w:r>
          </w:p>
        </w:tc>
        <w:tc>
          <w:tcPr>
            <w:tcW w:w="940" w:type="dxa"/>
            <w:noWrap/>
          </w:tcPr>
          <w:p w14:paraId="073EE9A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139715D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262CE4D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2353035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72" w:type="dxa"/>
            <w:noWrap/>
          </w:tcPr>
          <w:p w14:paraId="42B4CDA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2D42EC8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7B78642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2BFAE76B" w14:textId="77777777" w:rsidTr="0080326B">
        <w:trPr>
          <w:trHeight w:val="290"/>
        </w:trPr>
        <w:tc>
          <w:tcPr>
            <w:tcW w:w="2407" w:type="dxa"/>
            <w:noWrap/>
          </w:tcPr>
          <w:p w14:paraId="336B390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Kawase et al (2021)</w:t>
            </w:r>
          </w:p>
        </w:tc>
        <w:tc>
          <w:tcPr>
            <w:tcW w:w="940" w:type="dxa"/>
            <w:noWrap/>
          </w:tcPr>
          <w:p w14:paraId="337829A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23E37AB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68E6653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69C4C59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3CDC316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890" w:type="dxa"/>
            <w:noWrap/>
          </w:tcPr>
          <w:p w14:paraId="6661160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35983A2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2454C20C" w14:textId="77777777" w:rsidTr="0080326B">
        <w:trPr>
          <w:trHeight w:val="290"/>
        </w:trPr>
        <w:tc>
          <w:tcPr>
            <w:tcW w:w="2407" w:type="dxa"/>
            <w:noWrap/>
            <w:hideMark/>
          </w:tcPr>
          <w:p w14:paraId="538CCF2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Chung et al (2022)</w:t>
            </w:r>
          </w:p>
        </w:tc>
        <w:tc>
          <w:tcPr>
            <w:tcW w:w="940" w:type="dxa"/>
            <w:noWrap/>
            <w:hideMark/>
          </w:tcPr>
          <w:p w14:paraId="5BF32E5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080" w:type="dxa"/>
            <w:noWrap/>
            <w:hideMark/>
          </w:tcPr>
          <w:p w14:paraId="1B454AB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hideMark/>
          </w:tcPr>
          <w:p w14:paraId="4C4F640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hideMark/>
          </w:tcPr>
          <w:p w14:paraId="1CBC764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hideMark/>
          </w:tcPr>
          <w:p w14:paraId="051305B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890" w:type="dxa"/>
            <w:noWrap/>
            <w:hideMark/>
          </w:tcPr>
          <w:p w14:paraId="45CF41F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hideMark/>
          </w:tcPr>
          <w:p w14:paraId="3B220CE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179168A3" w14:textId="77777777" w:rsidTr="0080326B">
        <w:trPr>
          <w:trHeight w:val="290"/>
        </w:trPr>
        <w:tc>
          <w:tcPr>
            <w:tcW w:w="2407" w:type="dxa"/>
            <w:noWrap/>
          </w:tcPr>
          <w:p w14:paraId="62A5039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Fuchs et al (2022)</w:t>
            </w:r>
          </w:p>
        </w:tc>
        <w:tc>
          <w:tcPr>
            <w:tcW w:w="940" w:type="dxa"/>
            <w:noWrap/>
          </w:tcPr>
          <w:p w14:paraId="6F87079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2A3B79A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46B8073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1CF99E4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2F38CBD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890" w:type="dxa"/>
            <w:noWrap/>
          </w:tcPr>
          <w:p w14:paraId="30F1326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30285D5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187B74CE" w14:textId="77777777" w:rsidTr="0080326B">
        <w:trPr>
          <w:trHeight w:val="290"/>
        </w:trPr>
        <w:tc>
          <w:tcPr>
            <w:tcW w:w="2407" w:type="dxa"/>
            <w:noWrap/>
          </w:tcPr>
          <w:p w14:paraId="4067F82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Shitara et al (2018)</w:t>
            </w:r>
          </w:p>
        </w:tc>
        <w:tc>
          <w:tcPr>
            <w:tcW w:w="940" w:type="dxa"/>
            <w:noWrap/>
          </w:tcPr>
          <w:p w14:paraId="6FA6C55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6BED225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1132" w:type="dxa"/>
            <w:noWrap/>
          </w:tcPr>
          <w:p w14:paraId="034A98E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5FD8AC2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16517D5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4F43027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58C1A8F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7085059F" w14:textId="77777777" w:rsidTr="0080326B">
        <w:trPr>
          <w:trHeight w:val="290"/>
        </w:trPr>
        <w:tc>
          <w:tcPr>
            <w:tcW w:w="2407" w:type="dxa"/>
            <w:noWrap/>
          </w:tcPr>
          <w:p w14:paraId="533CC65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Kang et al (2018)</w:t>
            </w:r>
          </w:p>
        </w:tc>
        <w:tc>
          <w:tcPr>
            <w:tcW w:w="940" w:type="dxa"/>
            <w:noWrap/>
          </w:tcPr>
          <w:p w14:paraId="5D92110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47A5464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2A86568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7EB35EF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72" w:type="dxa"/>
            <w:noWrap/>
          </w:tcPr>
          <w:p w14:paraId="424F6B0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7BCA771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21485F8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5DE5E7DF" w14:textId="77777777" w:rsidTr="0080326B">
        <w:trPr>
          <w:trHeight w:val="290"/>
        </w:trPr>
        <w:tc>
          <w:tcPr>
            <w:tcW w:w="2407" w:type="dxa"/>
            <w:noWrap/>
          </w:tcPr>
          <w:p w14:paraId="3A35873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 xml:space="preserve">Shitara et al (2017) </w:t>
            </w:r>
          </w:p>
        </w:tc>
        <w:tc>
          <w:tcPr>
            <w:tcW w:w="940" w:type="dxa"/>
            <w:noWrap/>
          </w:tcPr>
          <w:p w14:paraId="32913CE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08D9F6F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2CE3DFB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3D0A004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43B8FE8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890" w:type="dxa"/>
            <w:noWrap/>
          </w:tcPr>
          <w:p w14:paraId="2B0A5CD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800" w:type="dxa"/>
            <w:noWrap/>
          </w:tcPr>
          <w:p w14:paraId="4799448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28F8FAA9" w14:textId="77777777" w:rsidTr="0080326B">
        <w:trPr>
          <w:trHeight w:val="290"/>
        </w:trPr>
        <w:tc>
          <w:tcPr>
            <w:tcW w:w="9209" w:type="dxa"/>
            <w:gridSpan w:val="8"/>
            <w:noWrap/>
          </w:tcPr>
          <w:p w14:paraId="57FD3C23" w14:textId="77777777" w:rsidR="00027527" w:rsidRPr="00724FF8" w:rsidRDefault="00027527" w:rsidP="00AF41CC">
            <w:pPr>
              <w:pStyle w:val="Heading5"/>
              <w:outlineLvl w:val="4"/>
            </w:pPr>
            <w:r w:rsidRPr="006710FC">
              <w:rPr>
                <w:rFonts w:ascii="Calibri" w:hAnsi="Calibri" w:cs="Calibri"/>
                <w:sz w:val="18"/>
                <w:szCs w:val="18"/>
                <w:lang w:eastAsia="en-IE"/>
              </w:rPr>
              <w:t>Docetaxel versus Other Treatments</w:t>
            </w:r>
          </w:p>
        </w:tc>
      </w:tr>
      <w:tr w:rsidR="00027527" w:rsidRPr="00724FF8" w14:paraId="317E8CFF" w14:textId="77777777" w:rsidTr="0080326B">
        <w:trPr>
          <w:trHeight w:val="290"/>
        </w:trPr>
        <w:tc>
          <w:tcPr>
            <w:tcW w:w="2407" w:type="dxa"/>
            <w:noWrap/>
          </w:tcPr>
          <w:p w14:paraId="72B4E71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Ford et al (2014)</w:t>
            </w:r>
          </w:p>
        </w:tc>
        <w:tc>
          <w:tcPr>
            <w:tcW w:w="940" w:type="dxa"/>
            <w:noWrap/>
          </w:tcPr>
          <w:p w14:paraId="2112DC1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6B930E3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0394367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67FAEE0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72" w:type="dxa"/>
            <w:noWrap/>
          </w:tcPr>
          <w:p w14:paraId="2089E76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657FD72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746DC07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07A52C60" w14:textId="77777777" w:rsidTr="0080326B">
        <w:trPr>
          <w:trHeight w:val="290"/>
        </w:trPr>
        <w:tc>
          <w:tcPr>
            <w:tcW w:w="2407" w:type="dxa"/>
            <w:noWrap/>
          </w:tcPr>
          <w:p w14:paraId="5EF3E9C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Yi et al (2012)</w:t>
            </w:r>
          </w:p>
        </w:tc>
        <w:tc>
          <w:tcPr>
            <w:tcW w:w="940" w:type="dxa"/>
            <w:noWrap/>
          </w:tcPr>
          <w:p w14:paraId="4E5C5AA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480E669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6B82E2A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173F2B0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6D62116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66421A7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10FE523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r>
      <w:tr w:rsidR="00027527" w:rsidRPr="00724FF8" w14:paraId="0289E51F" w14:textId="77777777" w:rsidTr="0080326B">
        <w:trPr>
          <w:trHeight w:val="290"/>
        </w:trPr>
        <w:tc>
          <w:tcPr>
            <w:tcW w:w="2407" w:type="dxa"/>
            <w:noWrap/>
          </w:tcPr>
          <w:p w14:paraId="66A4264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Kim et al (2015)</w:t>
            </w:r>
          </w:p>
        </w:tc>
        <w:tc>
          <w:tcPr>
            <w:tcW w:w="940" w:type="dxa"/>
            <w:noWrap/>
          </w:tcPr>
          <w:p w14:paraId="425D75F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16836E7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4B313D4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3B09485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6E288F7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25139C1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7C59226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30FC4CF5" w14:textId="77777777" w:rsidTr="0080326B">
        <w:trPr>
          <w:trHeight w:val="290"/>
        </w:trPr>
        <w:tc>
          <w:tcPr>
            <w:tcW w:w="2407" w:type="dxa"/>
            <w:noWrap/>
          </w:tcPr>
          <w:p w14:paraId="7F279B1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Lee et al (2017)</w:t>
            </w:r>
          </w:p>
        </w:tc>
        <w:tc>
          <w:tcPr>
            <w:tcW w:w="940" w:type="dxa"/>
            <w:noWrap/>
          </w:tcPr>
          <w:p w14:paraId="2D76CB5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416348F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18F39B8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54A160E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72" w:type="dxa"/>
            <w:noWrap/>
          </w:tcPr>
          <w:p w14:paraId="4E1065B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661B4D2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406D024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6D270DDD" w14:textId="77777777" w:rsidTr="0080326B">
        <w:trPr>
          <w:trHeight w:val="290"/>
        </w:trPr>
        <w:tc>
          <w:tcPr>
            <w:tcW w:w="2407" w:type="dxa"/>
            <w:noWrap/>
          </w:tcPr>
          <w:p w14:paraId="5A21289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Thuss‐Patience et al (2017)</w:t>
            </w:r>
          </w:p>
        </w:tc>
        <w:tc>
          <w:tcPr>
            <w:tcW w:w="940" w:type="dxa"/>
            <w:noWrap/>
          </w:tcPr>
          <w:p w14:paraId="451E538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3776A6B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5DE6004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88" w:type="dxa"/>
            <w:noWrap/>
          </w:tcPr>
          <w:p w14:paraId="5BA4DF0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5F0C334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7219208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4902028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0DE75020" w14:textId="77777777" w:rsidTr="0080326B">
        <w:trPr>
          <w:trHeight w:val="290"/>
        </w:trPr>
        <w:tc>
          <w:tcPr>
            <w:tcW w:w="9209" w:type="dxa"/>
            <w:gridSpan w:val="8"/>
            <w:noWrap/>
          </w:tcPr>
          <w:p w14:paraId="0E4BD2EC" w14:textId="77777777" w:rsidR="00027527" w:rsidRPr="00724FF8" w:rsidRDefault="00027527" w:rsidP="006710FC">
            <w:pPr>
              <w:pStyle w:val="Heading5"/>
              <w:outlineLvl w:val="4"/>
            </w:pPr>
            <w:r w:rsidRPr="006710FC">
              <w:rPr>
                <w:rFonts w:ascii="Calibri" w:hAnsi="Calibri" w:cs="Calibri"/>
                <w:sz w:val="18"/>
                <w:szCs w:val="18"/>
                <w:lang w:eastAsia="en-IE"/>
              </w:rPr>
              <w:t>Irinotecan versus Other Treatments</w:t>
            </w:r>
          </w:p>
        </w:tc>
      </w:tr>
      <w:tr w:rsidR="00027527" w:rsidRPr="00724FF8" w14:paraId="4C9F4B9E" w14:textId="77777777" w:rsidTr="0080326B">
        <w:trPr>
          <w:trHeight w:val="290"/>
        </w:trPr>
        <w:tc>
          <w:tcPr>
            <w:tcW w:w="2407" w:type="dxa"/>
            <w:noWrap/>
          </w:tcPr>
          <w:p w14:paraId="7DF98B6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Higuchi et al (2014)</w:t>
            </w:r>
          </w:p>
        </w:tc>
        <w:tc>
          <w:tcPr>
            <w:tcW w:w="940" w:type="dxa"/>
            <w:noWrap/>
          </w:tcPr>
          <w:p w14:paraId="6966D07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2857D5B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4CAEDD0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6B62C9B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47E209D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45A131B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53FDD9F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16D577FE" w14:textId="77777777" w:rsidTr="0080326B">
        <w:trPr>
          <w:trHeight w:val="290"/>
        </w:trPr>
        <w:tc>
          <w:tcPr>
            <w:tcW w:w="2407" w:type="dxa"/>
            <w:noWrap/>
          </w:tcPr>
          <w:p w14:paraId="1624CE6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Nishikawa et al 2015 </w:t>
            </w:r>
          </w:p>
        </w:tc>
        <w:tc>
          <w:tcPr>
            <w:tcW w:w="940" w:type="dxa"/>
            <w:noWrap/>
          </w:tcPr>
          <w:p w14:paraId="1D0F35B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6B8D51D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2789E8E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70B864C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6CFFA42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26492EE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609A344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49E87AED" w14:textId="77777777" w:rsidTr="0080326B">
        <w:trPr>
          <w:trHeight w:val="290"/>
        </w:trPr>
        <w:tc>
          <w:tcPr>
            <w:tcW w:w="2407" w:type="dxa"/>
            <w:noWrap/>
          </w:tcPr>
          <w:p w14:paraId="1669151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Thuss‐Patience et al (2011)</w:t>
            </w:r>
          </w:p>
        </w:tc>
        <w:tc>
          <w:tcPr>
            <w:tcW w:w="940" w:type="dxa"/>
            <w:noWrap/>
          </w:tcPr>
          <w:p w14:paraId="585A76E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218F950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1C5591C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19C63D6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72" w:type="dxa"/>
            <w:noWrap/>
          </w:tcPr>
          <w:p w14:paraId="652EAED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4AF7970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800" w:type="dxa"/>
            <w:noWrap/>
          </w:tcPr>
          <w:p w14:paraId="17699E3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63C6524E" w14:textId="77777777" w:rsidTr="0080326B">
        <w:trPr>
          <w:trHeight w:val="290"/>
        </w:trPr>
        <w:tc>
          <w:tcPr>
            <w:tcW w:w="2407" w:type="dxa"/>
            <w:noWrap/>
          </w:tcPr>
          <w:p w14:paraId="76C0BE1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Sym et al (2013)</w:t>
            </w:r>
          </w:p>
        </w:tc>
        <w:tc>
          <w:tcPr>
            <w:tcW w:w="940" w:type="dxa"/>
            <w:noWrap/>
          </w:tcPr>
          <w:p w14:paraId="5B49A36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330F0DB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638E417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6372EC4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4ADECBB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6039EB3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2902997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1FD54D11" w14:textId="77777777" w:rsidTr="0080326B">
        <w:trPr>
          <w:trHeight w:val="290"/>
        </w:trPr>
        <w:tc>
          <w:tcPr>
            <w:tcW w:w="2407" w:type="dxa"/>
            <w:noWrap/>
          </w:tcPr>
          <w:p w14:paraId="4A505FA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Roy et al (2013)</w:t>
            </w:r>
          </w:p>
        </w:tc>
        <w:tc>
          <w:tcPr>
            <w:tcW w:w="940" w:type="dxa"/>
            <w:noWrap/>
          </w:tcPr>
          <w:p w14:paraId="0871E03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13B4267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0134F78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6807D9E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103EEB5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58D7B3B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66171D8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78450B89" w14:textId="77777777" w:rsidTr="0080326B">
        <w:trPr>
          <w:trHeight w:val="290"/>
        </w:trPr>
        <w:tc>
          <w:tcPr>
            <w:tcW w:w="2407" w:type="dxa"/>
            <w:noWrap/>
          </w:tcPr>
          <w:p w14:paraId="54FA4A6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Tanabe et al (2015)</w:t>
            </w:r>
          </w:p>
        </w:tc>
        <w:tc>
          <w:tcPr>
            <w:tcW w:w="940" w:type="dxa"/>
            <w:noWrap/>
          </w:tcPr>
          <w:p w14:paraId="210571B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68E75B1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0E9E0EE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60AF227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39CAFC7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3B43252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19F572E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7079DA20" w14:textId="77777777" w:rsidTr="0080326B">
        <w:trPr>
          <w:trHeight w:val="290"/>
        </w:trPr>
        <w:tc>
          <w:tcPr>
            <w:tcW w:w="2407" w:type="dxa"/>
            <w:noWrap/>
          </w:tcPr>
          <w:p w14:paraId="0BD872E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lastRenderedPageBreak/>
              <w:t>Satoh et al (2015)</w:t>
            </w:r>
          </w:p>
        </w:tc>
        <w:tc>
          <w:tcPr>
            <w:tcW w:w="940" w:type="dxa"/>
            <w:noWrap/>
          </w:tcPr>
          <w:p w14:paraId="09BC72D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1D8F608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2077DA0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30F3884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09C091F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3BACA01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6885CF9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7D83A0DE" w14:textId="77777777" w:rsidTr="0080326B">
        <w:trPr>
          <w:trHeight w:val="290"/>
        </w:trPr>
        <w:tc>
          <w:tcPr>
            <w:tcW w:w="9209" w:type="dxa"/>
            <w:gridSpan w:val="8"/>
            <w:noWrap/>
          </w:tcPr>
          <w:p w14:paraId="0DB1EAA6" w14:textId="77777777" w:rsidR="00027527" w:rsidRPr="00025FD2" w:rsidRDefault="00027527" w:rsidP="006710FC">
            <w:pPr>
              <w:pStyle w:val="Heading5"/>
              <w:outlineLvl w:val="4"/>
              <w:rPr>
                <w:rFonts w:ascii="Times New Roman" w:eastAsiaTheme="majorEastAsia" w:hAnsi="Times New Roman" w:cs="Times New Roman"/>
                <w:color w:val="0F4761" w:themeColor="accent1" w:themeShade="BF"/>
                <w:sz w:val="18"/>
                <w:szCs w:val="18"/>
                <w:lang w:eastAsia="en-IE"/>
              </w:rPr>
            </w:pPr>
            <w:r w:rsidRPr="006710FC">
              <w:rPr>
                <w:rFonts w:ascii="Calibri" w:hAnsi="Calibri" w:cs="Calibri"/>
                <w:sz w:val="18"/>
                <w:szCs w:val="18"/>
                <w:lang w:eastAsia="en-IE"/>
              </w:rPr>
              <w:t>Targeted Treatments and Immunotherapy Treatments</w:t>
            </w:r>
          </w:p>
        </w:tc>
      </w:tr>
      <w:tr w:rsidR="00027527" w:rsidRPr="00724FF8" w14:paraId="47E34D5A" w14:textId="77777777" w:rsidTr="0080326B">
        <w:trPr>
          <w:trHeight w:val="290"/>
        </w:trPr>
        <w:tc>
          <w:tcPr>
            <w:tcW w:w="2407" w:type="dxa"/>
            <w:noWrap/>
          </w:tcPr>
          <w:p w14:paraId="3DBF583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Fuchs et al (2014)</w:t>
            </w:r>
          </w:p>
        </w:tc>
        <w:tc>
          <w:tcPr>
            <w:tcW w:w="940" w:type="dxa"/>
            <w:noWrap/>
          </w:tcPr>
          <w:p w14:paraId="70A706D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52BF864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188E658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88" w:type="dxa"/>
            <w:noWrap/>
          </w:tcPr>
          <w:p w14:paraId="29D98D7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1A14C22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29694DA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47D4C05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007E654D" w14:textId="77777777" w:rsidTr="0080326B">
        <w:trPr>
          <w:trHeight w:val="290"/>
        </w:trPr>
        <w:tc>
          <w:tcPr>
            <w:tcW w:w="2407" w:type="dxa"/>
            <w:noWrap/>
          </w:tcPr>
          <w:p w14:paraId="761B52A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Tougeron et al (2024)</w:t>
            </w:r>
          </w:p>
        </w:tc>
        <w:tc>
          <w:tcPr>
            <w:tcW w:w="940" w:type="dxa"/>
            <w:noWrap/>
          </w:tcPr>
          <w:p w14:paraId="113FC70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56C283D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7F48F9C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2DA3B20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7BF22CF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890" w:type="dxa"/>
            <w:noWrap/>
          </w:tcPr>
          <w:p w14:paraId="14B482F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6C11C34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37CEC529" w14:textId="77777777" w:rsidTr="0080326B">
        <w:trPr>
          <w:trHeight w:val="290"/>
        </w:trPr>
        <w:tc>
          <w:tcPr>
            <w:tcW w:w="2407" w:type="dxa"/>
            <w:noWrap/>
            <w:hideMark/>
          </w:tcPr>
          <w:p w14:paraId="0C00E60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Lorenzen et al (2022)</w:t>
            </w:r>
          </w:p>
        </w:tc>
        <w:tc>
          <w:tcPr>
            <w:tcW w:w="940" w:type="dxa"/>
            <w:noWrap/>
            <w:hideMark/>
          </w:tcPr>
          <w:p w14:paraId="198691F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hideMark/>
          </w:tcPr>
          <w:p w14:paraId="5A9963E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hideMark/>
          </w:tcPr>
          <w:p w14:paraId="499AE14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hideMark/>
          </w:tcPr>
          <w:p w14:paraId="55C1846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hideMark/>
          </w:tcPr>
          <w:p w14:paraId="7C028B2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890" w:type="dxa"/>
            <w:noWrap/>
            <w:hideMark/>
          </w:tcPr>
          <w:p w14:paraId="08A09E6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hideMark/>
          </w:tcPr>
          <w:p w14:paraId="14E888A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665F9EB4" w14:textId="77777777" w:rsidTr="0080326B">
        <w:trPr>
          <w:trHeight w:val="290"/>
        </w:trPr>
        <w:tc>
          <w:tcPr>
            <w:tcW w:w="2407" w:type="dxa"/>
            <w:noWrap/>
          </w:tcPr>
          <w:p w14:paraId="126E779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Yan et al (2022)</w:t>
            </w:r>
          </w:p>
        </w:tc>
        <w:tc>
          <w:tcPr>
            <w:tcW w:w="940" w:type="dxa"/>
            <w:noWrap/>
          </w:tcPr>
          <w:p w14:paraId="32EF5A9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080" w:type="dxa"/>
            <w:noWrap/>
          </w:tcPr>
          <w:p w14:paraId="237402B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349808F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479D665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72" w:type="dxa"/>
            <w:noWrap/>
          </w:tcPr>
          <w:p w14:paraId="7C6CEE2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890" w:type="dxa"/>
            <w:noWrap/>
          </w:tcPr>
          <w:p w14:paraId="79FA1FD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0BA57AA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6E8F4CCC" w14:textId="77777777" w:rsidTr="0080326B">
        <w:trPr>
          <w:trHeight w:val="290"/>
        </w:trPr>
        <w:tc>
          <w:tcPr>
            <w:tcW w:w="2407" w:type="dxa"/>
            <w:noWrap/>
          </w:tcPr>
          <w:p w14:paraId="7D583C2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Wei et al (2024)</w:t>
            </w:r>
          </w:p>
        </w:tc>
        <w:tc>
          <w:tcPr>
            <w:tcW w:w="940" w:type="dxa"/>
            <w:noWrap/>
          </w:tcPr>
          <w:p w14:paraId="3D08791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080" w:type="dxa"/>
            <w:noWrap/>
          </w:tcPr>
          <w:p w14:paraId="09192D03"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25E0898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3208FE2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1E0AC62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890" w:type="dxa"/>
            <w:noWrap/>
          </w:tcPr>
          <w:p w14:paraId="1E61AC6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241FAF2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3D5D3A39" w14:textId="77777777" w:rsidTr="0080326B">
        <w:trPr>
          <w:trHeight w:val="290"/>
        </w:trPr>
        <w:tc>
          <w:tcPr>
            <w:tcW w:w="9209" w:type="dxa"/>
            <w:gridSpan w:val="8"/>
            <w:noWrap/>
          </w:tcPr>
          <w:p w14:paraId="0A8221F4" w14:textId="77777777" w:rsidR="00027527" w:rsidRPr="006710FC" w:rsidRDefault="00027527" w:rsidP="00AF41CC">
            <w:pPr>
              <w:rPr>
                <w:rFonts w:ascii="Calibri" w:eastAsia="Times New Roman" w:hAnsi="Calibri" w:cs="Calibri"/>
                <w:b/>
                <w:bCs/>
                <w:color w:val="000000"/>
                <w:sz w:val="18"/>
                <w:szCs w:val="18"/>
                <w:lang w:eastAsia="en-IE"/>
              </w:rPr>
            </w:pPr>
            <w:r w:rsidRPr="006710FC">
              <w:rPr>
                <w:rFonts w:ascii="Calibri" w:eastAsia="Times New Roman" w:hAnsi="Calibri" w:cs="Calibri"/>
                <w:b/>
                <w:bCs/>
                <w:color w:val="000000"/>
                <w:sz w:val="18"/>
                <w:szCs w:val="18"/>
                <w:lang w:eastAsia="en-IE"/>
              </w:rPr>
              <w:t>Second- &amp; Later-Line Setting (n=5)</w:t>
            </w:r>
          </w:p>
        </w:tc>
      </w:tr>
      <w:tr w:rsidR="00027527" w:rsidRPr="00724FF8" w14:paraId="711D7495" w14:textId="77777777" w:rsidTr="0080326B">
        <w:trPr>
          <w:trHeight w:val="290"/>
        </w:trPr>
        <w:tc>
          <w:tcPr>
            <w:tcW w:w="2407" w:type="dxa"/>
            <w:noWrap/>
          </w:tcPr>
          <w:p w14:paraId="3C8F797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Lorenzen et al (2022)</w:t>
            </w:r>
          </w:p>
        </w:tc>
        <w:tc>
          <w:tcPr>
            <w:tcW w:w="940" w:type="dxa"/>
            <w:noWrap/>
          </w:tcPr>
          <w:p w14:paraId="6733C57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482C1E88"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5F9C243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88" w:type="dxa"/>
            <w:noWrap/>
          </w:tcPr>
          <w:p w14:paraId="04273A6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72" w:type="dxa"/>
            <w:noWrap/>
          </w:tcPr>
          <w:p w14:paraId="6FF7B5F6"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0D0CA1F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38AD72E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1A484D10" w14:textId="77777777" w:rsidTr="0080326B">
        <w:trPr>
          <w:trHeight w:val="290"/>
        </w:trPr>
        <w:tc>
          <w:tcPr>
            <w:tcW w:w="2407" w:type="dxa"/>
            <w:noWrap/>
          </w:tcPr>
          <w:p w14:paraId="120E7D9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Kang et al (2012)</w:t>
            </w:r>
          </w:p>
        </w:tc>
        <w:tc>
          <w:tcPr>
            <w:tcW w:w="940" w:type="dxa"/>
            <w:noWrap/>
          </w:tcPr>
          <w:p w14:paraId="50F45D9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49B69CD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7DAB555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30F5F32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667CEAA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6143660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71AD23E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44244DF2" w14:textId="77777777" w:rsidTr="0080326B">
        <w:trPr>
          <w:trHeight w:val="290"/>
        </w:trPr>
        <w:tc>
          <w:tcPr>
            <w:tcW w:w="2407" w:type="dxa"/>
            <w:noWrap/>
          </w:tcPr>
          <w:p w14:paraId="62C10BF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Shitara et al (2014)</w:t>
            </w:r>
          </w:p>
        </w:tc>
        <w:tc>
          <w:tcPr>
            <w:tcW w:w="940" w:type="dxa"/>
            <w:noWrap/>
          </w:tcPr>
          <w:p w14:paraId="22F5FD6C"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5207CC29"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132" w:type="dxa"/>
            <w:noWrap/>
          </w:tcPr>
          <w:p w14:paraId="10301604"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1FC9581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0A46476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452CE47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6646C5E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r>
      <w:tr w:rsidR="00027527" w:rsidRPr="00724FF8" w14:paraId="4E894AAF" w14:textId="77777777" w:rsidTr="0080326B">
        <w:trPr>
          <w:trHeight w:val="290"/>
        </w:trPr>
        <w:tc>
          <w:tcPr>
            <w:tcW w:w="2407" w:type="dxa"/>
            <w:noWrap/>
          </w:tcPr>
          <w:p w14:paraId="3FCF1AE0"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Fushida et al (2016)</w:t>
            </w:r>
          </w:p>
        </w:tc>
        <w:tc>
          <w:tcPr>
            <w:tcW w:w="940" w:type="dxa"/>
            <w:noWrap/>
          </w:tcPr>
          <w:p w14:paraId="0746D4AD"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1080" w:type="dxa"/>
            <w:noWrap/>
          </w:tcPr>
          <w:p w14:paraId="4359A76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1132" w:type="dxa"/>
            <w:noWrap/>
          </w:tcPr>
          <w:p w14:paraId="6177B085"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88" w:type="dxa"/>
            <w:noWrap/>
          </w:tcPr>
          <w:p w14:paraId="47BBCE8F"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c>
          <w:tcPr>
            <w:tcW w:w="972" w:type="dxa"/>
            <w:noWrap/>
          </w:tcPr>
          <w:p w14:paraId="0AF0218A"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3943599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67D0C10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r>
      <w:tr w:rsidR="00027527" w:rsidRPr="00724FF8" w14:paraId="17356CFE" w14:textId="77777777" w:rsidTr="0080326B">
        <w:trPr>
          <w:trHeight w:val="290"/>
        </w:trPr>
        <w:tc>
          <w:tcPr>
            <w:tcW w:w="2407" w:type="dxa"/>
            <w:noWrap/>
          </w:tcPr>
          <w:p w14:paraId="0402F71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Moehler et al (2016)</w:t>
            </w:r>
          </w:p>
        </w:tc>
        <w:tc>
          <w:tcPr>
            <w:tcW w:w="940" w:type="dxa"/>
            <w:noWrap/>
          </w:tcPr>
          <w:p w14:paraId="00CCF25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080" w:type="dxa"/>
            <w:noWrap/>
          </w:tcPr>
          <w:p w14:paraId="517998B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1132" w:type="dxa"/>
            <w:noWrap/>
          </w:tcPr>
          <w:p w14:paraId="40E3BB22"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988" w:type="dxa"/>
            <w:noWrap/>
          </w:tcPr>
          <w:p w14:paraId="7B8EDDD1"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U</w:t>
            </w:r>
          </w:p>
        </w:tc>
        <w:tc>
          <w:tcPr>
            <w:tcW w:w="972" w:type="dxa"/>
            <w:noWrap/>
          </w:tcPr>
          <w:p w14:paraId="32E08C4B"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90" w:type="dxa"/>
            <w:noWrap/>
          </w:tcPr>
          <w:p w14:paraId="6B72EC57"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L</w:t>
            </w:r>
          </w:p>
        </w:tc>
        <w:tc>
          <w:tcPr>
            <w:tcW w:w="800" w:type="dxa"/>
            <w:noWrap/>
          </w:tcPr>
          <w:p w14:paraId="32E1B04E" w14:textId="77777777" w:rsidR="00027527" w:rsidRPr="006710FC" w:rsidRDefault="00027527" w:rsidP="00AF41CC">
            <w:pPr>
              <w:rPr>
                <w:rFonts w:ascii="Calibri" w:hAnsi="Calibri" w:cs="Calibri"/>
                <w:sz w:val="18"/>
                <w:szCs w:val="18"/>
              </w:rPr>
            </w:pPr>
            <w:r w:rsidRPr="006710FC">
              <w:rPr>
                <w:rFonts w:ascii="Calibri" w:hAnsi="Calibri" w:cs="Calibri"/>
                <w:sz w:val="18"/>
                <w:szCs w:val="18"/>
              </w:rPr>
              <w:t>H</w:t>
            </w:r>
          </w:p>
        </w:tc>
      </w:tr>
      <w:tr w:rsidR="00027527" w:rsidRPr="00724FF8" w14:paraId="422EE673" w14:textId="77777777" w:rsidTr="0080326B">
        <w:trPr>
          <w:trHeight w:val="290"/>
        </w:trPr>
        <w:tc>
          <w:tcPr>
            <w:tcW w:w="9209" w:type="dxa"/>
            <w:gridSpan w:val="8"/>
            <w:noWrap/>
          </w:tcPr>
          <w:p w14:paraId="77A2F8C7" w14:textId="77777777" w:rsidR="00027527" w:rsidRPr="00C02C32" w:rsidRDefault="00027527" w:rsidP="00AF41CC">
            <w:pPr>
              <w:rPr>
                <w:rFonts w:ascii="Calibri" w:eastAsia="Times New Roman" w:hAnsi="Calibri" w:cs="Calibri"/>
                <w:b/>
                <w:bCs/>
                <w:color w:val="000000"/>
                <w:sz w:val="18"/>
                <w:szCs w:val="18"/>
                <w:lang w:eastAsia="en-IE"/>
              </w:rPr>
            </w:pPr>
            <w:r w:rsidRPr="00C02C32">
              <w:rPr>
                <w:rFonts w:ascii="Calibri" w:eastAsia="Times New Roman" w:hAnsi="Calibri" w:cs="Calibri"/>
                <w:b/>
                <w:bCs/>
                <w:color w:val="000000"/>
                <w:sz w:val="18"/>
                <w:szCs w:val="18"/>
                <w:lang w:eastAsia="en-IE"/>
              </w:rPr>
              <w:t>Third- and Later-line Setting (n=2)</w:t>
            </w:r>
          </w:p>
        </w:tc>
      </w:tr>
      <w:tr w:rsidR="00027527" w:rsidRPr="00724FF8" w14:paraId="1BF700F7" w14:textId="77777777" w:rsidTr="0080326B">
        <w:trPr>
          <w:trHeight w:val="290"/>
        </w:trPr>
        <w:tc>
          <w:tcPr>
            <w:tcW w:w="2407" w:type="dxa"/>
            <w:noWrap/>
          </w:tcPr>
          <w:p w14:paraId="1C4BA2DF"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Shitara et al (2020)</w:t>
            </w:r>
          </w:p>
        </w:tc>
        <w:tc>
          <w:tcPr>
            <w:tcW w:w="940" w:type="dxa"/>
            <w:noWrap/>
          </w:tcPr>
          <w:p w14:paraId="1CB3F75E"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L</w:t>
            </w:r>
          </w:p>
        </w:tc>
        <w:tc>
          <w:tcPr>
            <w:tcW w:w="1080" w:type="dxa"/>
            <w:noWrap/>
          </w:tcPr>
          <w:p w14:paraId="3F258706"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U</w:t>
            </w:r>
          </w:p>
        </w:tc>
        <w:tc>
          <w:tcPr>
            <w:tcW w:w="1132" w:type="dxa"/>
            <w:noWrap/>
          </w:tcPr>
          <w:p w14:paraId="1DB9BBA9"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H</w:t>
            </w:r>
          </w:p>
        </w:tc>
        <w:tc>
          <w:tcPr>
            <w:tcW w:w="988" w:type="dxa"/>
            <w:noWrap/>
          </w:tcPr>
          <w:p w14:paraId="79610AFF"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L</w:t>
            </w:r>
          </w:p>
        </w:tc>
        <w:tc>
          <w:tcPr>
            <w:tcW w:w="972" w:type="dxa"/>
            <w:noWrap/>
          </w:tcPr>
          <w:p w14:paraId="1AEFD937"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L</w:t>
            </w:r>
          </w:p>
        </w:tc>
        <w:tc>
          <w:tcPr>
            <w:tcW w:w="890" w:type="dxa"/>
            <w:noWrap/>
          </w:tcPr>
          <w:p w14:paraId="7E6CE121"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L</w:t>
            </w:r>
          </w:p>
        </w:tc>
        <w:tc>
          <w:tcPr>
            <w:tcW w:w="800" w:type="dxa"/>
            <w:noWrap/>
          </w:tcPr>
          <w:p w14:paraId="32059A23"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L</w:t>
            </w:r>
          </w:p>
        </w:tc>
      </w:tr>
      <w:tr w:rsidR="00027527" w:rsidRPr="00724FF8" w14:paraId="11179F85" w14:textId="77777777" w:rsidTr="0080326B">
        <w:trPr>
          <w:trHeight w:val="290"/>
        </w:trPr>
        <w:tc>
          <w:tcPr>
            <w:tcW w:w="2407" w:type="dxa"/>
            <w:noWrap/>
          </w:tcPr>
          <w:p w14:paraId="6DECCBCF"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Shitara et al (2018)</w:t>
            </w:r>
          </w:p>
        </w:tc>
        <w:tc>
          <w:tcPr>
            <w:tcW w:w="940" w:type="dxa"/>
            <w:noWrap/>
          </w:tcPr>
          <w:p w14:paraId="3053BA5D"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L</w:t>
            </w:r>
          </w:p>
        </w:tc>
        <w:tc>
          <w:tcPr>
            <w:tcW w:w="1080" w:type="dxa"/>
            <w:noWrap/>
          </w:tcPr>
          <w:p w14:paraId="1721467F"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L</w:t>
            </w:r>
          </w:p>
        </w:tc>
        <w:tc>
          <w:tcPr>
            <w:tcW w:w="1132" w:type="dxa"/>
            <w:noWrap/>
          </w:tcPr>
          <w:p w14:paraId="729A3F44"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L</w:t>
            </w:r>
          </w:p>
        </w:tc>
        <w:tc>
          <w:tcPr>
            <w:tcW w:w="988" w:type="dxa"/>
            <w:noWrap/>
          </w:tcPr>
          <w:p w14:paraId="2279F855"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L</w:t>
            </w:r>
          </w:p>
        </w:tc>
        <w:tc>
          <w:tcPr>
            <w:tcW w:w="972" w:type="dxa"/>
            <w:noWrap/>
          </w:tcPr>
          <w:p w14:paraId="3C38AC9F"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L</w:t>
            </w:r>
          </w:p>
        </w:tc>
        <w:tc>
          <w:tcPr>
            <w:tcW w:w="890" w:type="dxa"/>
            <w:noWrap/>
          </w:tcPr>
          <w:p w14:paraId="65431E22"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L</w:t>
            </w:r>
          </w:p>
        </w:tc>
        <w:tc>
          <w:tcPr>
            <w:tcW w:w="800" w:type="dxa"/>
            <w:noWrap/>
          </w:tcPr>
          <w:p w14:paraId="5AE7FE67" w14:textId="77777777" w:rsidR="00027527" w:rsidRPr="00C02C32" w:rsidRDefault="00027527" w:rsidP="00AF41CC">
            <w:pPr>
              <w:rPr>
                <w:rFonts w:ascii="Calibri" w:hAnsi="Calibri" w:cs="Calibri"/>
                <w:sz w:val="18"/>
                <w:szCs w:val="18"/>
              </w:rPr>
            </w:pPr>
            <w:r w:rsidRPr="00C02C32">
              <w:rPr>
                <w:rFonts w:ascii="Calibri" w:hAnsi="Calibri" w:cs="Calibri"/>
                <w:sz w:val="18"/>
                <w:szCs w:val="18"/>
              </w:rPr>
              <w:t>L</w:t>
            </w:r>
          </w:p>
        </w:tc>
      </w:tr>
    </w:tbl>
    <w:p w14:paraId="41F416FC" w14:textId="77777777" w:rsidR="00015144" w:rsidRDefault="00015144" w:rsidP="00015144">
      <w:pPr>
        <w:rPr>
          <w:rFonts w:cstheme="minorHAnsi"/>
        </w:rPr>
      </w:pPr>
    </w:p>
    <w:p w14:paraId="41A10801" w14:textId="77777777" w:rsidR="00FD02A0" w:rsidRDefault="00FD02A0">
      <w:pPr>
        <w:suppressAutoHyphens w:val="0"/>
        <w:rPr>
          <w:rFonts w:cstheme="minorHAnsi"/>
          <w:b/>
          <w:bCs/>
        </w:rPr>
      </w:pPr>
      <w:r>
        <w:rPr>
          <w:rFonts w:cstheme="minorHAnsi"/>
          <w:b/>
          <w:bCs/>
        </w:rPr>
        <w:br w:type="page"/>
      </w:r>
    </w:p>
    <w:p w14:paraId="0F211225" w14:textId="3B4ADA2F" w:rsidR="00015144" w:rsidRPr="00015144" w:rsidRDefault="00015144" w:rsidP="00015144">
      <w:pPr>
        <w:rPr>
          <w:rFonts w:cstheme="minorHAnsi"/>
          <w:b/>
          <w:bCs/>
        </w:rPr>
      </w:pPr>
      <w:r w:rsidRPr="00015144">
        <w:rPr>
          <w:rFonts w:cstheme="minorHAnsi"/>
          <w:b/>
          <w:bCs/>
        </w:rPr>
        <w:lastRenderedPageBreak/>
        <w:t xml:space="preserve">Table 3: Modified PRISMA NMA Checklist of Items to Include When Reporting the results of Network meta-analysis </w:t>
      </w:r>
      <w:r w:rsidRPr="002762F3">
        <w:rPr>
          <w:rFonts w:cstheme="minorHAnsi"/>
          <w:b/>
          <w:bCs/>
        </w:rPr>
        <w:fldChar w:fldCharType="begin"/>
      </w:r>
      <w:r w:rsidRPr="00015144">
        <w:rPr>
          <w:rFonts w:cstheme="minorHAnsi"/>
          <w:b/>
          <w:bCs/>
        </w:rPr>
        <w:instrText xml:space="preserve"> LINK Excel.Sheet.12 "https://tcdud-my.sharepoint.com/personal/ssharma8_tcd_ie/Documents/Modified%20PRISMA-NMA%20checklist.xlsx" "Sheet1!R1C1:R14C3" \a \f 5 \h  \* MERGEFORMAT </w:instrText>
      </w:r>
      <w:r w:rsidRPr="002762F3">
        <w:rPr>
          <w:rFonts w:cstheme="minorHAnsi"/>
          <w:b/>
          <w:bCs/>
        </w:rPr>
        <w:fldChar w:fldCharType="separate"/>
      </w:r>
    </w:p>
    <w:tbl>
      <w:tblPr>
        <w:tblStyle w:val="TableGrid"/>
        <w:tblW w:w="9634" w:type="dxa"/>
        <w:tblLook w:val="04A0" w:firstRow="1" w:lastRow="0" w:firstColumn="1" w:lastColumn="0" w:noHBand="0" w:noVBand="1"/>
      </w:tblPr>
      <w:tblGrid>
        <w:gridCol w:w="2160"/>
        <w:gridCol w:w="3960"/>
        <w:gridCol w:w="3514"/>
      </w:tblGrid>
      <w:tr w:rsidR="00015144" w:rsidRPr="002762F3" w14:paraId="56C17E16" w14:textId="77777777" w:rsidTr="0080326B">
        <w:trPr>
          <w:trHeight w:val="290"/>
        </w:trPr>
        <w:tc>
          <w:tcPr>
            <w:tcW w:w="2160" w:type="dxa"/>
            <w:hideMark/>
          </w:tcPr>
          <w:p w14:paraId="02C1CB78"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Item</w:t>
            </w:r>
          </w:p>
        </w:tc>
        <w:tc>
          <w:tcPr>
            <w:tcW w:w="3960" w:type="dxa"/>
            <w:hideMark/>
          </w:tcPr>
          <w:p w14:paraId="5FA76CA5"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Checklist Item</w:t>
            </w:r>
          </w:p>
        </w:tc>
        <w:tc>
          <w:tcPr>
            <w:tcW w:w="3514" w:type="dxa"/>
            <w:hideMark/>
          </w:tcPr>
          <w:p w14:paraId="34FFDCAC"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Reported under which Section</w:t>
            </w:r>
          </w:p>
        </w:tc>
      </w:tr>
      <w:tr w:rsidR="00015144" w:rsidRPr="00C02C32" w14:paraId="644D6B59" w14:textId="77777777" w:rsidTr="0080326B">
        <w:trPr>
          <w:trHeight w:val="1310"/>
        </w:trPr>
        <w:tc>
          <w:tcPr>
            <w:tcW w:w="2160" w:type="dxa"/>
            <w:noWrap/>
            <w:hideMark/>
          </w:tcPr>
          <w:p w14:paraId="580EF665"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1</w:t>
            </w:r>
          </w:p>
        </w:tc>
        <w:tc>
          <w:tcPr>
            <w:tcW w:w="3960" w:type="dxa"/>
            <w:hideMark/>
          </w:tcPr>
          <w:p w14:paraId="510F69D1"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Describe the reasons for the evidence review in the context of what is already known, including why an NMA has been conducted.</w:t>
            </w:r>
          </w:p>
        </w:tc>
        <w:tc>
          <w:tcPr>
            <w:tcW w:w="3514" w:type="dxa"/>
            <w:hideMark/>
          </w:tcPr>
          <w:p w14:paraId="575B4AB2"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 xml:space="preserve">Yes. The reasons (i.e. current uncertainty of relative efficacy and safety of novel treatments for this indication) are stated in the Introduction section, paragraphs 6 and 7; objective statement. </w:t>
            </w:r>
          </w:p>
        </w:tc>
      </w:tr>
      <w:tr w:rsidR="00015144" w:rsidRPr="002762F3" w14:paraId="0D127F0A" w14:textId="77777777" w:rsidTr="0080326B">
        <w:trPr>
          <w:trHeight w:val="2340"/>
        </w:trPr>
        <w:tc>
          <w:tcPr>
            <w:tcW w:w="2160" w:type="dxa"/>
            <w:noWrap/>
            <w:hideMark/>
          </w:tcPr>
          <w:p w14:paraId="091C29A0"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2</w:t>
            </w:r>
          </w:p>
        </w:tc>
        <w:tc>
          <w:tcPr>
            <w:tcW w:w="3960" w:type="dxa"/>
            <w:hideMark/>
          </w:tcPr>
          <w:p w14:paraId="18758F02"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Specify the study characteristics (for example, PICOs, length of follow-up) and report characteristics (for example, years considered, language, publication status) used to decide the eligibility of studies, giving the reasons for the characteristics used. Clearly describe eligible treatments included in the treatment network and note whether any have been clustered or merged into the same node (with justification).</w:t>
            </w:r>
          </w:p>
        </w:tc>
        <w:tc>
          <w:tcPr>
            <w:tcW w:w="3514" w:type="dxa"/>
            <w:noWrap/>
            <w:hideMark/>
          </w:tcPr>
          <w:p w14:paraId="70FBF5D2" w14:textId="054C5860" w:rsidR="00015144" w:rsidRPr="00C02C32" w:rsidRDefault="00015144" w:rsidP="00AF41CC">
            <w:pPr>
              <w:rPr>
                <w:rFonts w:ascii="Calibri" w:hAnsi="Calibri" w:cs="Calibri"/>
                <w:sz w:val="18"/>
                <w:szCs w:val="18"/>
              </w:rPr>
            </w:pPr>
            <w:r w:rsidRPr="00C02C32">
              <w:rPr>
                <w:rFonts w:ascii="Calibri" w:hAnsi="Calibri" w:cs="Calibri"/>
                <w:sz w:val="18"/>
                <w:szCs w:val="18"/>
              </w:rPr>
              <w:t>Yes. Key study characteristics (including PICO, language, study-time period, eligibility criteria) stated at methods 2.1-2.3, PICOS (appendix) &amp; methods 2.5.1).</w:t>
            </w:r>
          </w:p>
        </w:tc>
      </w:tr>
      <w:tr w:rsidR="00015144" w:rsidRPr="002762F3" w14:paraId="67D5C212" w14:textId="77777777" w:rsidTr="0080326B">
        <w:trPr>
          <w:trHeight w:val="2340"/>
        </w:trPr>
        <w:tc>
          <w:tcPr>
            <w:tcW w:w="2160" w:type="dxa"/>
            <w:noWrap/>
            <w:hideMark/>
          </w:tcPr>
          <w:p w14:paraId="19A05EF4"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3</w:t>
            </w:r>
          </w:p>
        </w:tc>
        <w:tc>
          <w:tcPr>
            <w:tcW w:w="3960" w:type="dxa"/>
            <w:hideMark/>
          </w:tcPr>
          <w:p w14:paraId="38677296"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Describe methods used to explore the geometry of the treatment network and potential biases related to it (for example, if there are important links in the network where the studies are at high-risk of bias). This should include how the evidence base has been graphically summarised for presentation, and what characteristics were compiled and used to describe the evidence base to readers.</w:t>
            </w:r>
          </w:p>
        </w:tc>
        <w:tc>
          <w:tcPr>
            <w:tcW w:w="3514" w:type="dxa"/>
            <w:noWrap/>
            <w:hideMark/>
          </w:tcPr>
          <w:p w14:paraId="73A3A3F4"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Yes. Constructed outcome specific networks (OS, PFS, ORR and Grade ≥3 TRAEs). Feasibility assessed by lines of therapy (2L only feasible). Exchangeability discussed (differences in inclusion/exclusion criteria, biomarker use, prior therapy). Geometry displayed with network graphs (per outcome). Described in methods 2.5.1; Results 3.6 and Appendix Figures.</w:t>
            </w:r>
          </w:p>
        </w:tc>
      </w:tr>
      <w:tr w:rsidR="00015144" w:rsidRPr="002762F3" w14:paraId="187C370A" w14:textId="77777777" w:rsidTr="0080326B">
        <w:trPr>
          <w:trHeight w:val="2080"/>
        </w:trPr>
        <w:tc>
          <w:tcPr>
            <w:tcW w:w="2160" w:type="dxa"/>
            <w:noWrap/>
            <w:hideMark/>
          </w:tcPr>
          <w:p w14:paraId="0E832540"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4</w:t>
            </w:r>
          </w:p>
        </w:tc>
        <w:tc>
          <w:tcPr>
            <w:tcW w:w="3960" w:type="dxa"/>
            <w:hideMark/>
          </w:tcPr>
          <w:p w14:paraId="5838D3A0"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State the principal summary measures (for example, risk ratio, difference in means). Also describe the use of additional summary measures assessed, such as treatment rankings and surface under the cumulative ranking curve (SUCRA) values, as well as modified approaches used to present summary findings from meta-analyses.</w:t>
            </w:r>
          </w:p>
        </w:tc>
        <w:tc>
          <w:tcPr>
            <w:tcW w:w="3514" w:type="dxa"/>
            <w:noWrap/>
            <w:hideMark/>
          </w:tcPr>
          <w:p w14:paraId="171B96FD"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Yes. Stated principal summary measures (HRs for OS and PFS; RRs for ORR, and Grade ≥3 TRAEs; 95% credible intervals reported in the methods 2.6; Results 3.6; figure captions. No treatment ranking/SUCRA presented.</w:t>
            </w:r>
          </w:p>
        </w:tc>
      </w:tr>
      <w:tr w:rsidR="00015144" w:rsidRPr="002762F3" w14:paraId="0067AE6E" w14:textId="77777777" w:rsidTr="0080326B">
        <w:trPr>
          <w:trHeight w:val="1960"/>
        </w:trPr>
        <w:tc>
          <w:tcPr>
            <w:tcW w:w="2160" w:type="dxa"/>
            <w:noWrap/>
            <w:hideMark/>
          </w:tcPr>
          <w:p w14:paraId="705826EA"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5</w:t>
            </w:r>
          </w:p>
        </w:tc>
        <w:tc>
          <w:tcPr>
            <w:tcW w:w="3960" w:type="dxa"/>
            <w:hideMark/>
          </w:tcPr>
          <w:p w14:paraId="00D9C643"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Describe the methods of handling data and combining results of studies for each NMA. This should include but not be limited to: a) handling of multi-arm trials b) selection of variance structure c) selection of prior distributions in Bayesian analyses d) assessment of model fit.</w:t>
            </w:r>
          </w:p>
        </w:tc>
        <w:tc>
          <w:tcPr>
            <w:tcW w:w="3514" w:type="dxa"/>
            <w:noWrap/>
            <w:hideMark/>
          </w:tcPr>
          <w:p w14:paraId="3D97B781" w14:textId="77777777" w:rsidR="00015144" w:rsidRPr="00C02C32" w:rsidRDefault="00015144" w:rsidP="00AF41CC">
            <w:pPr>
              <w:spacing w:line="257" w:lineRule="auto"/>
              <w:jc w:val="both"/>
              <w:rPr>
                <w:rFonts w:ascii="Calibri" w:eastAsia="Calibri" w:hAnsi="Calibri" w:cs="Calibri"/>
                <w:sz w:val="18"/>
                <w:szCs w:val="18"/>
                <w:lang w:val="en-US"/>
              </w:rPr>
            </w:pPr>
            <w:r w:rsidRPr="00C02C32">
              <w:rPr>
                <w:rFonts w:ascii="Calibri" w:hAnsi="Calibri" w:cs="Calibri"/>
                <w:sz w:val="18"/>
                <w:szCs w:val="18"/>
              </w:rPr>
              <w:t xml:space="preserve">Yes. Descried (Bayesian NMA in GLM framework. OS/PFS: normal likelihood on log-HR scale with identity link. ORR/TRAEs: binomial likelihood with log-link. Priors: </w:t>
            </w:r>
            <w:r w:rsidRPr="00C02C32">
              <w:rPr>
                <w:rFonts w:ascii="Calibri" w:eastAsia="Calibri" w:hAnsi="Calibri" w:cs="Calibri"/>
                <w:sz w:val="18"/>
                <w:szCs w:val="18"/>
                <w:lang w:val="en-US"/>
              </w:rPr>
              <w:t>Non-informative prior normal distributions (mean 0 and variance 10^6) for treatment-effect parameters specified; half-normal prior (SD 0.5) for random-effects heterogeneity (chosen to reflect between-study heterogeneity). Multi-arm handled within the GLM. Model fit assessed via posterior summaries; analyses run in R.) in m</w:t>
            </w:r>
            <w:r w:rsidRPr="00C02C32">
              <w:rPr>
                <w:rFonts w:ascii="Calibri" w:hAnsi="Calibri" w:cs="Calibri"/>
                <w:sz w:val="18"/>
                <w:szCs w:val="18"/>
              </w:rPr>
              <w:t>ethods 2.6 (Data synthesis and statistical methods).</w:t>
            </w:r>
          </w:p>
        </w:tc>
      </w:tr>
      <w:tr w:rsidR="00015144" w:rsidRPr="002762F3" w14:paraId="37161D17" w14:textId="77777777" w:rsidTr="0080326B">
        <w:trPr>
          <w:trHeight w:val="1400"/>
        </w:trPr>
        <w:tc>
          <w:tcPr>
            <w:tcW w:w="2160" w:type="dxa"/>
            <w:noWrap/>
            <w:hideMark/>
          </w:tcPr>
          <w:p w14:paraId="249B5362"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6</w:t>
            </w:r>
          </w:p>
        </w:tc>
        <w:tc>
          <w:tcPr>
            <w:tcW w:w="3960" w:type="dxa"/>
            <w:hideMark/>
          </w:tcPr>
          <w:p w14:paraId="75DA8A86"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Describe the statistical methods used to evaluate the agreement of direct and indirect evidence in the treatment network(s) studied. Describe efforts taken to address inconsistency when found.</w:t>
            </w:r>
          </w:p>
        </w:tc>
        <w:tc>
          <w:tcPr>
            <w:tcW w:w="3514" w:type="dxa"/>
            <w:noWrap/>
            <w:hideMark/>
          </w:tcPr>
          <w:p w14:paraId="5C01408C" w14:textId="77392933" w:rsidR="00015144" w:rsidRPr="00C02C32" w:rsidRDefault="00015144" w:rsidP="00AF41CC">
            <w:pPr>
              <w:rPr>
                <w:rFonts w:ascii="Calibri" w:hAnsi="Calibri" w:cs="Calibri"/>
                <w:sz w:val="18"/>
                <w:szCs w:val="18"/>
              </w:rPr>
            </w:pPr>
            <w:r w:rsidRPr="00C02C32">
              <w:rPr>
                <w:rFonts w:ascii="Calibri" w:hAnsi="Calibri" w:cs="Calibri"/>
                <w:sz w:val="18"/>
                <w:szCs w:val="18"/>
              </w:rPr>
              <w:t xml:space="preserve">Yes. Described in methods 2.6 (final </w:t>
            </w:r>
            <w:r w:rsidR="00026A2E" w:rsidRPr="00C02C32">
              <w:rPr>
                <w:rFonts w:ascii="Calibri" w:hAnsi="Calibri" w:cs="Calibri"/>
                <w:sz w:val="18"/>
                <w:szCs w:val="18"/>
              </w:rPr>
              <w:t xml:space="preserve">paragraphs) </w:t>
            </w:r>
            <w:r w:rsidR="00026A2E" w:rsidRPr="00C02C32">
              <w:rPr>
                <w:rFonts w:cs="Calibri"/>
                <w:sz w:val="18"/>
                <w:szCs w:val="18"/>
              </w:rPr>
              <w:t>(</w:t>
            </w:r>
            <w:r w:rsidRPr="00C02C32">
              <w:rPr>
                <w:rFonts w:ascii="Calibri" w:hAnsi="Calibri" w:cs="Calibri"/>
                <w:sz w:val="18"/>
                <w:szCs w:val="18"/>
              </w:rPr>
              <w:t xml:space="preserve">Due to few RCTs and absence of closed loops, quantitative inconsistency assessment was not possible. Assumption of exchangeability assessed qualitatively via study/population characteristics; separate </w:t>
            </w:r>
            <w:r w:rsidRPr="00C02C32">
              <w:rPr>
                <w:rFonts w:ascii="Calibri" w:hAnsi="Calibri" w:cs="Calibri"/>
                <w:sz w:val="18"/>
                <w:szCs w:val="18"/>
              </w:rPr>
              <w:lastRenderedPageBreak/>
              <w:t>networks by line of therapy to reduce structural inconsistency).</w:t>
            </w:r>
          </w:p>
        </w:tc>
      </w:tr>
      <w:tr w:rsidR="00015144" w:rsidRPr="002762F3" w14:paraId="19ED732A" w14:textId="77777777" w:rsidTr="0080326B">
        <w:trPr>
          <w:trHeight w:val="2240"/>
        </w:trPr>
        <w:tc>
          <w:tcPr>
            <w:tcW w:w="2160" w:type="dxa"/>
            <w:noWrap/>
            <w:hideMark/>
          </w:tcPr>
          <w:p w14:paraId="6666DA36"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lastRenderedPageBreak/>
              <w:t>7</w:t>
            </w:r>
          </w:p>
        </w:tc>
        <w:tc>
          <w:tcPr>
            <w:tcW w:w="3960" w:type="dxa"/>
            <w:hideMark/>
          </w:tcPr>
          <w:p w14:paraId="12CE482D"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 xml:space="preserve"> Describe methods of additional analyses if done, indicating which were pre-specified. This may include, but not be limited to, the following: a) sensitivity or subgroup analyses b) meta-regression analyses c) alternative formulations of the treatment network d) use of alternative prior distributions for Bayesian analyses (if applicable).</w:t>
            </w:r>
          </w:p>
        </w:tc>
        <w:tc>
          <w:tcPr>
            <w:tcW w:w="3514" w:type="dxa"/>
            <w:noWrap/>
            <w:hideMark/>
          </w:tcPr>
          <w:p w14:paraId="0EB391CF"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No formal sensitivity analyses, subgroup analyses, meta-regressions, or alternative priors were undertaken because of sparse networks and low event counts; this is acknowledged in the methods 2.6 and discussion.</w:t>
            </w:r>
          </w:p>
        </w:tc>
      </w:tr>
      <w:tr w:rsidR="00015144" w:rsidRPr="002762F3" w14:paraId="3C445A5B" w14:textId="77777777" w:rsidTr="0080326B">
        <w:trPr>
          <w:trHeight w:val="840"/>
        </w:trPr>
        <w:tc>
          <w:tcPr>
            <w:tcW w:w="2160" w:type="dxa"/>
            <w:noWrap/>
            <w:hideMark/>
          </w:tcPr>
          <w:p w14:paraId="4567D83E"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8</w:t>
            </w:r>
          </w:p>
        </w:tc>
        <w:tc>
          <w:tcPr>
            <w:tcW w:w="3960" w:type="dxa"/>
            <w:hideMark/>
          </w:tcPr>
          <w:p w14:paraId="3BDF8F07"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 xml:space="preserve"> Provide a network graph of the included studies to enable visualisation of the geometry of the treatment network.</w:t>
            </w:r>
          </w:p>
        </w:tc>
        <w:tc>
          <w:tcPr>
            <w:tcW w:w="3514" w:type="dxa"/>
            <w:noWrap/>
            <w:hideMark/>
          </w:tcPr>
          <w:p w14:paraId="0A7EC47B"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 xml:space="preserve">Yes. Network diagrams for each outcome are provided. Figures: Fig 2 (OS), Fig 3 (PFS), Fig 4 (ORR), Fig 5 (TRAEs). </w:t>
            </w:r>
          </w:p>
        </w:tc>
      </w:tr>
      <w:tr w:rsidR="00015144" w:rsidRPr="002762F3" w14:paraId="779841D5" w14:textId="77777777" w:rsidTr="0080326B">
        <w:trPr>
          <w:trHeight w:val="2520"/>
        </w:trPr>
        <w:tc>
          <w:tcPr>
            <w:tcW w:w="2160" w:type="dxa"/>
            <w:noWrap/>
            <w:hideMark/>
          </w:tcPr>
          <w:p w14:paraId="254B2D53"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9</w:t>
            </w:r>
          </w:p>
        </w:tc>
        <w:tc>
          <w:tcPr>
            <w:tcW w:w="3960" w:type="dxa"/>
            <w:hideMark/>
          </w:tcPr>
          <w:p w14:paraId="5016A1F1"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Provide a brief overview of characteristics of the treatment network. This may include commentary on the abundance of trials and randomised patients for the different interventions and pairwise comparisons in the network, gaps of evidence in the treatment network, and potential biases reflected by the network structure (for example, publication bias).</w:t>
            </w:r>
          </w:p>
        </w:tc>
        <w:tc>
          <w:tcPr>
            <w:tcW w:w="3514" w:type="dxa"/>
            <w:noWrap/>
            <w:hideMark/>
          </w:tcPr>
          <w:p w14:paraId="0F4F7DC2"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 xml:space="preserve">Yes. Described in results 3.1-3.3 and 3.6 and discussion summary (44 RCTs identified; network feasible only in 2L: 8 treatments in OS network, 5 in PFS; 6 in ORR; 5 in TRAEs. Heterogeneity in trial characteristics noted; some treatments absent from certain networks; low events for TRAEs, wide CrIs. </w:t>
            </w:r>
          </w:p>
        </w:tc>
      </w:tr>
      <w:tr w:rsidR="00015144" w:rsidRPr="002762F3" w14:paraId="19D7A4D2" w14:textId="77777777" w:rsidTr="0080326B">
        <w:trPr>
          <w:trHeight w:val="2520"/>
        </w:trPr>
        <w:tc>
          <w:tcPr>
            <w:tcW w:w="2160" w:type="dxa"/>
            <w:noWrap/>
            <w:hideMark/>
          </w:tcPr>
          <w:p w14:paraId="272277B9"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10</w:t>
            </w:r>
          </w:p>
        </w:tc>
        <w:tc>
          <w:tcPr>
            <w:tcW w:w="3960" w:type="dxa"/>
            <w:hideMark/>
          </w:tcPr>
          <w:p w14:paraId="7057CB0C"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 xml:space="preserve"> Present results of each meta-analysis done, including confidence/credible intervals. In larger networks, authors may focus on comparisons versus a particular comparator (for example, placebo or standard care). League tables and forest plots may be considered to summarise pairwise comparisons. If additional summary measures were explored (such as treatment rankings), these should also be presented.</w:t>
            </w:r>
          </w:p>
        </w:tc>
        <w:tc>
          <w:tcPr>
            <w:tcW w:w="3514" w:type="dxa"/>
            <w:noWrap/>
            <w:hideMark/>
          </w:tcPr>
          <w:p w14:paraId="73157934"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 xml:space="preserve">Yes. Pairwise results shown as grid (league) tables with 95% CrIs and colour-coded direction of effect for each outcome; full pairwise matrices provided in results 3.6; Figures/Appendix tables. However, no ranking reported. </w:t>
            </w:r>
          </w:p>
        </w:tc>
      </w:tr>
      <w:tr w:rsidR="00015144" w:rsidRPr="002762F3" w14:paraId="6D5BEBA4" w14:textId="77777777" w:rsidTr="0080326B">
        <w:trPr>
          <w:trHeight w:val="1960"/>
        </w:trPr>
        <w:tc>
          <w:tcPr>
            <w:tcW w:w="2160" w:type="dxa"/>
            <w:noWrap/>
            <w:hideMark/>
          </w:tcPr>
          <w:p w14:paraId="00DAD98B"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11</w:t>
            </w:r>
          </w:p>
        </w:tc>
        <w:tc>
          <w:tcPr>
            <w:tcW w:w="3960" w:type="dxa"/>
            <w:hideMark/>
          </w:tcPr>
          <w:p w14:paraId="66D86763"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 xml:space="preserve"> Describe results from investigations of inconsistency. This may include such information as measures of model fit to compare consistency and inconsistency models, P values from statistical tests, or summary of inconsistency estimates from different parts of the treatment network.</w:t>
            </w:r>
          </w:p>
        </w:tc>
        <w:tc>
          <w:tcPr>
            <w:tcW w:w="3514" w:type="dxa"/>
            <w:noWrap/>
            <w:hideMark/>
          </w:tcPr>
          <w:p w14:paraId="17031C28"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Not applicable. No closed loops and sparse data prevented formal inconsistency testing; this is stated explicitly in methods 2.6; Results narrative</w:t>
            </w:r>
          </w:p>
        </w:tc>
      </w:tr>
      <w:tr w:rsidR="00015144" w:rsidRPr="002762F3" w14:paraId="0643595D" w14:textId="77777777" w:rsidTr="0080326B">
        <w:trPr>
          <w:trHeight w:val="1400"/>
        </w:trPr>
        <w:tc>
          <w:tcPr>
            <w:tcW w:w="2160" w:type="dxa"/>
            <w:noWrap/>
            <w:hideMark/>
          </w:tcPr>
          <w:p w14:paraId="7A6BECDC"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12</w:t>
            </w:r>
          </w:p>
        </w:tc>
        <w:tc>
          <w:tcPr>
            <w:tcW w:w="3960" w:type="dxa"/>
            <w:hideMark/>
          </w:tcPr>
          <w:p w14:paraId="196A9E8C"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 xml:space="preserve"> Give results of additional analyses, if done (for example, sensitivity or subgroup analyses, meta-regression analyses, alternative network geometries studied, alternative choice of prior distributions for Bayesian analyses).</w:t>
            </w:r>
          </w:p>
        </w:tc>
        <w:tc>
          <w:tcPr>
            <w:tcW w:w="3514" w:type="dxa"/>
            <w:noWrap/>
            <w:hideMark/>
          </w:tcPr>
          <w:p w14:paraId="2A51269F"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Not applicable, no additional analyses conducted due to network sparsity as discussed in methods 2.6 and limitation noted in discussion.</w:t>
            </w:r>
          </w:p>
        </w:tc>
      </w:tr>
      <w:tr w:rsidR="00015144" w:rsidRPr="002762F3" w14:paraId="3F46B5DE" w14:textId="77777777" w:rsidTr="0080326B">
        <w:trPr>
          <w:trHeight w:val="2240"/>
        </w:trPr>
        <w:tc>
          <w:tcPr>
            <w:tcW w:w="2160" w:type="dxa"/>
            <w:noWrap/>
            <w:hideMark/>
          </w:tcPr>
          <w:p w14:paraId="60C7EFB8"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lastRenderedPageBreak/>
              <w:t>13</w:t>
            </w:r>
          </w:p>
        </w:tc>
        <w:tc>
          <w:tcPr>
            <w:tcW w:w="3960" w:type="dxa"/>
            <w:hideMark/>
          </w:tcPr>
          <w:p w14:paraId="714442C1"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Discuss limitations at study and outcome level (for example, risk of bias), and at review level (for example, incomplete retrieval of identified research, reporting bias). Comment on the validity of the assumptions, such as transitivity and consistency. Comment on any concerns regarding network geometry (for example, avoidance of certain comparisons).</w:t>
            </w:r>
          </w:p>
        </w:tc>
        <w:tc>
          <w:tcPr>
            <w:tcW w:w="3514" w:type="dxa"/>
            <w:noWrap/>
            <w:hideMark/>
          </w:tcPr>
          <w:p w14:paraId="62C1C8F1" w14:textId="77777777" w:rsidR="00015144" w:rsidRPr="00C02C32" w:rsidRDefault="00015144" w:rsidP="00AF41CC">
            <w:pPr>
              <w:rPr>
                <w:rFonts w:ascii="Calibri" w:hAnsi="Calibri" w:cs="Calibri"/>
                <w:sz w:val="18"/>
                <w:szCs w:val="18"/>
              </w:rPr>
            </w:pPr>
            <w:r w:rsidRPr="00C02C32">
              <w:rPr>
                <w:rFonts w:ascii="Calibri" w:hAnsi="Calibri" w:cs="Calibri"/>
                <w:sz w:val="18"/>
                <w:szCs w:val="18"/>
              </w:rPr>
              <w:t>Limitations included inability to build second- and later-line, or third- and later-line networks; incomplete inclusion of all treatments in each outcome network; potential bias from trial heterogeneity; sparse TRAEs; inclusion of pembrolizumab trials not restricted to MSI-H/TMB high; reliance on exchangeability assumption; no quantitative heterogeneity/inconsistency analysis as mentioned in discussion (limitations paragraphs).</w:t>
            </w:r>
          </w:p>
        </w:tc>
      </w:tr>
    </w:tbl>
    <w:p w14:paraId="0CBBA797" w14:textId="77777777" w:rsidR="00FD02A0" w:rsidRDefault="00015144" w:rsidP="00FD02A0">
      <w:pPr>
        <w:keepNext/>
        <w:keepLines/>
        <w:spacing w:before="240" w:after="0"/>
        <w:outlineLvl w:val="0"/>
        <w:rPr>
          <w:rFonts w:ascii="Calibri Light" w:eastAsia="Times New Roman" w:hAnsi="Calibri Light"/>
          <w:color w:val="2E74B5"/>
          <w:sz w:val="32"/>
          <w:szCs w:val="32"/>
        </w:rPr>
      </w:pPr>
      <w:r w:rsidRPr="002762F3">
        <w:rPr>
          <w:rFonts w:cstheme="minorHAnsi"/>
        </w:rPr>
        <w:fldChar w:fldCharType="end"/>
      </w:r>
      <w:r w:rsidR="00FD02A0" w:rsidRPr="00FD02A0">
        <w:rPr>
          <w:rFonts w:ascii="Calibri Light" w:eastAsia="Times New Roman" w:hAnsi="Calibri Light"/>
          <w:color w:val="2E74B5"/>
          <w:sz w:val="32"/>
          <w:szCs w:val="32"/>
        </w:rPr>
        <w:t xml:space="preserve"> </w:t>
      </w:r>
    </w:p>
    <w:p w14:paraId="5A3B9834" w14:textId="77777777" w:rsidR="00FD02A0" w:rsidRDefault="00FD02A0">
      <w:pPr>
        <w:suppressAutoHyphens w:val="0"/>
        <w:rPr>
          <w:rFonts w:ascii="Calibri Light" w:eastAsia="Times New Roman" w:hAnsi="Calibri Light"/>
          <w:color w:val="2E74B5"/>
          <w:sz w:val="32"/>
          <w:szCs w:val="32"/>
        </w:rPr>
      </w:pPr>
      <w:r>
        <w:rPr>
          <w:rFonts w:ascii="Calibri Light" w:eastAsia="Times New Roman" w:hAnsi="Calibri Light"/>
          <w:color w:val="2E74B5"/>
          <w:sz w:val="32"/>
          <w:szCs w:val="32"/>
        </w:rPr>
        <w:br w:type="page"/>
      </w:r>
    </w:p>
    <w:p w14:paraId="689A8C90" w14:textId="6D158EE6" w:rsidR="00FD02A0" w:rsidRPr="00FD02A0" w:rsidRDefault="00FD02A0" w:rsidP="00FD02A0">
      <w:pPr>
        <w:keepNext/>
        <w:keepLines/>
        <w:spacing w:before="240" w:after="0"/>
        <w:outlineLvl w:val="0"/>
        <w:rPr>
          <w:rFonts w:ascii="Calibri Light" w:eastAsia="Times New Roman" w:hAnsi="Calibri Light"/>
          <w:color w:val="2E74B5"/>
          <w:sz w:val="32"/>
          <w:szCs w:val="32"/>
        </w:rPr>
      </w:pPr>
      <w:r w:rsidRPr="00FD02A0">
        <w:rPr>
          <w:rFonts w:ascii="Calibri Light" w:eastAsia="Times New Roman" w:hAnsi="Calibri Light"/>
          <w:color w:val="2E74B5"/>
          <w:sz w:val="32"/>
          <w:szCs w:val="32"/>
        </w:rPr>
        <w:lastRenderedPageBreak/>
        <w:t xml:space="preserve">Search </w:t>
      </w:r>
      <w:r>
        <w:rPr>
          <w:rFonts w:ascii="Calibri Light" w:eastAsia="Times New Roman" w:hAnsi="Calibri Light"/>
          <w:color w:val="2E74B5"/>
          <w:sz w:val="32"/>
          <w:szCs w:val="32"/>
        </w:rPr>
        <w:t>Strategy</w:t>
      </w:r>
    </w:p>
    <w:p w14:paraId="0C0F6B6C" w14:textId="7DD4A6F4" w:rsidR="00FD02A0" w:rsidRPr="00FD02A0" w:rsidRDefault="00FD02A0" w:rsidP="000E46F8">
      <w:pPr>
        <w:keepNext/>
        <w:keepLines/>
        <w:shd w:val="clear" w:color="auto" w:fill="FFFFFF"/>
        <w:spacing w:before="240" w:after="0" w:line="256" w:lineRule="auto"/>
        <w:outlineLvl w:val="0"/>
        <w:rPr>
          <w:rFonts w:cs="Tahoma"/>
        </w:rPr>
      </w:pPr>
      <w:r w:rsidRPr="00FD02A0">
        <w:rPr>
          <w:rFonts w:cs="Tahoma"/>
        </w:rPr>
        <w:t>The</w:t>
      </w:r>
      <w:r w:rsidR="000E46F8">
        <w:rPr>
          <w:rFonts w:cs="Tahoma"/>
        </w:rPr>
        <w:t xml:space="preserve"> </w:t>
      </w:r>
      <w:r w:rsidRPr="00FD02A0">
        <w:rPr>
          <w:rFonts w:cs="Tahoma"/>
        </w:rPr>
        <w:t xml:space="preserve">clinical search terms for ‘advanced gastric cancer’ and ‘randomized controlled trials’ were modified from the search undertaken in the systematic review and meta-analysis for clinical outcomes of systemic treatments for advanced gastric or gastroesophageal junction cancer by Abderhalden et al., 2023 </w:t>
      </w:r>
      <w:r w:rsidR="0063503F">
        <w:rPr>
          <w:rFonts w:cs="Tahoma"/>
        </w:rPr>
        <w:fldChar w:fldCharType="begin">
          <w:fldData xml:space="preserve">PEVuZE5vdGU+PENpdGU+PEF1dGhvcj5BYmRlcmhhbGRlbjwvQXV0aG9yPjxZZWFyPjIwMjM8L1ll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</w:fldData>
        </w:fldChar>
      </w:r>
      <w:r w:rsidR="0063503F">
        <w:rPr>
          <w:rFonts w:cs="Tahoma"/>
        </w:rPr>
        <w:instrText xml:space="preserve"> ADDIN EN.CITE </w:instrText>
      </w:r>
      <w:r w:rsidR="0063503F">
        <w:rPr>
          <w:rFonts w:cs="Tahoma"/>
        </w:rPr>
        <w:fldChar w:fldCharType="begin">
          <w:fldData xml:space="preserve">PEVuZE5vdGU+PENpdGU+PEF1dGhvcj5BYmRlcmhhbGRlbjwvQXV0aG9yPjxZZWFyPjIwMjM8L1ll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</w:fldData>
        </w:fldChar>
      </w:r>
      <w:r w:rsidR="0063503F">
        <w:rPr>
          <w:rFonts w:cs="Tahoma"/>
        </w:rPr>
        <w:instrText xml:space="preserve"> ADDIN EN.CITE.DATA </w:instrText>
      </w:r>
      <w:r w:rsidR="0063503F">
        <w:rPr>
          <w:rFonts w:cs="Tahoma"/>
        </w:rPr>
      </w:r>
      <w:r w:rsidR="0063503F">
        <w:rPr>
          <w:rFonts w:cs="Tahoma"/>
        </w:rPr>
        <w:fldChar w:fldCharType="end"/>
      </w:r>
      <w:r w:rsidR="0063503F">
        <w:rPr>
          <w:rFonts w:cs="Tahoma"/>
        </w:rPr>
      </w:r>
      <w:r w:rsidR="0063503F">
        <w:rPr>
          <w:rFonts w:cs="Tahoma"/>
        </w:rPr>
        <w:fldChar w:fldCharType="separate"/>
      </w:r>
      <w:r w:rsidR="0063503F">
        <w:rPr>
          <w:rFonts w:cs="Tahoma"/>
          <w:noProof/>
        </w:rPr>
        <w:t>[1]</w:t>
      </w:r>
      <w:r w:rsidR="0063503F">
        <w:rPr>
          <w:rFonts w:cs="Tahoma"/>
        </w:rPr>
        <w:fldChar w:fldCharType="end"/>
      </w:r>
      <w:r w:rsidR="000E46F8">
        <w:rPr>
          <w:rFonts w:cs="Tahoma"/>
        </w:rPr>
        <w:t>.</w:t>
      </w:r>
      <w:r w:rsidR="004F66DB">
        <w:rPr>
          <w:rFonts w:cs="Tahoma"/>
        </w:rPr>
        <w:t xml:space="preserve"> </w:t>
      </w:r>
      <w:r w:rsidRPr="00FD02A0">
        <w:rPr>
          <w:rFonts w:cs="Tahoma"/>
        </w:rPr>
        <w:t xml:space="preserve">Search terms for drugs were obtained from </w:t>
      </w:r>
      <w:r w:rsidR="000E46F8">
        <w:rPr>
          <w:rFonts w:cs="Tahoma"/>
        </w:rPr>
        <w:t xml:space="preserve">a </w:t>
      </w:r>
      <w:r w:rsidRPr="00FD02A0">
        <w:rPr>
          <w:rFonts w:cs="Tahoma"/>
        </w:rPr>
        <w:t xml:space="preserve">systematic literature review of </w:t>
      </w:r>
      <w:r w:rsidR="000E46F8">
        <w:rPr>
          <w:rFonts w:cs="Tahoma"/>
        </w:rPr>
        <w:t>health-</w:t>
      </w:r>
      <w:r w:rsidRPr="00FD02A0">
        <w:rPr>
          <w:rFonts w:cs="Tahoma"/>
        </w:rPr>
        <w:t>economic evaluations for systemic treatments for</w:t>
      </w:r>
      <w:r w:rsidR="000E46F8">
        <w:rPr>
          <w:rFonts w:cs="Tahoma"/>
        </w:rPr>
        <w:t xml:space="preserve"> the second- and </w:t>
      </w:r>
      <w:r w:rsidRPr="00FD02A0">
        <w:rPr>
          <w:rFonts w:cs="Tahoma"/>
        </w:rPr>
        <w:t>later</w:t>
      </w:r>
      <w:r w:rsidR="000E46F8">
        <w:rPr>
          <w:rFonts w:cs="Tahoma"/>
        </w:rPr>
        <w:t>-</w:t>
      </w:r>
      <w:r w:rsidRPr="00FD02A0">
        <w:rPr>
          <w:rFonts w:cs="Tahoma"/>
        </w:rPr>
        <w:t xml:space="preserve">line treatment for </w:t>
      </w:r>
      <w:r w:rsidR="000E46F8">
        <w:rPr>
          <w:rFonts w:cs="Tahoma"/>
        </w:rPr>
        <w:t>advanced and metastatic gastric cancer (</w:t>
      </w:r>
      <w:r w:rsidRPr="00FD02A0">
        <w:rPr>
          <w:rFonts w:cs="Tahoma"/>
        </w:rPr>
        <w:t>Sharma S et al., 2023)</w:t>
      </w:r>
      <w:r w:rsidR="001D6DEA">
        <w:rPr>
          <w:rFonts w:cs="Tahoma"/>
        </w:rPr>
        <w:fldChar w:fldCharType="begin">
          <w:fldData xml:space="preserve">PEVuZE5vdGU+PENpdGU+PEF1dGhvcj5TaGFybWE8L0F1dGhvcj48WWVhcj4yMDI0PC9ZZWFyPjxS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</w:fldData>
        </w:fldChar>
      </w:r>
      <w:r w:rsidR="001D6DEA">
        <w:rPr>
          <w:rFonts w:cs="Tahoma"/>
        </w:rPr>
        <w:instrText xml:space="preserve"> ADDIN EN.CITE </w:instrText>
      </w:r>
      <w:r w:rsidR="001D6DEA">
        <w:rPr>
          <w:rFonts w:cs="Tahoma"/>
        </w:rPr>
        <w:fldChar w:fldCharType="begin">
          <w:fldData xml:space="preserve">PEVuZE5vdGU+PENpdGU+PEF1dGhvcj5TaGFybWE8L0F1dGhvcj48WWVhcj4yMDI0PC9ZZWFyPjxS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</w:fldData>
        </w:fldChar>
      </w:r>
      <w:r w:rsidR="001D6DEA">
        <w:rPr>
          <w:rFonts w:cs="Tahoma"/>
        </w:rPr>
        <w:instrText xml:space="preserve"> ADDIN EN.CITE.DATA </w:instrText>
      </w:r>
      <w:r w:rsidR="001D6DEA">
        <w:rPr>
          <w:rFonts w:cs="Tahoma"/>
        </w:rPr>
      </w:r>
      <w:r w:rsidR="001D6DEA">
        <w:rPr>
          <w:rFonts w:cs="Tahoma"/>
        </w:rPr>
        <w:fldChar w:fldCharType="end"/>
      </w:r>
      <w:r w:rsidR="001D6DEA">
        <w:rPr>
          <w:rFonts w:cs="Tahoma"/>
        </w:rPr>
      </w:r>
      <w:r w:rsidR="001D6DEA">
        <w:rPr>
          <w:rFonts w:cs="Tahoma"/>
        </w:rPr>
        <w:fldChar w:fldCharType="separate"/>
      </w:r>
      <w:r w:rsidR="001D6DEA">
        <w:rPr>
          <w:rFonts w:cs="Tahoma"/>
          <w:noProof/>
        </w:rPr>
        <w:t>[2]</w:t>
      </w:r>
      <w:r w:rsidR="001D6DEA">
        <w:rPr>
          <w:rFonts w:cs="Tahoma"/>
        </w:rPr>
        <w:fldChar w:fldCharType="end"/>
      </w:r>
      <w:r w:rsidRPr="00FD02A0">
        <w:rPr>
          <w:rFonts w:cs="Tahoma"/>
        </w:rPr>
        <w:t xml:space="preserve">. The search terms for the MEDLINE, Embase and the Cochrane library databases are presented below. </w:t>
      </w:r>
    </w:p>
    <w:p w14:paraId="41A2FD5C" w14:textId="77777777" w:rsidR="00FD02A0" w:rsidRDefault="00FD02A0" w:rsidP="00FD02A0">
      <w:pPr>
        <w:spacing w:line="256" w:lineRule="auto"/>
        <w:sectPr w:rsidR="00FD02A0">
          <w:pgSz w:w="11906" w:h="16838"/>
          <w:pgMar w:top="1440" w:right="1440" w:bottom="1440" w:left="1440" w:header="720" w:footer="720" w:gutter="0"/>
          <w:cols w:space="720"/>
        </w:sectPr>
      </w:pPr>
    </w:p>
    <w:p w14:paraId="4698D26B" w14:textId="77777777" w:rsidR="00FD02A0" w:rsidRPr="00FD02A0" w:rsidRDefault="00FD02A0" w:rsidP="00FD02A0">
      <w:pPr>
        <w:spacing w:line="256" w:lineRule="auto"/>
      </w:pPr>
    </w:p>
    <w:tbl>
      <w:tblPr>
        <w:tblW w:w="11497" w:type="dxa"/>
        <w:tblCellMar>
          <w:left w:w="10" w:type="dxa"/>
          <w:right w:w="10" w:type="dxa"/>
        </w:tblCellMar>
        <w:tblLook w:val="0000" w:firstRow="0" w:lastRow="0" w:firstColumn="0" w:lastColumn="0" w:noHBand="0" w:noVBand="0"/>
      </w:tblPr>
      <w:tblGrid>
        <w:gridCol w:w="913"/>
        <w:gridCol w:w="9305"/>
        <w:gridCol w:w="1279"/>
      </w:tblGrid>
      <w:tr w:rsidR="00FD02A0" w:rsidRPr="00FD02A0" w14:paraId="1EFB1160" w14:textId="77777777" w:rsidTr="00C771F1">
        <w:trPr>
          <w:trHeight w:val="307"/>
        </w:trPr>
        <w:tc>
          <w:tcPr>
            <w:tcW w:w="10218" w:type="dxa"/>
            <w:gridSpan w:val="2"/>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6FCD37F2" w14:textId="77777777" w:rsidR="00FD02A0" w:rsidRPr="00FD02A0" w:rsidRDefault="00FD02A0" w:rsidP="00FD02A0">
            <w:pPr>
              <w:autoSpaceDE w:val="0"/>
              <w:spacing w:after="0" w:line="276" w:lineRule="auto"/>
              <w:jc w:val="center"/>
              <w:rPr>
                <w:rFonts w:ascii="Calibri Light" w:hAnsi="Calibri Light" w:cs="Calibri Light"/>
                <w:b/>
                <w:bCs/>
                <w:color w:val="000000"/>
                <w:sz w:val="20"/>
                <w:szCs w:val="20"/>
                <w:lang w:val="en-GB"/>
              </w:rPr>
            </w:pPr>
            <w:r w:rsidRPr="00FD02A0">
              <w:rPr>
                <w:rFonts w:ascii="Calibri Light" w:hAnsi="Calibri Light" w:cs="Calibri Light"/>
                <w:b/>
                <w:bCs/>
                <w:color w:val="000000"/>
                <w:sz w:val="20"/>
                <w:szCs w:val="20"/>
                <w:lang w:val="en-GB"/>
              </w:rPr>
              <w:t>Embase</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EE84064" w14:textId="77777777" w:rsidR="00FD02A0" w:rsidRPr="00FD02A0" w:rsidRDefault="00FD02A0" w:rsidP="00FD02A0">
            <w:pPr>
              <w:autoSpaceDE w:val="0"/>
              <w:spacing w:after="0" w:line="276" w:lineRule="auto"/>
              <w:jc w:val="center"/>
              <w:rPr>
                <w:rFonts w:ascii="Calibri Light" w:hAnsi="Calibri Light" w:cs="Calibri Light"/>
                <w:b/>
                <w:color w:val="000000"/>
                <w:sz w:val="20"/>
                <w:szCs w:val="20"/>
                <w:lang w:val="en-GB"/>
              </w:rPr>
            </w:pPr>
            <w:r w:rsidRPr="00FD02A0">
              <w:rPr>
                <w:rFonts w:ascii="Calibri Light" w:hAnsi="Calibri Light" w:cs="Calibri Light"/>
                <w:b/>
                <w:color w:val="000000"/>
                <w:sz w:val="20"/>
                <w:szCs w:val="20"/>
                <w:lang w:val="en-GB"/>
              </w:rPr>
              <w:t>N=</w:t>
            </w:r>
          </w:p>
        </w:tc>
      </w:tr>
      <w:tr w:rsidR="00FD02A0" w:rsidRPr="00FD02A0" w14:paraId="2BE6DD30"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0D64992"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w:t>
            </w:r>
          </w:p>
        </w:tc>
        <w:tc>
          <w:tcPr>
            <w:tcW w:w="9305"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57D13AA2" w14:textId="77777777" w:rsidR="00FD02A0" w:rsidRPr="00FD02A0" w:rsidRDefault="00FD02A0" w:rsidP="00FD02A0">
            <w:pPr>
              <w:autoSpaceDE w:val="0"/>
              <w:spacing w:after="0" w:line="276" w:lineRule="auto"/>
            </w:pPr>
            <w:r w:rsidRPr="00FD02A0">
              <w:rPr>
                <w:rFonts w:ascii="Calibri Light" w:hAnsi="Calibri Light" w:cs="Calibri Light"/>
                <w:sz w:val="20"/>
                <w:szCs w:val="20"/>
                <w:lang w:val="en-GB"/>
              </w:rPr>
              <w:t>'stomach carcinoma'</w:t>
            </w:r>
            <w:r w:rsidRPr="00FD02A0">
              <w:rPr>
                <w:rFonts w:ascii="Calibri Light" w:hAnsi="Calibri Light" w:cs="Calibri Light"/>
                <w:color w:val="000000"/>
                <w:sz w:val="20"/>
                <w:szCs w:val="20"/>
                <w:lang w:val="en-GB"/>
              </w:rPr>
              <w:t>/exp OR </w:t>
            </w:r>
            <w:r w:rsidRPr="00FD02A0">
              <w:rPr>
                <w:rFonts w:ascii="Calibri Light" w:hAnsi="Calibri Light" w:cs="Calibri Light"/>
                <w:sz w:val="20"/>
                <w:szCs w:val="20"/>
                <w:lang w:val="en-GB"/>
              </w:rPr>
              <w:t>'stomach carcinoma'</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0C33577"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br/>
              <w:t>44,256</w:t>
            </w:r>
          </w:p>
        </w:tc>
      </w:tr>
      <w:tr w:rsidR="00FD02A0" w:rsidRPr="00FD02A0" w14:paraId="17618A69"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2C054C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782188F"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'stomach cancer'</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4F508D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br/>
              <w:t>124,460</w:t>
            </w:r>
          </w:p>
        </w:tc>
      </w:tr>
      <w:tr w:rsidR="00FD02A0" w:rsidRPr="00FD02A0" w14:paraId="0DA6BAB2"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4079140"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w:t>
            </w:r>
          </w:p>
        </w:tc>
        <w:tc>
          <w:tcPr>
            <w:tcW w:w="9305"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015BF31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'stomach adenocarcinoma'</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3F893443"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20,427</w:t>
            </w:r>
          </w:p>
        </w:tc>
      </w:tr>
      <w:tr w:rsidR="00FD02A0" w:rsidRPr="00FD02A0" w14:paraId="1C4CBEDC"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50550120"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4.</w:t>
            </w:r>
          </w:p>
        </w:tc>
        <w:tc>
          <w:tcPr>
            <w:tcW w:w="9305"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681906E2"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gastric OR 'stomach'/exp OR stomach OR esophagogastric OR oesophagogastric OR gastroesophageal</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329F94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791895</w:t>
            </w:r>
          </w:p>
        </w:tc>
      </w:tr>
      <w:tr w:rsidR="00FD02A0" w:rsidRPr="00FD02A0" w14:paraId="21E03EFB"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742BBE3"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5.</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662ED59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cancer OR carcinoma OR adenocarcinoma</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DC60CA7"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5,890,863</w:t>
            </w:r>
          </w:p>
        </w:tc>
      </w:tr>
      <w:tr w:rsidR="00FD02A0" w:rsidRPr="00FD02A0" w14:paraId="5CB9C602"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32DCF4A2"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6.</w:t>
            </w:r>
          </w:p>
        </w:tc>
        <w:tc>
          <w:tcPr>
            <w:tcW w:w="9305"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61A1AF5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advanced OR metastatic OR metastasis OR recurrent OR unresectable OR inoperable OR incurable OR palliative</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2D050D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3,111,922</w:t>
            </w:r>
          </w:p>
        </w:tc>
      </w:tr>
      <w:tr w:rsidR="00FD02A0" w:rsidRPr="00FD02A0" w14:paraId="5A4A2182"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DEE1144"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7.</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119560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#4 AND #5 AND #6</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4068C8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br/>
              <w:t>103,474</w:t>
            </w:r>
          </w:p>
        </w:tc>
      </w:tr>
      <w:tr w:rsidR="00FD02A0" w:rsidRPr="00FD02A0" w14:paraId="219EE3B0"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68F46BD7"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8.</w:t>
            </w:r>
          </w:p>
        </w:tc>
        <w:tc>
          <w:tcPr>
            <w:tcW w:w="9305"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03D9FB5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 OR #2 OR #3 OR #7</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5C8CD39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200,424</w:t>
            </w:r>
          </w:p>
        </w:tc>
      </w:tr>
      <w:tr w:rsidR="00FD02A0" w:rsidRPr="00FD02A0" w14:paraId="79DE8558"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67918C82"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9.</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5C8528F"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'fluorouracil' OR '5 fu' OR 'efudex':ab,ti OR ((keytruda OR pembrolizumab OR mk) AND 3475) OR lambrolizumab OR 'mk 3475' OR ((lonsurf OR trifluridine) AND tipiracil AND hydrochloride) OR 'taxotere' OR 'docetaxel':ab,ti OR 'entrectinib' OR 'rozlytrek':ab,ti OR docetaxel OR paclitaxel OR irinotecan OR (trastuzumab AND deruxtecan) OR (trifluridine NEXT/2 tipiracil) OR lonsurf OR 'taxane' OR 'folfiri':ab,ti OR 'camptosar' OR 'irinotecan':ab,ti OR 'paclitaxel' OR 'taxol':ab,ti OR 'dostarlimab' OR 'jemperli':ab,ti OR 'programmed death 1 ligand 1':ab,ti</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0114110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377,170</w:t>
            </w:r>
          </w:p>
        </w:tc>
      </w:tr>
      <w:tr w:rsidR="00FD02A0" w:rsidRPr="00FD02A0" w14:paraId="6BF04500"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68AE8391"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10.</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09FA4E23"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'cyramza' OR 'ramucirumab':ab,ti OR ((enhertu OR 'fam trastuzumab') AND 'deruxtecan nxki')</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62943CE0"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2576</w:t>
            </w:r>
          </w:p>
        </w:tc>
      </w:tr>
      <w:tr w:rsidR="00FD02A0" w:rsidRPr="00FD02A0" w14:paraId="30330339"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B93F2DA"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11.</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5D89E1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'camptosar' AND 'fluorouracil' OR ('camptosar' AND 'fluorouracil' AND leucovorin) OR ('camptosar' AND 'fluorouracil' AND 'ramucirumab') OR ('irinotecan' AND 'fluorouracil' AND 'ramucirumab' AND leucovorin) OR ('camptosar' AND 'ramucirumab') OR ('irinotecan' AND 'docetaxel')</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235ACC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7,982</w:t>
            </w:r>
          </w:p>
        </w:tc>
      </w:tr>
      <w:tr w:rsidR="00FD02A0" w:rsidRPr="00FD02A0" w14:paraId="21C8AB67"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00F77E0"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12.</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C76A1D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ntrk AND gene AND fusion AND positive OR (dostarlimab NEXT/2 gxly) OR 'msi h' OR (dmmr AND tumors)</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E2CA527"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5,786</w:t>
            </w:r>
          </w:p>
        </w:tc>
      </w:tr>
      <w:tr w:rsidR="00FD02A0" w:rsidRPr="00FD02A0" w14:paraId="66556AA8"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A6446EA"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lastRenderedPageBreak/>
              <w:t>13.</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64015732"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'tumor mutational burden'</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27B115A"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10,752</w:t>
            </w:r>
          </w:p>
        </w:tc>
      </w:tr>
      <w:tr w:rsidR="00FD02A0" w:rsidRPr="00FD02A0" w14:paraId="091C61EA"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5E99B60"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14.</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DFAA4B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microsatellite AND 'instability high'</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38ED20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1,699</w:t>
            </w:r>
          </w:p>
        </w:tc>
      </w:tr>
      <w:tr w:rsidR="00FD02A0" w:rsidRPr="00FD02A0" w14:paraId="725B539C"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0E4FBC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15.</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0B9C4D8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her AND 2 AND overexpression</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0657D38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4,710</w:t>
            </w:r>
          </w:p>
        </w:tc>
      </w:tr>
      <w:tr w:rsidR="00FD02A0" w:rsidRPr="00FD02A0" w14:paraId="77CDA476"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4A378E4"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16.</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E6187F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#9 OR #10 OR #11 OR #12 OR #13 OR #14 OR #15</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EAAC17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396,384</w:t>
            </w:r>
          </w:p>
        </w:tc>
      </w:tr>
      <w:tr w:rsidR="00FD02A0" w:rsidRPr="00FD02A0" w14:paraId="47F28325"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72B2AC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17.</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E158530"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clinical AND trial OR 'randomized controlled trial' OR controlled AND clinical AND trial OR phase AND 3 AND clinical AND trial OR phase AND 4 AND clinical AND trial OR randomization OR phase AND 2 AND clinical AND trial OR (phase AND ii OR phase) AND 2 OR 'multicenter study' OR 'single blind procedure' OR 'double blind procedure' OR 'crossover procedure' OR 'placebo' OR 'prospective study' OR rct OR (treble OR triple) AND blind</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AA35B4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br/>
              <w:t>5,042,397</w:t>
            </w:r>
          </w:p>
        </w:tc>
      </w:tr>
      <w:tr w:rsidR="00FD02A0" w:rsidRPr="00FD02A0" w14:paraId="506D211A"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D9E0B0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18.</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31A6E5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#8 AND #37 AND #38</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80845D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11,153</w:t>
            </w:r>
          </w:p>
        </w:tc>
      </w:tr>
      <w:tr w:rsidR="00FD02A0" w:rsidRPr="00FD02A0" w14:paraId="2511D7E7"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059BB8E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19.</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211B403" w14:textId="71B5605A"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#18 AND (</w:t>
            </w:r>
            <w:r w:rsidR="009F4164" w:rsidRPr="00FD02A0">
              <w:rPr>
                <w:rFonts w:ascii="Calibri Light" w:hAnsi="Calibri Light" w:cs="Calibri Light"/>
                <w:color w:val="000000"/>
                <w:sz w:val="20"/>
                <w:szCs w:val="20"/>
                <w:lang w:val="en-GB"/>
              </w:rPr>
              <w:t>20</w:t>
            </w:r>
            <w:r w:rsidR="009F4164">
              <w:rPr>
                <w:rFonts w:ascii="Calibri Light" w:hAnsi="Calibri Light" w:cs="Calibri Light"/>
                <w:color w:val="000000"/>
                <w:sz w:val="20"/>
                <w:szCs w:val="20"/>
                <w:lang w:val="en-GB"/>
              </w:rPr>
              <w:t>19</w:t>
            </w:r>
            <w:r w:rsidR="009F4164" w:rsidRPr="00FD02A0">
              <w:rPr>
                <w:rFonts w:ascii="Calibri Light" w:hAnsi="Calibri Light" w:cs="Calibri Light"/>
                <w:color w:val="000000"/>
                <w:sz w:val="20"/>
                <w:szCs w:val="20"/>
                <w:lang w:val="en-GB"/>
              </w:rPr>
              <w:t>:py OR </w:t>
            </w:r>
            <w:r w:rsidR="009F4164" w:rsidRPr="00FD02A0">
              <w:rPr>
                <w:rFonts w:ascii="Calibri Light" w:hAnsi="Calibri Light" w:cs="Calibri Light"/>
                <w:color w:val="000000"/>
                <w:sz w:val="20"/>
                <w:szCs w:val="20"/>
                <w:lang w:val="en-GB"/>
              </w:rPr>
              <w:t xml:space="preserve"> </w:t>
            </w:r>
            <w:r w:rsidRPr="00FD02A0">
              <w:rPr>
                <w:rFonts w:ascii="Calibri Light" w:hAnsi="Calibri Light" w:cs="Calibri Light"/>
                <w:color w:val="000000"/>
                <w:sz w:val="20"/>
                <w:szCs w:val="20"/>
                <w:lang w:val="en-GB"/>
              </w:rPr>
              <w:t>2020:py OR 2021:py OR 2022:py OR 2023:py OR 2024:py)</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C33AA1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2,928</w:t>
            </w:r>
          </w:p>
        </w:tc>
      </w:tr>
      <w:tr w:rsidR="00FD02A0" w:rsidRPr="00FD02A0" w14:paraId="028FC0DC"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89489B1"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20.</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5731DC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#19 AND ('article'/it OR 'review'/it)</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C4AF46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2,035</w:t>
            </w:r>
          </w:p>
        </w:tc>
      </w:tr>
      <w:tr w:rsidR="00FD02A0" w:rsidRPr="00FD02A0" w14:paraId="5373D1EC"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FE6616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21.</w:t>
            </w:r>
          </w:p>
        </w:tc>
        <w:tc>
          <w:tcPr>
            <w:tcW w:w="9305"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434AAE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#20 AND ('article'/it OR 'review'/it) AND [english]/lim</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38E4182"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2,013</w:t>
            </w:r>
          </w:p>
        </w:tc>
      </w:tr>
    </w:tbl>
    <w:p w14:paraId="24DE8346" w14:textId="77777777" w:rsidR="00FD02A0" w:rsidRDefault="00FD02A0" w:rsidP="00FD02A0">
      <w:pPr>
        <w:autoSpaceDE w:val="0"/>
        <w:spacing w:after="0" w:line="276" w:lineRule="auto"/>
        <w:rPr>
          <w:rFonts w:ascii="Calibri Light" w:hAnsi="Calibri Light" w:cs="Calibri Light"/>
          <w:color w:val="000000"/>
          <w:sz w:val="20"/>
          <w:szCs w:val="20"/>
          <w:lang w:val="en-GB"/>
        </w:rPr>
        <w:sectPr w:rsidR="00FD02A0" w:rsidSect="00FD02A0">
          <w:pgSz w:w="16838" w:h="11906" w:orient="landscape"/>
          <w:pgMar w:top="1440" w:right="1440" w:bottom="1440" w:left="1440" w:header="720" w:footer="720" w:gutter="0"/>
          <w:cols w:space="720"/>
        </w:sectPr>
      </w:pPr>
    </w:p>
    <w:p w14:paraId="1D491F5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p>
    <w:tbl>
      <w:tblPr>
        <w:tblW w:w="9016" w:type="dxa"/>
        <w:tblCellMar>
          <w:left w:w="10" w:type="dxa"/>
          <w:right w:w="10" w:type="dxa"/>
        </w:tblCellMar>
        <w:tblLook w:val="0000" w:firstRow="0" w:lastRow="0" w:firstColumn="0" w:lastColumn="0" w:noHBand="0" w:noVBand="0"/>
      </w:tblPr>
      <w:tblGrid>
        <w:gridCol w:w="913"/>
        <w:gridCol w:w="6824"/>
        <w:gridCol w:w="1279"/>
      </w:tblGrid>
      <w:tr w:rsidR="00FD02A0" w:rsidRPr="00FD02A0" w14:paraId="2F78DC47" w14:textId="77777777" w:rsidTr="00C771F1">
        <w:trPr>
          <w:trHeight w:val="307"/>
        </w:trPr>
        <w:tc>
          <w:tcPr>
            <w:tcW w:w="7737" w:type="dxa"/>
            <w:gridSpan w:val="2"/>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943B621" w14:textId="77777777" w:rsidR="00FD02A0" w:rsidRPr="00FD02A0" w:rsidRDefault="00FD02A0" w:rsidP="00FD02A0">
            <w:pPr>
              <w:autoSpaceDE w:val="0"/>
              <w:spacing w:after="0" w:line="276" w:lineRule="auto"/>
              <w:jc w:val="center"/>
              <w:rPr>
                <w:rFonts w:ascii="Calibri Light" w:hAnsi="Calibri Light" w:cs="Calibri Light"/>
                <w:b/>
                <w:bCs/>
                <w:color w:val="000000"/>
                <w:sz w:val="20"/>
                <w:szCs w:val="20"/>
                <w:lang w:val="en-GB"/>
              </w:rPr>
            </w:pPr>
            <w:r w:rsidRPr="00FD02A0">
              <w:rPr>
                <w:rFonts w:ascii="Calibri Light" w:hAnsi="Calibri Light" w:cs="Calibri Light"/>
                <w:b/>
                <w:bCs/>
                <w:color w:val="000000"/>
                <w:sz w:val="20"/>
                <w:szCs w:val="20"/>
                <w:lang w:val="en-GB"/>
              </w:rPr>
              <w:t>Medline updated</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5AED6F2"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N=</w:t>
            </w:r>
          </w:p>
        </w:tc>
      </w:tr>
      <w:tr w:rsidR="00FD02A0" w:rsidRPr="00FD02A0" w14:paraId="6A9AF72C"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4AA76BE1"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3E279A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gastric cancer.mp. or exp Stomach Neoplasms/ or (gastric adj3 (cancer$ or oncolog$ or malignan$ or carcinoma$ or adenocarcinoma$ or tumour$ or tumor$)).ti,ab.</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2617FC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p>
          <w:p w14:paraId="217041D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149,491</w:t>
            </w:r>
          </w:p>
        </w:tc>
      </w:tr>
      <w:tr w:rsidR="00FD02A0" w:rsidRPr="00FD02A0" w14:paraId="61EB7FFA"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6094EEA"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E25517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(esophagogastric or oesophagogastric or gastroesophageal).mp. and (cancer or carcinoma or adenocarcinoma).mp. and (advanced or metastatic or metastasis or recurrent or unresectable or inoperable or incurable or palliative).mp.</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8B3B9C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4,056</w:t>
            </w:r>
          </w:p>
        </w:tc>
      </w:tr>
      <w:tr w:rsidR="00FD02A0" w:rsidRPr="00FD02A0" w14:paraId="37196B23"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29994D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8F052C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 or 2</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36A45F21"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151,087</w:t>
            </w:r>
          </w:p>
          <w:p w14:paraId="5AE24FBA"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p>
        </w:tc>
      </w:tr>
      <w:tr w:rsidR="00FD02A0" w:rsidRPr="00FD02A0" w14:paraId="7FA5C238"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652FEC03"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bookmarkStart w:id="1" w:name="_Hlk167877431"/>
            <w:r w:rsidRPr="00FD02A0">
              <w:rPr>
                <w:rFonts w:ascii="Calibri Light" w:hAnsi="Calibri Light" w:cs="Calibri Light"/>
                <w:color w:val="000000"/>
                <w:sz w:val="20"/>
                <w:szCs w:val="20"/>
                <w:lang w:val="en-GB"/>
              </w:rPr>
              <w:t>4.</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A7E282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Cyramza.ti,ab,ot,hw. or Ramucirumab.ti,ab,ot,hw.</w:t>
            </w:r>
            <w:r w:rsidRPr="00FD02A0">
              <w:rPr>
                <w:rFonts w:ascii="Calibri Light" w:hAnsi="Calibri Light" w:cs="Calibri Light"/>
                <w:color w:val="000000"/>
                <w:sz w:val="20"/>
                <w:szCs w:val="20"/>
                <w:lang w:val="en-GB"/>
              </w:rPr>
              <w:tab/>
            </w:r>
            <w:r w:rsidRPr="00FD02A0">
              <w:rPr>
                <w:rFonts w:ascii="Calibri Light" w:hAnsi="Calibri Light" w:cs="Calibri Light"/>
                <w:color w:val="000000"/>
                <w:sz w:val="20"/>
                <w:szCs w:val="20"/>
                <w:lang w:val="en-GB"/>
              </w:rPr>
              <w:tab/>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4D80E34"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1,333</w:t>
            </w:r>
          </w:p>
        </w:tc>
      </w:tr>
      <w:tr w:rsidR="00FD02A0" w:rsidRPr="00FD02A0" w14:paraId="7395AAEA"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518DCA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5.</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5D695E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(Enhertu or Fam-Trastuzumab Deruxtecan-nxki).ti,ab,ot,hw. or 5-FU.mp. or Fluorouracil/ or (Keytruda or Pembrolizumab or MK 3475 or lambrolizumab or MK-3475).ti,ab,ot,hw. or ((Lonsurf or Trifluridine) and (Tipiracil adj2 Hydrochloride)).ti,ab,ot,hw. or (Taxotere or Docetaxel).ti,ab,ot,hw. or (entrectinib or Rozlytrek).ti,ab,ot,hw.</w:t>
            </w:r>
            <w:r w:rsidRPr="00FD02A0">
              <w:rPr>
                <w:rFonts w:ascii="Calibri Light" w:hAnsi="Calibri Light" w:cs="Calibri Light"/>
                <w:color w:val="000000"/>
                <w:sz w:val="20"/>
                <w:szCs w:val="20"/>
                <w:lang w:val="en-GB"/>
              </w:rPr>
              <w:tab/>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44420D4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81,687</w:t>
            </w:r>
          </w:p>
          <w:p w14:paraId="3503F333"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p>
        </w:tc>
      </w:tr>
      <w:tr w:rsidR="00FD02A0" w:rsidRPr="00FD02A0" w14:paraId="3540B314"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FCAC67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6.</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12CE65A"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Docetaxel/ or Paclitaxel/ or Irinotecan/</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28DCEB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49,066</w:t>
            </w:r>
          </w:p>
        </w:tc>
      </w:tr>
      <w:tr w:rsidR="00FD02A0" w:rsidRPr="00FD02A0" w14:paraId="606D1610"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0E22C343"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7.</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66A98F4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(trastuzumab adj2 deruxtecan).ti,ab,ot,hw. or trifluridine-tipiracil.mp. or Lonsurf.mp. or leucovorin.mp. or FOLFIRI.mp. or (5-FU adj3 leucovorin irinotecan).ti,ab,ot,hw. or Efudex.mp. or dostarlimab.ti,ab,ot,hw. or DNA Mismatch Repair/ or Jemperli.mp. or Programmed Cell Death 1 Receptor/ or programmed death 1 ligand 1.mp.</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1EA312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32,633</w:t>
            </w:r>
          </w:p>
        </w:tc>
      </w:tr>
      <w:tr w:rsidR="00FD02A0" w:rsidRPr="00FD02A0" w14:paraId="43E1D53A"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3F43CA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8.</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BC8A30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(Fluorouracil/ and Irinotecan/) or (Leucovorin/ and Fluorouracil/ and Irinotecan/)  or (Fluorouracil/ and Irinotecan/ and Ramucirumab.ti,ab,ot,hw.)</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B22DF6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3,415</w:t>
            </w:r>
          </w:p>
        </w:tc>
      </w:tr>
      <w:tr w:rsidR="00FD02A0" w:rsidRPr="00FD02A0" w14:paraId="5EB3FD1A"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49BDE53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9.</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51046D4"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(Leucovorin/ and Ramucirumab.ti,ab,ot,hw. and Fluorouracil/ and Irinotecan/) or (Ramucirumab.ti,ab,ot,hw. And Irinotecan/) or (Irinotecan/ and Docetaxel/)  or (NTRK gene fusion-positive.mp.) or ((MSI-H or dMMR tumors).mp.) or (Dostarlimab-gxly.ti,ab,ot,hw.)</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C79FB8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3,102</w:t>
            </w:r>
          </w:p>
        </w:tc>
      </w:tr>
      <w:bookmarkEnd w:id="1"/>
      <w:tr w:rsidR="00FD02A0" w:rsidRPr="00FD02A0" w14:paraId="2F5E505D"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A01C71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10.</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13F350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4 or 5 or 6 or 7 or 8 or 9</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0E29441"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138,284</w:t>
            </w:r>
          </w:p>
        </w:tc>
      </w:tr>
      <w:tr w:rsidR="00FD02A0" w:rsidRPr="00FD02A0" w14:paraId="76AC21C9"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503DD5F4"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11.</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6F45C722"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Randomized Controlled Trials as Topic/</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62F546D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170,284</w:t>
            </w:r>
          </w:p>
        </w:tc>
      </w:tr>
      <w:tr w:rsidR="00FD02A0" w:rsidRPr="00FD02A0" w14:paraId="73B82214"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499213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12.</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19D1FD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randomized controlled trial/</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3DC410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613,756</w:t>
            </w:r>
          </w:p>
        </w:tc>
      </w:tr>
      <w:tr w:rsidR="00FD02A0" w:rsidRPr="00FD02A0" w14:paraId="12FBB730"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A00465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13.</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798233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Random Allocation/</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28CEA0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107,232</w:t>
            </w:r>
          </w:p>
        </w:tc>
      </w:tr>
      <w:tr w:rsidR="00FD02A0" w:rsidRPr="00FD02A0" w14:paraId="75FD6721"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DAF645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14.</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CA8FE0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Double Blind Method/</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6A27052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178,659</w:t>
            </w:r>
          </w:p>
        </w:tc>
      </w:tr>
      <w:tr w:rsidR="00FD02A0" w:rsidRPr="00FD02A0" w14:paraId="4015EFD9"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56A6583"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15.</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DC5044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Single Blind Method/</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A418EF3"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33,521</w:t>
            </w:r>
          </w:p>
        </w:tc>
      </w:tr>
      <w:tr w:rsidR="00FD02A0" w:rsidRPr="00FD02A0" w14:paraId="652DBC66"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49F1D2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16.</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072DC898"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clinical trial/</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027532E2"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539,956</w:t>
            </w:r>
          </w:p>
        </w:tc>
      </w:tr>
      <w:tr w:rsidR="00FD02A0" w:rsidRPr="00FD02A0" w14:paraId="44FD3C05"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6A18D0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17.</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EABBBE1"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clinical trial, phase ii.pt.</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3D53700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br/>
              <w:t>41,315</w:t>
            </w:r>
          </w:p>
        </w:tc>
      </w:tr>
      <w:tr w:rsidR="00FD02A0" w:rsidRPr="00FD02A0" w14:paraId="6E66EBB2"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1F45B3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18.</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65D21A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clinical trial, phase iii.pt.</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DE1E6FA"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22,741</w:t>
            </w:r>
          </w:p>
        </w:tc>
      </w:tr>
      <w:tr w:rsidR="00FD02A0" w:rsidRPr="00FD02A0" w14:paraId="28DB57C0"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D6CF48F"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19.</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57EF1D8A"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clinical trial, phase iv.pt.</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0B4D2043"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2,499</w:t>
            </w:r>
          </w:p>
        </w:tc>
      </w:tr>
      <w:tr w:rsidR="00FD02A0" w:rsidRPr="00FD02A0" w14:paraId="5FE6EF70"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01C21714"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20.</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0DFC01D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controlled clinical trial.pt.</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7DEF843"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95,538</w:t>
            </w:r>
          </w:p>
        </w:tc>
      </w:tr>
      <w:tr w:rsidR="00FD02A0" w:rsidRPr="00FD02A0" w14:paraId="614FADAC"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397C985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lastRenderedPageBreak/>
              <w:t>21.</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BEE3193"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randomized controlled trial.pt.</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BF0D60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613,756</w:t>
            </w:r>
          </w:p>
        </w:tc>
      </w:tr>
      <w:tr w:rsidR="00FD02A0" w:rsidRPr="00FD02A0" w14:paraId="43F192AB"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8C68550"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22.</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02F52223"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multicenter study.pt.</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12B448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347,146</w:t>
            </w:r>
          </w:p>
        </w:tc>
      </w:tr>
      <w:tr w:rsidR="00FD02A0" w:rsidRPr="00FD02A0" w14:paraId="64790029"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5947281"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23.</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4AF9842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clinical trial.pt.</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6150667F"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539,956</w:t>
            </w:r>
          </w:p>
        </w:tc>
      </w:tr>
      <w:tr w:rsidR="00FD02A0" w:rsidRPr="00FD02A0" w14:paraId="53938780"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107FF90"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24.</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AE3E28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exp Clinical Trials as topic/</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376E74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392,540</w:t>
            </w:r>
          </w:p>
        </w:tc>
      </w:tr>
      <w:tr w:rsidR="00FD02A0" w:rsidRPr="00FD02A0" w14:paraId="6AE084FB"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5DC22B3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25.</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D01B90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11 or 12 or 13 or 14 or 15 or 16 or 17 or 18 or 19 or 20 or 21 or 22 or 23 or 24</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4623EA4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1,600,993</w:t>
            </w:r>
          </w:p>
        </w:tc>
      </w:tr>
      <w:tr w:rsidR="00FD02A0" w:rsidRPr="00FD02A0" w14:paraId="6E68EACB"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25A786F"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26.</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3CB1FD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(clinical adj trial$).tw.</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291CCC1"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513,299</w:t>
            </w:r>
          </w:p>
        </w:tc>
      </w:tr>
      <w:tr w:rsidR="00FD02A0" w:rsidRPr="00FD02A0" w14:paraId="1D813872"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4A04500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27.</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27FE88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((singl$ or doubl$ or treb$ or tripl$) adj (blind$3 or mask$3)).tw.</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0093D4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205,343</w:t>
            </w:r>
          </w:p>
        </w:tc>
      </w:tr>
      <w:tr w:rsidR="00FD02A0" w:rsidRPr="00FD02A0" w14:paraId="314CB67D"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015F2AD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28.</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AFBEB4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PlaceboS/</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6D7EB75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35,958</w:t>
            </w:r>
          </w:p>
        </w:tc>
      </w:tr>
      <w:tr w:rsidR="00FD02A0" w:rsidRPr="00FD02A0" w14:paraId="43C26ABE"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67019547"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29.</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42C8A3A7"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Placebo$.tw.</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63B15D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256,616</w:t>
            </w:r>
          </w:p>
        </w:tc>
      </w:tr>
      <w:tr w:rsidR="00FD02A0" w:rsidRPr="00FD02A0" w14:paraId="6AE6707D"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485E25A"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30.</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6F495CA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randomly allocated.tw.</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6C754BB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38,691</w:t>
            </w:r>
          </w:p>
        </w:tc>
      </w:tr>
      <w:tr w:rsidR="00FD02A0" w:rsidRPr="00FD02A0" w14:paraId="6853FE27"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576507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31.</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46FAA69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(allocated adj2 random$).tw.</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8D6179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42,617</w:t>
            </w:r>
          </w:p>
        </w:tc>
      </w:tr>
      <w:tr w:rsidR="00FD02A0" w:rsidRPr="00FD02A0" w14:paraId="42498E26"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94A197F"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32.</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AC11C97"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 xml:space="preserve">26 or 27 or 28 or 29 or 30 or 31 </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D72A5A5"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839,317</w:t>
            </w:r>
          </w:p>
        </w:tc>
      </w:tr>
      <w:tr w:rsidR="00FD02A0" w:rsidRPr="00FD02A0" w14:paraId="4C4F572E"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ADF0E2A"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33.</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A2F2A3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32 or 25</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E743CD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1,984,810</w:t>
            </w:r>
          </w:p>
        </w:tc>
      </w:tr>
      <w:tr w:rsidR="00FD02A0" w:rsidRPr="00FD02A0" w14:paraId="77216281"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AD04D6A"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34.</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4369CD8"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case report.tw.</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E2BF34A"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427,350</w:t>
            </w:r>
          </w:p>
        </w:tc>
      </w:tr>
      <w:tr w:rsidR="00FD02A0" w:rsidRPr="00FD02A0" w14:paraId="291DA5BA"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56CCDC2F"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35.</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0C27D184"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letter/</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6E9D71A4"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1,255,155</w:t>
            </w:r>
          </w:p>
        </w:tc>
      </w:tr>
      <w:tr w:rsidR="00FD02A0" w:rsidRPr="00FD02A0" w14:paraId="12F8E08A"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16BA1D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36.</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492D9E8F"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historical article/</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628B6C7"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370,088</w:t>
            </w:r>
          </w:p>
        </w:tc>
      </w:tr>
      <w:tr w:rsidR="00FD02A0" w:rsidRPr="00FD02A0" w14:paraId="007EEDF0"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0CAC581"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37.</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2E07C89F"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35 or 36 or 37</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7BA83ED2"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2,032,469</w:t>
            </w:r>
          </w:p>
        </w:tc>
      </w:tr>
      <w:tr w:rsidR="00FD02A0" w:rsidRPr="00FD02A0" w14:paraId="4E9EB592"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07AB62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38.</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1EABB9B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33 not 37</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D004688"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1,940,921</w:t>
            </w:r>
          </w:p>
        </w:tc>
      </w:tr>
      <w:tr w:rsidR="00FD02A0" w:rsidRPr="00FD02A0" w14:paraId="5609103B"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39A8823F"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39.</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10998D6C"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 and 10 and 38</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6DD3163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2,607</w:t>
            </w:r>
          </w:p>
        </w:tc>
      </w:tr>
      <w:tr w:rsidR="00FD02A0" w:rsidRPr="00FD02A0" w14:paraId="7BFD8087"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34C07AD4"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40.</w:t>
            </w:r>
          </w:p>
        </w:tc>
        <w:tc>
          <w:tcPr>
            <w:tcW w:w="68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5734F739" w14:textId="37B7C52A"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limit 40 to yr="20</w:t>
            </w:r>
            <w:r w:rsidR="009F4164">
              <w:rPr>
                <w:rFonts w:ascii="Calibri Light" w:hAnsi="Calibri Light" w:cs="Calibri Light"/>
                <w:color w:val="000000"/>
                <w:sz w:val="20"/>
                <w:szCs w:val="20"/>
                <w:lang w:val="en-GB"/>
              </w:rPr>
              <w:t>19</w:t>
            </w:r>
            <w:r w:rsidRPr="00FD02A0">
              <w:rPr>
                <w:rFonts w:ascii="Calibri Light" w:hAnsi="Calibri Light" w:cs="Calibri Light"/>
                <w:color w:val="000000"/>
                <w:sz w:val="20"/>
                <w:szCs w:val="20"/>
                <w:lang w:val="en-GB"/>
              </w:rPr>
              <w:t>- 2024"</w:t>
            </w:r>
          </w:p>
        </w:tc>
        <w:tc>
          <w:tcPr>
            <w:tcW w:w="1279"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25FD283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457</w:t>
            </w:r>
          </w:p>
        </w:tc>
      </w:tr>
      <w:tr w:rsidR="00FD02A0" w:rsidRPr="00FD02A0" w14:paraId="25A1B4A7" w14:textId="77777777" w:rsidTr="00C771F1">
        <w:trPr>
          <w:trHeight w:val="454"/>
        </w:trPr>
        <w:tc>
          <w:tcPr>
            <w:tcW w:w="913"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4738A91D"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41.</w:t>
            </w:r>
          </w:p>
        </w:tc>
        <w:tc>
          <w:tcPr>
            <w:tcW w:w="6824"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63BC90E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limit 42 to english language</w:t>
            </w:r>
          </w:p>
        </w:tc>
        <w:tc>
          <w:tcPr>
            <w:tcW w:w="1279" w:type="dxa"/>
            <w:tcBorders>
              <w:top w:val="single" w:sz="4" w:space="0" w:color="C9C9C9"/>
              <w:left w:val="single" w:sz="4" w:space="0" w:color="C9C9C9"/>
              <w:bottom w:val="single" w:sz="4" w:space="0" w:color="C9C9C9"/>
              <w:right w:val="single" w:sz="4" w:space="0" w:color="C9C9C9"/>
            </w:tcBorders>
            <w:shd w:val="clear" w:color="auto" w:fill="auto"/>
            <w:tcMar>
              <w:top w:w="0" w:type="dxa"/>
              <w:left w:w="108" w:type="dxa"/>
              <w:bottom w:w="0" w:type="dxa"/>
              <w:right w:w="108" w:type="dxa"/>
            </w:tcMar>
          </w:tcPr>
          <w:p w14:paraId="5410DAAB"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452</w:t>
            </w:r>
          </w:p>
        </w:tc>
      </w:tr>
    </w:tbl>
    <w:p w14:paraId="479C3F09"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p>
    <w:p w14:paraId="502B2A57"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p>
    <w:p w14:paraId="23041EEE"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p>
    <w:tbl>
      <w:tblPr>
        <w:tblW w:w="9016" w:type="dxa"/>
        <w:tblCellMar>
          <w:left w:w="10" w:type="dxa"/>
          <w:right w:w="10" w:type="dxa"/>
        </w:tblCellMar>
        <w:tblLook w:val="0000" w:firstRow="0" w:lastRow="0" w:firstColumn="0" w:lastColumn="0" w:noHBand="0" w:noVBand="0"/>
      </w:tblPr>
      <w:tblGrid>
        <w:gridCol w:w="704"/>
        <w:gridCol w:w="7088"/>
        <w:gridCol w:w="1224"/>
      </w:tblGrid>
      <w:tr w:rsidR="00FD02A0" w:rsidRPr="00FD02A0" w14:paraId="38644D68" w14:textId="77777777" w:rsidTr="00C771F1">
        <w:tc>
          <w:tcPr>
            <w:tcW w:w="704" w:type="dxa"/>
            <w:tcBorders>
              <w:top w:val="single" w:sz="4" w:space="0" w:color="A5A5A5"/>
              <w:left w:val="single" w:sz="4" w:space="0" w:color="A5A5A5"/>
              <w:bottom w:val="single" w:sz="4" w:space="0" w:color="A5A5A5"/>
            </w:tcBorders>
            <w:shd w:val="clear" w:color="auto" w:fill="A5A5A5"/>
            <w:tcMar>
              <w:top w:w="0" w:type="dxa"/>
              <w:left w:w="108" w:type="dxa"/>
              <w:bottom w:w="0" w:type="dxa"/>
              <w:right w:w="108" w:type="dxa"/>
            </w:tcMar>
          </w:tcPr>
          <w:p w14:paraId="7023435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p>
        </w:tc>
        <w:tc>
          <w:tcPr>
            <w:tcW w:w="7088" w:type="dxa"/>
            <w:tcBorders>
              <w:top w:val="single" w:sz="4" w:space="0" w:color="A5A5A5"/>
              <w:bottom w:val="single" w:sz="4" w:space="0" w:color="A5A5A5"/>
            </w:tcBorders>
            <w:shd w:val="clear" w:color="auto" w:fill="A5A5A5"/>
            <w:tcMar>
              <w:top w:w="0" w:type="dxa"/>
              <w:left w:w="108" w:type="dxa"/>
              <w:bottom w:w="0" w:type="dxa"/>
              <w:right w:w="108" w:type="dxa"/>
            </w:tcMar>
          </w:tcPr>
          <w:p w14:paraId="13DB20E6" w14:textId="72CEF151"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Cochrane Central Register of Controlled Trials from 20</w:t>
            </w:r>
            <w:r w:rsidR="007A68CC">
              <w:rPr>
                <w:rFonts w:ascii="Calibri Light" w:hAnsi="Calibri Light" w:cs="Calibri Light"/>
                <w:color w:val="000000"/>
                <w:sz w:val="20"/>
                <w:szCs w:val="20"/>
                <w:lang w:val="en-GB"/>
              </w:rPr>
              <w:t>19</w:t>
            </w:r>
            <w:r w:rsidRPr="00FD02A0">
              <w:rPr>
                <w:rFonts w:ascii="Calibri Light" w:hAnsi="Calibri Light" w:cs="Calibri Light"/>
                <w:color w:val="000000"/>
                <w:sz w:val="20"/>
                <w:szCs w:val="20"/>
                <w:lang w:val="en-GB"/>
              </w:rPr>
              <w:t xml:space="preserve"> to 29th May 2024</w:t>
            </w:r>
          </w:p>
        </w:tc>
        <w:tc>
          <w:tcPr>
            <w:tcW w:w="1224" w:type="dxa"/>
            <w:tcBorders>
              <w:top w:val="single" w:sz="4" w:space="0" w:color="A5A5A5"/>
              <w:bottom w:val="single" w:sz="4" w:space="0" w:color="A5A5A5"/>
              <w:right w:val="single" w:sz="4" w:space="0" w:color="A5A5A5"/>
            </w:tcBorders>
            <w:shd w:val="clear" w:color="auto" w:fill="A5A5A5"/>
            <w:tcMar>
              <w:top w:w="0" w:type="dxa"/>
              <w:left w:w="108" w:type="dxa"/>
              <w:bottom w:w="0" w:type="dxa"/>
              <w:right w:w="108" w:type="dxa"/>
            </w:tcMar>
          </w:tcPr>
          <w:p w14:paraId="5889C55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N=</w:t>
            </w:r>
          </w:p>
        </w:tc>
      </w:tr>
      <w:tr w:rsidR="00FD02A0" w:rsidRPr="00FD02A0" w14:paraId="0F1AEE9A" w14:textId="77777777" w:rsidTr="00C771F1">
        <w:tc>
          <w:tcPr>
            <w:tcW w:w="70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AFA6E76"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1.</w:t>
            </w:r>
          </w:p>
        </w:tc>
        <w:tc>
          <w:tcPr>
            <w:tcW w:w="7088"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746CA358"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(Stomach Neoplasms or (stomach or gastric) adj3 (cancer* or carcinoma* or tumo?r* or neoplasm*) or (stomach or gastric) adj3 adenocarcinoma* or (gastroesophageal or esophagogastric) adj3 (cancer* or carcinoma* or tumo?r* or neoplasm*) or (gastroesophageal or esophagogastric) adj3 adenocarcinoma*) AND (advance$ or metasta$ or recurr$ or unresect$ or non-resect$ or disseminated or stage 3 or stage III* or stage 4 or stage IV* or spread$ or migration$ or progress$ or invasive or aggressive or "not operable" or untreatable or "not treatable" or secondary or incurable or "not curable") in title abstract keyword - (Word variations were searched)</w:t>
            </w:r>
          </w:p>
        </w:tc>
        <w:tc>
          <w:tcPr>
            <w:tcW w:w="1224" w:type="dxa"/>
            <w:tcBorders>
              <w:top w:val="single" w:sz="4" w:space="0" w:color="C9C9C9"/>
              <w:left w:val="single" w:sz="4" w:space="0" w:color="C9C9C9"/>
              <w:bottom w:val="single" w:sz="4" w:space="0" w:color="C9C9C9"/>
              <w:right w:val="single" w:sz="4" w:space="0" w:color="C9C9C9"/>
            </w:tcBorders>
            <w:shd w:val="clear" w:color="auto" w:fill="EDEDED"/>
            <w:tcMar>
              <w:top w:w="0" w:type="dxa"/>
              <w:left w:w="108" w:type="dxa"/>
              <w:bottom w:w="0" w:type="dxa"/>
              <w:right w:w="108" w:type="dxa"/>
            </w:tcMar>
          </w:tcPr>
          <w:p w14:paraId="06C35830" w14:textId="77777777" w:rsidR="00FD02A0" w:rsidRPr="00FD02A0" w:rsidRDefault="00FD02A0" w:rsidP="00FD02A0">
            <w:pPr>
              <w:autoSpaceDE w:val="0"/>
              <w:spacing w:after="0" w:line="276" w:lineRule="auto"/>
              <w:rPr>
                <w:rFonts w:ascii="Calibri Light" w:hAnsi="Calibri Light" w:cs="Calibri Light"/>
                <w:color w:val="000000"/>
                <w:sz w:val="20"/>
                <w:szCs w:val="20"/>
                <w:lang w:val="en-GB"/>
              </w:rPr>
            </w:pPr>
            <w:r w:rsidRPr="00FD02A0">
              <w:rPr>
                <w:rFonts w:ascii="Calibri Light" w:hAnsi="Calibri Light" w:cs="Calibri Light"/>
                <w:color w:val="000000"/>
                <w:sz w:val="20"/>
                <w:szCs w:val="20"/>
                <w:lang w:val="en-GB"/>
              </w:rPr>
              <w:t>3064</w:t>
            </w:r>
          </w:p>
        </w:tc>
      </w:tr>
    </w:tbl>
    <w:p w14:paraId="1B533C98" w14:textId="46426E92" w:rsidR="0063503F" w:rsidRDefault="004F66DB" w:rsidP="004F66DB">
      <w:pPr>
        <w:pageBreakBefore/>
      </w:pPr>
      <w:r>
        <w:lastRenderedPageBreak/>
        <w:t>References</w:t>
      </w:r>
    </w:p>
    <w:p w14:paraId="2DA384C2" w14:textId="77777777" w:rsidR="001D6DEA" w:rsidRPr="001D6DEA" w:rsidRDefault="0063503F" w:rsidP="001D6DEA">
      <w:pPr>
        <w:pStyle w:val="EndNoteBibliography"/>
        <w:spacing w:after="0"/>
        <w:ind w:left="720" w:hanging="720"/>
      </w:pPr>
      <w:r>
        <w:fldChar w:fldCharType="begin"/>
      </w:r>
      <w:r>
        <w:instrText xml:space="preserve"> ADDIN EN.REFLIST </w:instrText>
      </w:r>
      <w:r>
        <w:fldChar w:fldCharType="separate"/>
      </w:r>
      <w:r w:rsidR="001D6DEA" w:rsidRPr="001D6DEA">
        <w:t>1.</w:t>
      </w:r>
      <w:r w:rsidR="001D6DEA" w:rsidRPr="001D6DEA">
        <w:tab/>
        <w:t xml:space="preserve">Abderhalden, L.A., et al., </w:t>
      </w:r>
      <w:r w:rsidR="001D6DEA" w:rsidRPr="001D6DEA">
        <w:rPr>
          <w:i/>
        </w:rPr>
        <w:t>Clinical Outcomes for Previously Treated Patients with Advanced Gastric or Gastroesophageal Junction Cancer: A Systematic Literature Review and Meta-Analysis.</w:t>
      </w:r>
      <w:r w:rsidR="001D6DEA" w:rsidRPr="001D6DEA">
        <w:t xml:space="preserve"> J Gastrointest Cancer, 2023. </w:t>
      </w:r>
      <w:r w:rsidR="001D6DEA" w:rsidRPr="001D6DEA">
        <w:rPr>
          <w:b/>
        </w:rPr>
        <w:t>54</w:t>
      </w:r>
      <w:r w:rsidR="001D6DEA" w:rsidRPr="001D6DEA">
        <w:t>(4): p. 1031-1045.</w:t>
      </w:r>
    </w:p>
    <w:p w14:paraId="66AD3E45" w14:textId="77777777" w:rsidR="001D6DEA" w:rsidRPr="001D6DEA" w:rsidRDefault="001D6DEA" w:rsidP="001D6DEA">
      <w:pPr>
        <w:pStyle w:val="EndNoteBibliography"/>
        <w:ind w:left="720" w:hanging="720"/>
      </w:pPr>
      <w:r w:rsidRPr="001D6DEA">
        <w:t>2.</w:t>
      </w:r>
      <w:r w:rsidRPr="001D6DEA">
        <w:tab/>
        <w:t xml:space="preserve">Sharma, S., et al., </w:t>
      </w:r>
      <w:r w:rsidRPr="001D6DEA">
        <w:rPr>
          <w:i/>
        </w:rPr>
        <w:t>Systematic Review of Economic Evaluations of Systemic Treatments for Advanced and Metastatic Gastric Cancer.</w:t>
      </w:r>
      <w:r w:rsidRPr="001D6DEA">
        <w:t xml:space="preserve"> Pharmacoeconomics, 2024. </w:t>
      </w:r>
      <w:r w:rsidRPr="001D6DEA">
        <w:rPr>
          <w:b/>
        </w:rPr>
        <w:t>42</w:t>
      </w:r>
      <w:r w:rsidRPr="001D6DEA">
        <w:t>(10): p. 1091-1110.</w:t>
      </w:r>
    </w:p>
    <w:p w14:paraId="0D0DA348" w14:textId="144C4B6F" w:rsidR="0049294C" w:rsidRDefault="0063503F">
      <w:r>
        <w:fldChar w:fldCharType="end"/>
      </w:r>
    </w:p>
    <w:sectPr w:rsidR="0049294C">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F53F8" w14:textId="77777777" w:rsidR="00E949A8" w:rsidRDefault="00E949A8">
      <w:pPr>
        <w:spacing w:after="0" w:line="240" w:lineRule="auto"/>
      </w:pPr>
      <w:r>
        <w:separator/>
      </w:r>
    </w:p>
  </w:endnote>
  <w:endnote w:type="continuationSeparator" w:id="0">
    <w:p w14:paraId="3A72F0DC" w14:textId="77777777" w:rsidR="00E949A8" w:rsidRDefault="00E94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BE037" w14:textId="77777777" w:rsidR="00E949A8" w:rsidRDefault="00E949A8">
      <w:pPr>
        <w:spacing w:after="0" w:line="240" w:lineRule="auto"/>
      </w:pPr>
      <w:r>
        <w:rPr>
          <w:color w:val="000000"/>
        </w:rPr>
        <w:separator/>
      </w:r>
    </w:p>
  </w:footnote>
  <w:footnote w:type="continuationSeparator" w:id="0">
    <w:p w14:paraId="21D65784" w14:textId="77777777" w:rsidR="00E949A8" w:rsidRDefault="00E949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DC6180"/>
    <w:multiLevelType w:val="multilevel"/>
    <w:tmpl w:val="58B222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pdd2vva1ws9seeraz8xz5tmdvaprwdf22v9&quot;&gt;My EndNote Library&lt;record-ids&gt;&lt;item&gt;7929&lt;/item&gt;&lt;item&gt;8044&lt;/item&gt;&lt;/record-ids&gt;&lt;/item&gt;&lt;/Libraries&gt;"/>
  </w:docVars>
  <w:rsids>
    <w:rsidRoot w:val="0049294C"/>
    <w:rsid w:val="00015144"/>
    <w:rsid w:val="00026A2E"/>
    <w:rsid w:val="00027527"/>
    <w:rsid w:val="00063209"/>
    <w:rsid w:val="000B3B93"/>
    <w:rsid w:val="000D6E86"/>
    <w:rsid w:val="000E46F8"/>
    <w:rsid w:val="001373AB"/>
    <w:rsid w:val="001D6DEA"/>
    <w:rsid w:val="001E4E17"/>
    <w:rsid w:val="002C74BF"/>
    <w:rsid w:val="00303362"/>
    <w:rsid w:val="00357D0A"/>
    <w:rsid w:val="00391E92"/>
    <w:rsid w:val="0039648D"/>
    <w:rsid w:val="0040213B"/>
    <w:rsid w:val="00454388"/>
    <w:rsid w:val="00466799"/>
    <w:rsid w:val="0049294C"/>
    <w:rsid w:val="004B3151"/>
    <w:rsid w:val="004C1231"/>
    <w:rsid w:val="004F66DB"/>
    <w:rsid w:val="005650F5"/>
    <w:rsid w:val="005C332B"/>
    <w:rsid w:val="0063503F"/>
    <w:rsid w:val="00646D2A"/>
    <w:rsid w:val="006710FC"/>
    <w:rsid w:val="00696B95"/>
    <w:rsid w:val="006B028E"/>
    <w:rsid w:val="006C0393"/>
    <w:rsid w:val="007369EE"/>
    <w:rsid w:val="00745BD0"/>
    <w:rsid w:val="007944F0"/>
    <w:rsid w:val="007A68CC"/>
    <w:rsid w:val="00802DC6"/>
    <w:rsid w:val="008031BE"/>
    <w:rsid w:val="0080326B"/>
    <w:rsid w:val="0088271C"/>
    <w:rsid w:val="008949B6"/>
    <w:rsid w:val="009062B7"/>
    <w:rsid w:val="00972F2E"/>
    <w:rsid w:val="00987EBA"/>
    <w:rsid w:val="009B5CAB"/>
    <w:rsid w:val="009F4164"/>
    <w:rsid w:val="00A320C3"/>
    <w:rsid w:val="00A360B7"/>
    <w:rsid w:val="00A73046"/>
    <w:rsid w:val="00AB44F6"/>
    <w:rsid w:val="00C02C32"/>
    <w:rsid w:val="00C810C8"/>
    <w:rsid w:val="00CE0996"/>
    <w:rsid w:val="00CF5DBF"/>
    <w:rsid w:val="00D170F8"/>
    <w:rsid w:val="00D53E3B"/>
    <w:rsid w:val="00DB4A26"/>
    <w:rsid w:val="00E051E8"/>
    <w:rsid w:val="00E53183"/>
    <w:rsid w:val="00E82749"/>
    <w:rsid w:val="00E916DF"/>
    <w:rsid w:val="00E949A8"/>
    <w:rsid w:val="00EE4E7A"/>
    <w:rsid w:val="00F031AC"/>
    <w:rsid w:val="00F1319B"/>
    <w:rsid w:val="00F47BDB"/>
    <w:rsid w:val="00FD02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0DA32E"/>
  <w15:docId w15:val="{1F8C5BE4-9987-4F97-BF35-1842266B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IE"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2F5496"/>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color w:val="2F5496"/>
      <w:sz w:val="32"/>
      <w:szCs w:val="32"/>
    </w:rPr>
  </w:style>
  <w:style w:type="character" w:customStyle="1" w:styleId="Heading3Char">
    <w:name w:val="Heading 3 Char"/>
    <w:basedOn w:val="DefaultParagraphFont"/>
    <w:rPr>
      <w:rFonts w:eastAsia="Times New Roman" w:cs="Times New Roman"/>
      <w:color w:val="2F5496"/>
      <w:sz w:val="28"/>
      <w:szCs w:val="28"/>
    </w:rPr>
  </w:style>
  <w:style w:type="character" w:customStyle="1" w:styleId="Heading4Char">
    <w:name w:val="Heading 4 Char"/>
    <w:basedOn w:val="DefaultParagraphFont"/>
    <w:rPr>
      <w:rFonts w:eastAsia="Times New Roman" w:cs="Times New Roman"/>
      <w:i/>
      <w:iCs/>
      <w:color w:val="2F5496"/>
    </w:rPr>
  </w:style>
  <w:style w:type="character" w:customStyle="1" w:styleId="Heading5Char">
    <w:name w:val="Heading 5 Char"/>
    <w:basedOn w:val="DefaultParagraphFont"/>
    <w:rPr>
      <w:rFonts w:eastAsia="Times New Roman" w:cs="Times New Roman"/>
      <w:color w:val="2F5496"/>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Calibri Light" w:eastAsia="Times New Roman" w:hAnsi="Calibri Light"/>
      <w:spacing w:val="-10"/>
      <w:sz w:val="56"/>
      <w:szCs w:val="56"/>
    </w:rPr>
  </w:style>
  <w:style w:type="character" w:customStyle="1" w:styleId="TitleChar">
    <w:name w:val="Title Char"/>
    <w:basedOn w:val="DefaultParagraphFont"/>
    <w:rPr>
      <w:rFonts w:ascii="Calibri Light" w:eastAsia="Times New Roman" w:hAnsi="Calibri Light"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qFormat/>
    <w:pPr>
      <w:ind w:left="720"/>
      <w:contextualSpacing/>
    </w:pPr>
  </w:style>
  <w:style w:type="character" w:styleId="IntenseEmphasis">
    <w:name w:val="Intense Emphasis"/>
    <w:basedOn w:val="DefaultParagraphFont"/>
    <w:rPr>
      <w:i/>
      <w:iCs/>
      <w:color w:val="2F5496"/>
    </w:rPr>
  </w:style>
  <w:style w:type="paragraph" w:styleId="IntenseQuote">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rPr>
      <w:i/>
      <w:iCs/>
      <w:color w:val="2F5496"/>
    </w:rPr>
  </w:style>
  <w:style w:type="character" w:styleId="IntenseReference">
    <w:name w:val="Intense Reference"/>
    <w:basedOn w:val="DefaultParagraphFont"/>
    <w:rPr>
      <w:b/>
      <w:bCs/>
      <w:smallCaps/>
      <w:color w:val="2F5496"/>
      <w:spacing w:val="5"/>
    </w:rPr>
  </w:style>
  <w:style w:type="character" w:customStyle="1" w:styleId="normaltextrun">
    <w:name w:val="normaltextrun"/>
    <w:basedOn w:val="DefaultParagraphFont"/>
  </w:style>
  <w:style w:type="character" w:customStyle="1" w:styleId="eop">
    <w:name w:val="eop"/>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link w:val="CommentTextChar1"/>
    <w:pPr>
      <w:spacing w:line="240" w:lineRule="auto"/>
    </w:pPr>
    <w:rPr>
      <w:sz w:val="20"/>
      <w:szCs w:val="20"/>
    </w:rPr>
  </w:style>
  <w:style w:type="character" w:customStyle="1" w:styleId="CommentTextChar">
    <w:name w:val="Comment Text Char"/>
    <w:basedOn w:val="DefaultParagraphFont"/>
    <w:rPr>
      <w:sz w:val="20"/>
      <w:szCs w:val="20"/>
    </w:rPr>
  </w:style>
  <w:style w:type="paragraph" w:styleId="Revision">
    <w:name w:val="Revision"/>
    <w:hidden/>
    <w:uiPriority w:val="99"/>
    <w:semiHidden/>
    <w:rsid w:val="008031BE"/>
    <w:pPr>
      <w:autoSpaceDN/>
      <w:spacing w:after="0" w:line="240" w:lineRule="auto"/>
    </w:pPr>
  </w:style>
  <w:style w:type="paragraph" w:styleId="CommentSubject">
    <w:name w:val="annotation subject"/>
    <w:basedOn w:val="CommentText"/>
    <w:next w:val="CommentText"/>
    <w:link w:val="CommentSubjectChar"/>
    <w:uiPriority w:val="99"/>
    <w:semiHidden/>
    <w:unhideWhenUsed/>
    <w:rsid w:val="00DB4A26"/>
    <w:rPr>
      <w:b/>
      <w:bCs/>
    </w:rPr>
  </w:style>
  <w:style w:type="character" w:customStyle="1" w:styleId="CommentTextChar1">
    <w:name w:val="Comment Text Char1"/>
    <w:basedOn w:val="DefaultParagraphFont"/>
    <w:link w:val="CommentText"/>
    <w:rsid w:val="00DB4A26"/>
    <w:rPr>
      <w:sz w:val="20"/>
      <w:szCs w:val="20"/>
    </w:rPr>
  </w:style>
  <w:style w:type="character" w:customStyle="1" w:styleId="CommentSubjectChar">
    <w:name w:val="Comment Subject Char"/>
    <w:basedOn w:val="CommentTextChar1"/>
    <w:link w:val="CommentSubject"/>
    <w:uiPriority w:val="99"/>
    <w:semiHidden/>
    <w:rsid w:val="00DB4A26"/>
    <w:rPr>
      <w:b/>
      <w:bCs/>
      <w:sz w:val="20"/>
      <w:szCs w:val="20"/>
    </w:rPr>
  </w:style>
  <w:style w:type="table" w:styleId="TableGrid">
    <w:name w:val="Table Grid"/>
    <w:basedOn w:val="TableNormal"/>
    <w:uiPriority w:val="39"/>
    <w:rsid w:val="00027527"/>
    <w:pPr>
      <w:autoSpaceDN/>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3503F"/>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63503F"/>
    <w:rPr>
      <w:rFonts w:cs="Calibri"/>
      <w:noProof/>
      <w:lang w:val="en-US"/>
    </w:rPr>
  </w:style>
  <w:style w:type="paragraph" w:customStyle="1" w:styleId="EndNoteBibliography">
    <w:name w:val="EndNote Bibliography"/>
    <w:basedOn w:val="Normal"/>
    <w:link w:val="EndNoteBibliographyChar"/>
    <w:rsid w:val="0063503F"/>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63503F"/>
    <w:rPr>
      <w:rFonts w:cs="Calibri"/>
      <w:noProof/>
      <w:lang w:val="en-US"/>
    </w:rPr>
  </w:style>
  <w:style w:type="character" w:styleId="Hyperlink">
    <w:name w:val="Hyperlink"/>
    <w:basedOn w:val="DefaultParagraphFont"/>
    <w:uiPriority w:val="99"/>
    <w:unhideWhenUsed/>
    <w:rsid w:val="004F66DB"/>
    <w:rPr>
      <w:color w:val="467886" w:themeColor="hyperlink"/>
      <w:u w:val="single"/>
    </w:rPr>
  </w:style>
  <w:style w:type="character" w:styleId="UnresolvedMention">
    <w:name w:val="Unresolved Mention"/>
    <w:basedOn w:val="DefaultParagraphFont"/>
    <w:uiPriority w:val="99"/>
    <w:semiHidden/>
    <w:unhideWhenUsed/>
    <w:rsid w:val="004F6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050F1-2EBE-488B-A966-8F0774DFD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2875</Words>
  <Characters>16389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Shikha Sharma</dc:creator>
  <dc:description/>
  <cp:lastModifiedBy>Shikha Sharma</cp:lastModifiedBy>
  <cp:revision>4</cp:revision>
  <dcterms:created xsi:type="dcterms:W3CDTF">2026-01-13T00:26:00Z</dcterms:created>
  <dcterms:modified xsi:type="dcterms:W3CDTF">2026-01-13T00:28:00Z</dcterms:modified>
</cp:coreProperties>
</file>