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1DB" w:rsidRPr="00C240EB" w:rsidRDefault="009351DB" w:rsidP="009351DB">
      <w:pPr>
        <w:spacing w:line="48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en-PH"/>
        </w:rPr>
        <w:drawing>
          <wp:inline distT="0" distB="0" distL="0" distR="0">
            <wp:extent cx="5270500" cy="1845945"/>
            <wp:effectExtent l="0" t="0" r="6350" b="1905"/>
            <wp:docPr id="4" name="Picture 4" descr="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1DB" w:rsidRPr="00C240EB" w:rsidRDefault="009351DB" w:rsidP="009351DB">
      <w:pPr>
        <w:spacing w:line="480" w:lineRule="auto"/>
        <w:rPr>
          <w:rFonts w:ascii="Times New Roman" w:hAnsi="Times New Roman"/>
          <w:sz w:val="20"/>
          <w:szCs w:val="20"/>
        </w:rPr>
      </w:pPr>
      <w:r w:rsidRPr="00C240EB">
        <w:rPr>
          <w:rFonts w:ascii="Times New Roman" w:hAnsi="Times New Roman"/>
          <w:b/>
          <w:bCs/>
          <w:sz w:val="20"/>
          <w:szCs w:val="20"/>
        </w:rPr>
        <w:t xml:space="preserve">Fig.S1 </w:t>
      </w:r>
      <w:r w:rsidRPr="00C240EB">
        <w:rPr>
          <w:rFonts w:ascii="Times New Roman" w:hAnsi="Times New Roman"/>
          <w:sz w:val="20"/>
          <w:szCs w:val="20"/>
        </w:rPr>
        <w:t xml:space="preserve">Epo B stabilizes microtubule of </w:t>
      </w:r>
      <w:r w:rsidRPr="00C240EB">
        <w:rPr>
          <w:rFonts w:ascii="Times New Roman" w:hAnsi="Times New Roman" w:hint="eastAsia"/>
          <w:sz w:val="20"/>
          <w:szCs w:val="20"/>
        </w:rPr>
        <w:t xml:space="preserve">OGD conditioned </w:t>
      </w:r>
      <w:r w:rsidRPr="00C240EB">
        <w:rPr>
          <w:rFonts w:ascii="Times New Roman" w:hAnsi="Times New Roman"/>
          <w:sz w:val="20"/>
          <w:szCs w:val="20"/>
        </w:rPr>
        <w:t xml:space="preserve">pericytes. </w:t>
      </w:r>
      <w:r w:rsidRPr="00C240EB">
        <w:rPr>
          <w:rFonts w:ascii="Times New Roman" w:hAnsi="Times New Roman"/>
          <w:b/>
          <w:bCs/>
          <w:sz w:val="20"/>
          <w:szCs w:val="20"/>
        </w:rPr>
        <w:t>a</w:t>
      </w:r>
      <w:r w:rsidRPr="00C240EB">
        <w:rPr>
          <w:rFonts w:ascii="Times New Roman" w:hAnsi="Times New Roman"/>
          <w:sz w:val="20"/>
          <w:szCs w:val="20"/>
        </w:rPr>
        <w:t xml:space="preserve"> Immunofluorescence staining of α-tubulin in pericyte. Scale bar 6</w:t>
      </w:r>
      <w:r w:rsidRPr="00C240EB">
        <w:rPr>
          <w:rFonts w:ascii="Times New Roman" w:hAnsi="Times New Roman" w:hint="eastAsia"/>
          <w:sz w:val="20"/>
          <w:szCs w:val="20"/>
        </w:rPr>
        <w:t xml:space="preserve"> </w:t>
      </w:r>
      <w:r w:rsidRPr="00C240EB">
        <w:rPr>
          <w:rFonts w:ascii="Times New Roman" w:hAnsi="Times New Roman"/>
          <w:sz w:val="20"/>
          <w:szCs w:val="20"/>
        </w:rPr>
        <w:t xml:space="preserve">μm. </w:t>
      </w:r>
      <w:r w:rsidRPr="00C240EB">
        <w:rPr>
          <w:rFonts w:ascii="Times New Roman" w:hAnsi="Times New Roman"/>
          <w:b/>
          <w:bCs/>
          <w:sz w:val="20"/>
          <w:szCs w:val="20"/>
        </w:rPr>
        <w:t>b</w:t>
      </w:r>
      <w:r w:rsidRPr="00C240EB">
        <w:rPr>
          <w:rFonts w:ascii="Times New Roman" w:hAnsi="Times New Roman"/>
          <w:sz w:val="20"/>
          <w:szCs w:val="20"/>
        </w:rPr>
        <w:t xml:space="preserve"> Statistical analysis of the fluorescence intensity of α-tubulin in pericytes. </w:t>
      </w:r>
      <w:r w:rsidRPr="00C240EB">
        <w:rPr>
          <w:rFonts w:ascii="Times New Roman" w:hAnsi="Times New Roman"/>
          <w:b/>
          <w:bCs/>
          <w:sz w:val="20"/>
          <w:szCs w:val="20"/>
        </w:rPr>
        <w:t>c</w:t>
      </w:r>
      <w:r w:rsidRPr="00C240EB">
        <w:rPr>
          <w:rFonts w:ascii="Times New Roman" w:hAnsi="Times New Roman"/>
          <w:sz w:val="20"/>
          <w:szCs w:val="20"/>
        </w:rPr>
        <w:t xml:space="preserve"> Immunoblotting analysis of expression of free and polymerized tubulin in pericytes. </w:t>
      </w:r>
      <w:r w:rsidRPr="00C240EB">
        <w:rPr>
          <w:rFonts w:ascii="Times New Roman" w:hAnsi="Times New Roman"/>
          <w:b/>
          <w:bCs/>
          <w:sz w:val="20"/>
          <w:szCs w:val="20"/>
        </w:rPr>
        <w:t>d-e</w:t>
      </w:r>
      <w:r w:rsidRPr="00C240EB">
        <w:rPr>
          <w:rFonts w:ascii="Times New Roman" w:hAnsi="Times New Roman"/>
          <w:sz w:val="20"/>
          <w:szCs w:val="20"/>
        </w:rPr>
        <w:t xml:space="preserve"> Statistical analysis of the relative intensity of free and polymerized tubulin in pericytes. The data represents the </w:t>
      </w:r>
      <w:r w:rsidRPr="00C240EB">
        <w:rPr>
          <w:rFonts w:ascii="Times New Roman" w:hAnsi="Times New Roman"/>
          <w:color w:val="000000"/>
          <w:sz w:val="20"/>
          <w:szCs w:val="20"/>
        </w:rPr>
        <w:t xml:space="preserve">mean </w:t>
      </w:r>
      <w:r w:rsidRPr="00C240EB">
        <w:rPr>
          <w:rFonts w:ascii="Times New Roman" w:hAnsi="Times New Roman"/>
          <w:sz w:val="20"/>
        </w:rPr>
        <w:fldChar w:fldCharType="begin"/>
      </w:r>
      <w:r w:rsidRPr="00C240EB">
        <w:rPr>
          <w:rFonts w:ascii="Times New Roman" w:hAnsi="Times New Roman"/>
          <w:sz w:val="20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  <w:sz w:val="20"/>
            <w:szCs w:val="20"/>
          </w:rPr>
          <m:t>±</m:t>
        </m:r>
      </m:oMath>
      <w:r w:rsidRPr="00C240EB">
        <w:rPr>
          <w:rFonts w:ascii="Times New Roman" w:hAnsi="Times New Roman"/>
          <w:sz w:val="20"/>
        </w:rPr>
        <w:instrText xml:space="preserve"> </w:instrText>
      </w:r>
      <w:r w:rsidRPr="00C240EB">
        <w:rPr>
          <w:rFonts w:ascii="Times New Roman" w:hAnsi="Times New Roman"/>
          <w:sz w:val="20"/>
        </w:rPr>
        <w:fldChar w:fldCharType="separate"/>
      </w:r>
      <w:r w:rsidRPr="00C240EB">
        <w:rPr>
          <w:rFonts w:ascii="Times New Roman" w:hAnsi="Times New Roman"/>
          <w:sz w:val="20"/>
          <w:szCs w:val="20"/>
        </w:rPr>
        <w:t>±</w:t>
      </w:r>
      <w:r w:rsidRPr="00C240EB">
        <w:rPr>
          <w:rFonts w:ascii="Times New Roman" w:hAnsi="Times New Roman"/>
          <w:sz w:val="20"/>
        </w:rPr>
        <w:fldChar w:fldCharType="end"/>
      </w:r>
      <w:r w:rsidRPr="00C240EB">
        <w:rPr>
          <w:rFonts w:ascii="Times New Roman" w:hAnsi="Times New Roman"/>
          <w:sz w:val="20"/>
        </w:rPr>
        <w:t xml:space="preserve"> </w:t>
      </w:r>
      <w:r w:rsidRPr="00C240EB">
        <w:rPr>
          <w:rFonts w:ascii="Times New Roman" w:hAnsi="Times New Roman"/>
          <w:color w:val="000000"/>
          <w:sz w:val="20"/>
          <w:szCs w:val="20"/>
        </w:rPr>
        <w:t xml:space="preserve">SD </w:t>
      </w:r>
      <w:r w:rsidRPr="00C240EB">
        <w:rPr>
          <w:rFonts w:ascii="Times New Roman" w:hAnsi="Times New Roman"/>
          <w:sz w:val="20"/>
          <w:szCs w:val="20"/>
        </w:rPr>
        <w:t>(n=6). *</w:t>
      </w:r>
      <w:r w:rsidRPr="00C240EB">
        <w:rPr>
          <w:rFonts w:ascii="Times New Roman" w:hAnsi="Times New Roman"/>
          <w:i/>
          <w:iCs/>
          <w:sz w:val="20"/>
          <w:szCs w:val="20"/>
        </w:rPr>
        <w:t>p</w:t>
      </w:r>
      <w:r w:rsidRPr="00C240EB">
        <w:rPr>
          <w:rFonts w:ascii="Times New Roman" w:hAnsi="Times New Roman"/>
          <w:sz w:val="20"/>
          <w:szCs w:val="20"/>
        </w:rPr>
        <w:t>&lt;0.05, **</w:t>
      </w:r>
      <w:r w:rsidRPr="00C240EB">
        <w:rPr>
          <w:rFonts w:ascii="Times New Roman" w:hAnsi="Times New Roman"/>
          <w:i/>
          <w:iCs/>
          <w:sz w:val="20"/>
          <w:szCs w:val="20"/>
        </w:rPr>
        <w:t>p</w:t>
      </w:r>
      <w:r w:rsidRPr="00C240EB">
        <w:rPr>
          <w:rFonts w:ascii="Times New Roman" w:hAnsi="Times New Roman"/>
          <w:sz w:val="20"/>
          <w:szCs w:val="20"/>
        </w:rPr>
        <w:t>&lt;0.01. Significance was determined by student t-tests.</w:t>
      </w:r>
    </w:p>
    <w:p w:rsidR="009351DB" w:rsidRPr="00C240EB" w:rsidRDefault="009351DB" w:rsidP="009351DB">
      <w:pPr>
        <w:spacing w:line="48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en-PH"/>
        </w:rPr>
        <w:drawing>
          <wp:inline distT="0" distB="0" distL="0" distR="0">
            <wp:extent cx="5270500" cy="2924175"/>
            <wp:effectExtent l="0" t="0" r="6350" b="9525"/>
            <wp:docPr id="3" name="Picture 3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1DB" w:rsidRPr="00C240EB" w:rsidRDefault="009351DB" w:rsidP="009351DB">
      <w:pPr>
        <w:spacing w:line="480" w:lineRule="auto"/>
        <w:rPr>
          <w:rFonts w:ascii="Times New Roman" w:hAnsi="Times New Roman"/>
          <w:sz w:val="20"/>
          <w:szCs w:val="20"/>
        </w:rPr>
      </w:pPr>
      <w:r w:rsidRPr="00C240EB">
        <w:rPr>
          <w:rFonts w:ascii="Times New Roman" w:hAnsi="Times New Roman"/>
          <w:b/>
          <w:bCs/>
          <w:sz w:val="20"/>
          <w:szCs w:val="20"/>
        </w:rPr>
        <w:t xml:space="preserve">Fig.S2 </w:t>
      </w:r>
      <w:r w:rsidRPr="00C240EB">
        <w:rPr>
          <w:rFonts w:ascii="Times New Roman" w:hAnsi="Times New Roman"/>
          <w:sz w:val="20"/>
          <w:szCs w:val="20"/>
        </w:rPr>
        <w:t xml:space="preserve">Microtubule stabilization promotes the recovery of the motor function of hind limbs after SCI. Statistical analysis of Basso-Beaie-Bresnehan (BBB) score. The data represents the </w:t>
      </w:r>
      <w:r w:rsidRPr="00C240EB">
        <w:rPr>
          <w:rFonts w:ascii="Times New Roman" w:hAnsi="Times New Roman"/>
          <w:color w:val="000000"/>
          <w:sz w:val="20"/>
          <w:szCs w:val="20"/>
        </w:rPr>
        <w:t xml:space="preserve">mean </w:t>
      </w:r>
      <w:r w:rsidRPr="00C240EB">
        <w:rPr>
          <w:rFonts w:ascii="Times New Roman" w:hAnsi="Times New Roman"/>
          <w:sz w:val="20"/>
        </w:rPr>
        <w:fldChar w:fldCharType="begin"/>
      </w:r>
      <w:r w:rsidRPr="00C240EB">
        <w:rPr>
          <w:rFonts w:ascii="Times New Roman" w:hAnsi="Times New Roman"/>
          <w:sz w:val="20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  <w:sz w:val="20"/>
            <w:szCs w:val="20"/>
          </w:rPr>
          <m:t>±</m:t>
        </m:r>
      </m:oMath>
      <w:r w:rsidRPr="00C240EB">
        <w:rPr>
          <w:rFonts w:ascii="Times New Roman" w:hAnsi="Times New Roman"/>
          <w:sz w:val="20"/>
        </w:rPr>
        <w:instrText xml:space="preserve"> </w:instrText>
      </w:r>
      <w:r w:rsidRPr="00C240EB">
        <w:rPr>
          <w:rFonts w:ascii="Times New Roman" w:hAnsi="Times New Roman"/>
          <w:sz w:val="20"/>
        </w:rPr>
        <w:fldChar w:fldCharType="separate"/>
      </w:r>
      <w:r w:rsidRPr="00C240EB">
        <w:rPr>
          <w:rFonts w:ascii="Times New Roman" w:hAnsi="Times New Roman"/>
          <w:sz w:val="20"/>
          <w:szCs w:val="20"/>
        </w:rPr>
        <w:t>±</w:t>
      </w:r>
      <w:r w:rsidRPr="00C240EB">
        <w:rPr>
          <w:rFonts w:ascii="Times New Roman" w:hAnsi="Times New Roman"/>
          <w:sz w:val="20"/>
        </w:rPr>
        <w:fldChar w:fldCharType="end"/>
      </w:r>
      <w:r w:rsidRPr="00C240EB">
        <w:rPr>
          <w:rFonts w:ascii="Times New Roman" w:hAnsi="Times New Roman"/>
          <w:sz w:val="20"/>
        </w:rPr>
        <w:t xml:space="preserve"> </w:t>
      </w:r>
      <w:r w:rsidRPr="00C240EB">
        <w:rPr>
          <w:rFonts w:ascii="Times New Roman" w:hAnsi="Times New Roman"/>
          <w:color w:val="000000"/>
          <w:sz w:val="20"/>
          <w:szCs w:val="20"/>
        </w:rPr>
        <w:t xml:space="preserve">SD </w:t>
      </w:r>
      <w:r w:rsidRPr="00C240EB">
        <w:rPr>
          <w:rFonts w:ascii="Times New Roman" w:hAnsi="Times New Roman"/>
          <w:sz w:val="20"/>
          <w:szCs w:val="20"/>
        </w:rPr>
        <w:t>(n=9). **</w:t>
      </w:r>
      <w:r w:rsidRPr="00C240EB">
        <w:rPr>
          <w:rFonts w:ascii="Times New Roman" w:hAnsi="Times New Roman"/>
          <w:i/>
          <w:iCs/>
          <w:sz w:val="20"/>
          <w:szCs w:val="20"/>
        </w:rPr>
        <w:t>p</w:t>
      </w:r>
      <w:r w:rsidRPr="00C240EB">
        <w:rPr>
          <w:rFonts w:ascii="Times New Roman" w:hAnsi="Times New Roman"/>
          <w:sz w:val="20"/>
          <w:szCs w:val="20"/>
        </w:rPr>
        <w:t>&lt;0.01. Significance was determined by student t-tests.</w:t>
      </w:r>
    </w:p>
    <w:p w:rsidR="009351DB" w:rsidRPr="00C240EB" w:rsidRDefault="009351DB" w:rsidP="009351DB">
      <w:pPr>
        <w:spacing w:line="48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en-PH"/>
        </w:rPr>
        <w:lastRenderedPageBreak/>
        <w:drawing>
          <wp:inline distT="0" distB="0" distL="0" distR="0">
            <wp:extent cx="5262245" cy="5330825"/>
            <wp:effectExtent l="0" t="0" r="0" b="3175"/>
            <wp:docPr id="2" name="Picture 2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533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1DB" w:rsidRPr="00C240EB" w:rsidRDefault="009351DB" w:rsidP="009351DB">
      <w:pPr>
        <w:spacing w:line="480" w:lineRule="auto"/>
        <w:rPr>
          <w:rFonts w:ascii="Times New Roman" w:hAnsi="Times New Roman"/>
          <w:sz w:val="20"/>
          <w:szCs w:val="20"/>
        </w:rPr>
      </w:pPr>
      <w:r w:rsidRPr="00C240EB">
        <w:rPr>
          <w:rFonts w:ascii="Times New Roman" w:hAnsi="Times New Roman"/>
          <w:b/>
          <w:bCs/>
          <w:sz w:val="20"/>
          <w:szCs w:val="20"/>
        </w:rPr>
        <w:t>Fig.S3</w:t>
      </w:r>
      <w:r w:rsidRPr="00C240EB">
        <w:rPr>
          <w:rFonts w:ascii="Times New Roman" w:hAnsi="Times New Roman"/>
          <w:sz w:val="20"/>
          <w:szCs w:val="20"/>
        </w:rPr>
        <w:t xml:space="preserve"> Microtubule stabilization promotes cell proliferation and inhibits apoptosis in pericytes. </w:t>
      </w:r>
      <w:r w:rsidRPr="00C240EB">
        <w:rPr>
          <w:rFonts w:ascii="Times New Roman" w:hAnsi="Times New Roman"/>
          <w:b/>
          <w:bCs/>
          <w:sz w:val="20"/>
          <w:szCs w:val="20"/>
        </w:rPr>
        <w:t>a</w:t>
      </w:r>
      <w:r w:rsidRPr="00C240EB">
        <w:rPr>
          <w:rFonts w:ascii="Times New Roman" w:hAnsi="Times New Roman"/>
          <w:sz w:val="20"/>
          <w:szCs w:val="20"/>
        </w:rPr>
        <w:t xml:space="preserve"> The cell cycle of pericytes in each group was determined by flow cytometry. </w:t>
      </w:r>
      <w:r w:rsidRPr="00C240EB">
        <w:rPr>
          <w:rFonts w:ascii="Times New Roman" w:hAnsi="Times New Roman"/>
          <w:b/>
          <w:bCs/>
          <w:sz w:val="20"/>
          <w:szCs w:val="20"/>
        </w:rPr>
        <w:t xml:space="preserve">b </w:t>
      </w:r>
      <w:r w:rsidRPr="00C240EB">
        <w:rPr>
          <w:rFonts w:ascii="Times New Roman" w:hAnsi="Times New Roman"/>
          <w:sz w:val="20"/>
          <w:szCs w:val="20"/>
        </w:rPr>
        <w:t xml:space="preserve">The pericytes apoptosis in each group was tested by flow cytometry. </w:t>
      </w:r>
      <w:r w:rsidRPr="00C240EB">
        <w:rPr>
          <w:rFonts w:ascii="Times New Roman" w:hAnsi="Times New Roman"/>
          <w:b/>
          <w:bCs/>
          <w:sz w:val="20"/>
          <w:szCs w:val="20"/>
        </w:rPr>
        <w:t>c</w:t>
      </w:r>
      <w:r w:rsidRPr="00C240EB">
        <w:rPr>
          <w:rFonts w:ascii="Times New Roman" w:hAnsi="Times New Roman"/>
          <w:sz w:val="20"/>
          <w:szCs w:val="20"/>
        </w:rPr>
        <w:t xml:space="preserve"> The fluorescence intensity of </w:t>
      </w:r>
      <w:r w:rsidRPr="00C240EB">
        <w:rPr>
          <w:rFonts w:ascii="Times New Roman" w:hAnsi="Times New Roman" w:hint="eastAsia"/>
          <w:sz w:val="20"/>
          <w:szCs w:val="20"/>
        </w:rPr>
        <w:t>EDU expressing</w:t>
      </w:r>
      <w:r w:rsidRPr="00C240EB">
        <w:rPr>
          <w:rFonts w:ascii="Times New Roman" w:hAnsi="Times New Roman"/>
          <w:sz w:val="20"/>
          <w:szCs w:val="20"/>
        </w:rPr>
        <w:t xml:space="preserve"> pericytes in each group was measured by flow cytometry. </w:t>
      </w:r>
      <w:r w:rsidRPr="00C240EB">
        <w:rPr>
          <w:rFonts w:ascii="Times New Roman" w:hAnsi="Times New Roman"/>
          <w:b/>
          <w:bCs/>
          <w:sz w:val="20"/>
          <w:szCs w:val="20"/>
        </w:rPr>
        <w:t>d</w:t>
      </w:r>
      <w:r w:rsidRPr="00C240EB">
        <w:rPr>
          <w:rFonts w:ascii="Times New Roman" w:hAnsi="Times New Roman"/>
          <w:sz w:val="20"/>
          <w:szCs w:val="20"/>
        </w:rPr>
        <w:t xml:space="preserve"> The viabilities of pericytes were analyzed by CCK-8 assay.</w:t>
      </w:r>
      <w:r w:rsidRPr="00C240EB">
        <w:rPr>
          <w:rFonts w:ascii="Times New Roman" w:hAnsi="Times New Roman"/>
          <w:b/>
          <w:bCs/>
          <w:sz w:val="20"/>
          <w:szCs w:val="20"/>
        </w:rPr>
        <w:t xml:space="preserve"> e</w:t>
      </w:r>
      <w:r w:rsidRPr="00C240EB">
        <w:rPr>
          <w:rFonts w:ascii="Times New Roman" w:hAnsi="Times New Roman"/>
          <w:sz w:val="20"/>
          <w:szCs w:val="20"/>
        </w:rPr>
        <w:t xml:space="preserve"> Statistical analysis of the number of apoptosis</w:t>
      </w:r>
      <w:r w:rsidRPr="00C240EB">
        <w:rPr>
          <w:rFonts w:ascii="Times New Roman" w:hAnsi="Times New Roman" w:hint="eastAsia"/>
          <w:sz w:val="20"/>
          <w:szCs w:val="20"/>
        </w:rPr>
        <w:t xml:space="preserve"> of</w:t>
      </w:r>
      <w:r w:rsidRPr="00C240EB">
        <w:rPr>
          <w:rFonts w:ascii="Times New Roman" w:hAnsi="Times New Roman"/>
          <w:sz w:val="20"/>
          <w:szCs w:val="20"/>
        </w:rPr>
        <w:t xml:space="preserve"> pericytes.</w:t>
      </w:r>
      <w:r w:rsidRPr="00C240EB">
        <w:rPr>
          <w:rFonts w:ascii="Times New Roman" w:hAnsi="Times New Roman"/>
          <w:b/>
          <w:bCs/>
          <w:sz w:val="20"/>
          <w:szCs w:val="20"/>
        </w:rPr>
        <w:t xml:space="preserve"> f </w:t>
      </w:r>
      <w:r w:rsidRPr="00C240EB">
        <w:rPr>
          <w:rFonts w:ascii="Times New Roman" w:hAnsi="Times New Roman"/>
          <w:sz w:val="20"/>
          <w:szCs w:val="20"/>
        </w:rPr>
        <w:t>Statistical analysis of the number of pericytes in each phase in each group.</w:t>
      </w:r>
      <w:r w:rsidRPr="00C240EB">
        <w:rPr>
          <w:rFonts w:ascii="Times New Roman" w:hAnsi="Times New Roman"/>
          <w:b/>
          <w:bCs/>
          <w:sz w:val="20"/>
          <w:szCs w:val="20"/>
        </w:rPr>
        <w:t xml:space="preserve"> g</w:t>
      </w:r>
      <w:r w:rsidRPr="00C240EB">
        <w:rPr>
          <w:rFonts w:ascii="Times New Roman" w:hAnsi="Times New Roman"/>
          <w:sz w:val="20"/>
          <w:szCs w:val="20"/>
        </w:rPr>
        <w:t xml:space="preserve"> Statistical analysis of the fluorescence intensity of EDU </w:t>
      </w:r>
      <w:r w:rsidRPr="00C240EB">
        <w:rPr>
          <w:rFonts w:ascii="Times New Roman" w:hAnsi="Times New Roman" w:hint="eastAsia"/>
          <w:sz w:val="20"/>
          <w:szCs w:val="20"/>
        </w:rPr>
        <w:t>expressing</w:t>
      </w:r>
      <w:r w:rsidRPr="00C240EB">
        <w:rPr>
          <w:rFonts w:ascii="Times New Roman" w:hAnsi="Times New Roman"/>
          <w:sz w:val="20"/>
          <w:szCs w:val="20"/>
        </w:rPr>
        <w:t xml:space="preserve"> pericytes in each group. Results are expressed as mean </w:t>
      </w:r>
      <w:r w:rsidRPr="00C240EB">
        <w:rPr>
          <w:rFonts w:ascii="Times New Roman" w:hAnsi="Times New Roman"/>
          <w:sz w:val="20"/>
          <w:szCs w:val="20"/>
        </w:rPr>
        <w:fldChar w:fldCharType="begin"/>
      </w:r>
      <w:r w:rsidRPr="00C240EB">
        <w:rPr>
          <w:rFonts w:ascii="Times New Roman" w:hAnsi="Times New Roman"/>
          <w:sz w:val="20"/>
          <w:szCs w:val="20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  <w:sz w:val="20"/>
            <w:szCs w:val="20"/>
          </w:rPr>
          <m:t>±</m:t>
        </m:r>
      </m:oMath>
      <w:r w:rsidRPr="00C240EB">
        <w:rPr>
          <w:rFonts w:ascii="Times New Roman" w:hAnsi="Times New Roman"/>
          <w:sz w:val="20"/>
          <w:szCs w:val="20"/>
        </w:rPr>
        <w:instrText xml:space="preserve"> </w:instrText>
      </w:r>
      <w:r w:rsidRPr="00C240EB">
        <w:rPr>
          <w:rFonts w:ascii="Times New Roman" w:hAnsi="Times New Roman"/>
          <w:sz w:val="20"/>
          <w:szCs w:val="20"/>
        </w:rPr>
        <w:fldChar w:fldCharType="separate"/>
      </w:r>
      <w:r w:rsidRPr="00C240EB">
        <w:rPr>
          <w:rFonts w:ascii="Times New Roman" w:hAnsi="Times New Roman"/>
          <w:sz w:val="20"/>
        </w:rPr>
        <w:fldChar w:fldCharType="begin"/>
      </w:r>
      <w:r w:rsidRPr="00C240EB">
        <w:rPr>
          <w:rFonts w:ascii="Times New Roman" w:hAnsi="Times New Roman"/>
          <w:sz w:val="20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  <w:sz w:val="20"/>
            <w:szCs w:val="20"/>
          </w:rPr>
          <m:t>±</m:t>
        </m:r>
      </m:oMath>
      <w:r w:rsidRPr="00C240EB">
        <w:rPr>
          <w:rFonts w:ascii="Times New Roman" w:hAnsi="Times New Roman"/>
          <w:sz w:val="20"/>
        </w:rPr>
        <w:instrText xml:space="preserve"> </w:instrText>
      </w:r>
      <w:r w:rsidRPr="00C240EB">
        <w:rPr>
          <w:rFonts w:ascii="Times New Roman" w:hAnsi="Times New Roman"/>
          <w:sz w:val="20"/>
        </w:rPr>
        <w:fldChar w:fldCharType="separate"/>
      </w:r>
      <w:r w:rsidRPr="00C240EB">
        <w:rPr>
          <w:rFonts w:ascii="Times New Roman" w:hAnsi="Times New Roman"/>
          <w:sz w:val="20"/>
          <w:szCs w:val="20"/>
        </w:rPr>
        <w:t>±</w:t>
      </w:r>
      <w:r w:rsidRPr="00C240EB">
        <w:rPr>
          <w:rFonts w:ascii="Times New Roman" w:hAnsi="Times New Roman"/>
          <w:sz w:val="20"/>
        </w:rPr>
        <w:fldChar w:fldCharType="end"/>
      </w:r>
      <w:r w:rsidRPr="00C240EB">
        <w:rPr>
          <w:rFonts w:ascii="Times New Roman" w:hAnsi="Times New Roman"/>
          <w:sz w:val="20"/>
          <w:szCs w:val="20"/>
        </w:rPr>
        <w:fldChar w:fldCharType="end"/>
      </w:r>
      <w:r w:rsidRPr="00C240EB">
        <w:rPr>
          <w:rFonts w:ascii="Times New Roman" w:hAnsi="Times New Roman"/>
          <w:sz w:val="20"/>
          <w:szCs w:val="20"/>
        </w:rPr>
        <w:t xml:space="preserve"> SD (n=6). *</w:t>
      </w:r>
      <w:r w:rsidRPr="00C240EB">
        <w:rPr>
          <w:rFonts w:ascii="Times New Roman" w:hAnsi="Times New Roman"/>
          <w:i/>
          <w:iCs/>
          <w:sz w:val="20"/>
          <w:szCs w:val="20"/>
        </w:rPr>
        <w:t>p</w:t>
      </w:r>
      <w:r w:rsidRPr="00C240EB">
        <w:rPr>
          <w:rFonts w:ascii="Times New Roman" w:hAnsi="Times New Roman"/>
          <w:sz w:val="20"/>
          <w:szCs w:val="20"/>
        </w:rPr>
        <w:t>&lt;0.05. Significance is determined by student t-tests.</w:t>
      </w:r>
    </w:p>
    <w:p w:rsidR="009351DB" w:rsidRPr="00C240EB" w:rsidRDefault="009351DB" w:rsidP="009351DB">
      <w:pPr>
        <w:spacing w:line="48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en-PH"/>
        </w:rPr>
        <w:lastRenderedPageBreak/>
        <w:drawing>
          <wp:inline distT="0" distB="0" distL="0" distR="0">
            <wp:extent cx="5270500" cy="4252595"/>
            <wp:effectExtent l="0" t="0" r="6350" b="0"/>
            <wp:docPr id="1" name="Picture 1" descr="S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3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25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1DB" w:rsidRPr="00FD465F" w:rsidRDefault="009351DB" w:rsidP="009351DB">
      <w:pPr>
        <w:spacing w:line="480" w:lineRule="auto"/>
        <w:rPr>
          <w:rFonts w:ascii="Times New Roman" w:hAnsi="Times New Roman"/>
          <w:sz w:val="20"/>
          <w:szCs w:val="20"/>
        </w:rPr>
      </w:pPr>
      <w:r w:rsidRPr="00C240EB">
        <w:rPr>
          <w:rFonts w:ascii="Times New Roman" w:hAnsi="Times New Roman" w:hint="eastAsia"/>
          <w:b/>
          <w:bCs/>
          <w:sz w:val="20"/>
          <w:szCs w:val="20"/>
        </w:rPr>
        <w:t>F</w:t>
      </w:r>
      <w:r w:rsidRPr="00C240EB">
        <w:rPr>
          <w:rFonts w:ascii="Times New Roman" w:hAnsi="Times New Roman"/>
          <w:b/>
          <w:bCs/>
          <w:sz w:val="20"/>
          <w:szCs w:val="20"/>
        </w:rPr>
        <w:t>ig.S4</w:t>
      </w:r>
      <w:r w:rsidRPr="00C240EB">
        <w:rPr>
          <w:rFonts w:ascii="Times New Roman" w:hAnsi="Times New Roman"/>
          <w:sz w:val="20"/>
          <w:szCs w:val="20"/>
        </w:rPr>
        <w:t xml:space="preserve"> Microtubule stabilization does not promote lumenogenesis of endothelial cells. </w:t>
      </w:r>
      <w:r w:rsidRPr="00C240EB">
        <w:rPr>
          <w:rFonts w:ascii="Times New Roman" w:hAnsi="Times New Roman"/>
          <w:b/>
          <w:bCs/>
          <w:sz w:val="20"/>
          <w:szCs w:val="20"/>
        </w:rPr>
        <w:t>a</w:t>
      </w:r>
      <w:r w:rsidRPr="00C240EB">
        <w:rPr>
          <w:rFonts w:ascii="Times New Roman" w:hAnsi="Times New Roman"/>
          <w:sz w:val="20"/>
          <w:szCs w:val="20"/>
        </w:rPr>
        <w:t xml:space="preserve"> The lumenogenesis was determined by cell tube formation assay. </w:t>
      </w:r>
      <w:r w:rsidRPr="00C240EB">
        <w:rPr>
          <w:rFonts w:ascii="Times New Roman" w:hAnsi="Times New Roman"/>
          <w:b/>
          <w:bCs/>
          <w:sz w:val="20"/>
          <w:szCs w:val="20"/>
        </w:rPr>
        <w:t>b</w:t>
      </w:r>
      <w:r w:rsidRPr="00C240EB">
        <w:rPr>
          <w:rFonts w:ascii="Times New Roman" w:hAnsi="Times New Roman"/>
          <w:sz w:val="20"/>
          <w:szCs w:val="20"/>
        </w:rPr>
        <w:t xml:space="preserve"> Statistical analysis of the branch points. </w:t>
      </w:r>
      <w:r w:rsidRPr="00C240EB">
        <w:rPr>
          <w:rFonts w:ascii="Times New Roman" w:hAnsi="Times New Roman"/>
          <w:b/>
          <w:bCs/>
          <w:sz w:val="20"/>
          <w:szCs w:val="20"/>
        </w:rPr>
        <w:t>c</w:t>
      </w:r>
      <w:r w:rsidRPr="00C240EB">
        <w:rPr>
          <w:rFonts w:ascii="Times New Roman" w:hAnsi="Times New Roman"/>
          <w:sz w:val="20"/>
          <w:szCs w:val="20"/>
        </w:rPr>
        <w:t xml:space="preserve"> Statistical analysis of the tube length. Results are expressed as mean </w:t>
      </w:r>
      <w:r w:rsidRPr="00C240EB">
        <w:rPr>
          <w:rFonts w:ascii="Times New Roman" w:hAnsi="Times New Roman"/>
          <w:sz w:val="20"/>
        </w:rPr>
        <w:fldChar w:fldCharType="begin"/>
      </w:r>
      <w:r w:rsidRPr="00C240EB">
        <w:rPr>
          <w:rFonts w:ascii="Times New Roman" w:hAnsi="Times New Roman"/>
          <w:sz w:val="20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  <w:sz w:val="20"/>
            <w:szCs w:val="20"/>
          </w:rPr>
          <m:t>±</m:t>
        </m:r>
      </m:oMath>
      <w:r w:rsidRPr="00C240EB">
        <w:rPr>
          <w:rFonts w:ascii="Times New Roman" w:hAnsi="Times New Roman"/>
          <w:sz w:val="20"/>
        </w:rPr>
        <w:instrText xml:space="preserve"> </w:instrText>
      </w:r>
      <w:r w:rsidRPr="00C240EB">
        <w:rPr>
          <w:rFonts w:ascii="Times New Roman" w:hAnsi="Times New Roman"/>
          <w:sz w:val="20"/>
        </w:rPr>
        <w:fldChar w:fldCharType="separate"/>
      </w:r>
      <w:r w:rsidRPr="00C240EB">
        <w:rPr>
          <w:rFonts w:ascii="Times New Roman" w:hAnsi="Times New Roman"/>
          <w:sz w:val="20"/>
          <w:szCs w:val="20"/>
        </w:rPr>
        <w:t>±</w:t>
      </w:r>
      <w:r w:rsidRPr="00C240EB">
        <w:rPr>
          <w:rFonts w:ascii="Times New Roman" w:hAnsi="Times New Roman"/>
          <w:sz w:val="20"/>
        </w:rPr>
        <w:fldChar w:fldCharType="end"/>
      </w:r>
      <w:r w:rsidRPr="00C240EB">
        <w:rPr>
          <w:rFonts w:ascii="Times New Roman" w:hAnsi="Times New Roman"/>
          <w:sz w:val="20"/>
        </w:rPr>
        <w:t xml:space="preserve"> </w:t>
      </w:r>
      <w:r w:rsidRPr="00C240EB">
        <w:rPr>
          <w:rFonts w:ascii="Times New Roman" w:hAnsi="Times New Roman"/>
          <w:sz w:val="20"/>
          <w:szCs w:val="20"/>
        </w:rPr>
        <w:t xml:space="preserve">SD (n=6). </w:t>
      </w:r>
      <w:r w:rsidRPr="00C240EB">
        <w:rPr>
          <w:rFonts w:ascii="Times New Roman" w:hAnsi="Times New Roman"/>
          <w:i/>
          <w:iCs/>
          <w:sz w:val="20"/>
          <w:szCs w:val="20"/>
        </w:rPr>
        <w:t>p</w:t>
      </w:r>
      <w:r w:rsidRPr="00C240EB">
        <w:rPr>
          <w:rFonts w:ascii="Times New Roman" w:hAnsi="Times New Roman"/>
          <w:sz w:val="20"/>
          <w:szCs w:val="20"/>
        </w:rPr>
        <w:t>&gt;0.05. Significance is determined by student t-tests.</w:t>
      </w:r>
    </w:p>
    <w:p w:rsidR="009351DB" w:rsidRPr="000B7CA5" w:rsidRDefault="009351DB" w:rsidP="009351DB">
      <w:pPr>
        <w:spacing w:line="480" w:lineRule="auto"/>
        <w:rPr>
          <w:rFonts w:ascii="Times New Roman" w:hAnsi="Times New Roman"/>
          <w:sz w:val="20"/>
          <w:szCs w:val="20"/>
        </w:rPr>
      </w:pPr>
    </w:p>
    <w:p w:rsidR="00F43A82" w:rsidRDefault="00F43A82">
      <w:bookmarkStart w:id="0" w:name="_GoBack"/>
      <w:bookmarkEnd w:id="0"/>
    </w:p>
    <w:sectPr w:rsidR="00F43A82" w:rsidSect="00C240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1DB"/>
    <w:rsid w:val="009351DB"/>
    <w:rsid w:val="00C069EC"/>
    <w:rsid w:val="00F4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5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1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5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1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OE82</dc:creator>
  <cp:lastModifiedBy>OE82</cp:lastModifiedBy>
  <cp:revision>1</cp:revision>
  <dcterms:created xsi:type="dcterms:W3CDTF">2020-08-06T05:15:00Z</dcterms:created>
  <dcterms:modified xsi:type="dcterms:W3CDTF">2020-08-06T05:15:00Z</dcterms:modified>
</cp:coreProperties>
</file>