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B1F50" w14:textId="2D36A48C" w:rsidR="00E66897" w:rsidRDefault="00604803">
      <w:pPr>
        <w:spacing w:before="240" w:after="240" w:line="480" w:lineRule="auto"/>
        <w:jc w:val="center"/>
        <w:rPr>
          <w:b/>
        </w:rPr>
      </w:pPr>
      <w:r>
        <w:rPr>
          <w:b/>
        </w:rPr>
        <w:t>Supplementary</w:t>
      </w:r>
      <w:r w:rsidR="003714B9">
        <w:rPr>
          <w:b/>
        </w:rPr>
        <w:t xml:space="preserve"> Materials</w:t>
      </w:r>
    </w:p>
    <w:p w14:paraId="248B6FDC" w14:textId="3DB1FEE5" w:rsidR="00927687" w:rsidRDefault="00D71BCC">
      <w:pPr>
        <w:spacing w:before="240" w:after="240"/>
        <w:rPr>
          <w:sz w:val="20"/>
          <w:szCs w:val="20"/>
          <w:highlight w:val="white"/>
        </w:rPr>
      </w:pPr>
      <w:r>
        <w:rPr>
          <w:b/>
          <w:sz w:val="20"/>
          <w:szCs w:val="20"/>
          <w:highlight w:val="white"/>
        </w:rPr>
        <w:t xml:space="preserve">Supplementary </w:t>
      </w:r>
      <w:r w:rsidR="00AB1095">
        <w:rPr>
          <w:b/>
          <w:sz w:val="20"/>
          <w:szCs w:val="20"/>
          <w:highlight w:val="white"/>
        </w:rPr>
        <w:t>Figure 1.</w:t>
      </w:r>
      <w:r w:rsidR="00AB1095">
        <w:rPr>
          <w:sz w:val="20"/>
          <w:szCs w:val="20"/>
          <w:highlight w:val="white"/>
        </w:rPr>
        <w:t xml:space="preserve">  Characterization of RFP-ATXN1[82Q] aggregates stably expressed in Daoy cells.  A) RFP-ATXN1[30Q] stably expressed in Daoy cells is diffuse and localized to the nucleus. B) RFP-ATXN1[82Q] stably expressed in Daoy cells is primarily localized to the nucleus and can be diffuse (D), or aggregate into small (S), medium (M), or large (L) species. C) RFP-ATXN1[82Q-A776], in which the NLS serine is mutated to a phosphorylation-resistant alanine, is diffuse, </w:t>
      </w:r>
      <w:r w:rsidR="008B3CED">
        <w:rPr>
          <w:sz w:val="20"/>
          <w:szCs w:val="20"/>
          <w:highlight w:val="white"/>
        </w:rPr>
        <w:t xml:space="preserve">expressed in the </w:t>
      </w:r>
      <w:r w:rsidR="00AB1095">
        <w:rPr>
          <w:sz w:val="20"/>
          <w:szCs w:val="20"/>
          <w:highlight w:val="white"/>
        </w:rPr>
        <w:t>cytoplasm and nucle</w:t>
      </w:r>
      <w:r w:rsidR="008B3CED">
        <w:rPr>
          <w:sz w:val="20"/>
          <w:szCs w:val="20"/>
          <w:highlight w:val="white"/>
        </w:rPr>
        <w:t>us,</w:t>
      </w:r>
      <w:r w:rsidR="00AB1095">
        <w:rPr>
          <w:sz w:val="20"/>
          <w:szCs w:val="20"/>
          <w:highlight w:val="white"/>
        </w:rPr>
        <w:t xml:space="preserve"> and unstable.  D-E) Cell density increases aggregate expression as seen in cells plated on day 1 (D) compared to day 4 (E).  F) Co-localization of total ATXN1[82Q] (11750 antibody, red) and oligomers (F11G3 antibody, green) in Daoy cells. G) Co-localization of ATXN1[82Q] phosphorylated at the Serine 776 residue (PN1168 antibody, red) and oligomers (F11G3 antibody, green) in Daoy cells.</w:t>
      </w:r>
      <w:r w:rsidR="001603B8">
        <w:rPr>
          <w:sz w:val="20"/>
          <w:szCs w:val="20"/>
          <w:highlight w:val="white"/>
        </w:rPr>
        <w:t xml:space="preserve">  Size markers</w:t>
      </w:r>
      <w:r w:rsidR="003C67AE">
        <w:rPr>
          <w:sz w:val="20"/>
          <w:szCs w:val="20"/>
          <w:highlight w:val="white"/>
        </w:rPr>
        <w:t xml:space="preserve"> refer to 50 </w:t>
      </w:r>
      <w:r w:rsidR="003C67AE" w:rsidRPr="003C67AE">
        <w:rPr>
          <w:rFonts w:ascii="Symbol" w:hAnsi="Symbol"/>
          <w:sz w:val="20"/>
          <w:szCs w:val="20"/>
          <w:highlight w:val="white"/>
        </w:rPr>
        <w:t></w:t>
      </w:r>
      <w:r w:rsidR="003C67AE">
        <w:rPr>
          <w:sz w:val="20"/>
          <w:szCs w:val="20"/>
          <w:highlight w:val="white"/>
        </w:rPr>
        <w:t>m.</w:t>
      </w:r>
    </w:p>
    <w:p w14:paraId="144F164D" w14:textId="46FD5C64" w:rsidR="00927687" w:rsidRDefault="00AB1095">
      <w:pPr>
        <w:spacing w:before="240" w:after="240"/>
        <w:rPr>
          <w:highlight w:val="white"/>
        </w:rPr>
      </w:pPr>
      <w:r>
        <w:rPr>
          <w:highlight w:val="white"/>
        </w:rPr>
        <w:t xml:space="preserve"> </w:t>
      </w:r>
      <w:r w:rsidR="00D71BCC">
        <w:rPr>
          <w:noProof/>
        </w:rPr>
        <w:drawing>
          <wp:inline distT="0" distB="0" distL="0" distR="0" wp14:anchorId="628A2A0A" wp14:editId="0A9310EF">
            <wp:extent cx="3974592" cy="274320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 Figure 1_prop final_revised cop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59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75779" w14:textId="77777777" w:rsidR="00927687" w:rsidRDefault="00AB1095">
      <w:pPr>
        <w:spacing w:before="240"/>
        <w:rPr>
          <w:b/>
          <w:highlight w:val="white"/>
        </w:rPr>
      </w:pPr>
      <w:r>
        <w:br w:type="page"/>
      </w:r>
    </w:p>
    <w:p w14:paraId="3411C097" w14:textId="05B352CA" w:rsidR="00927687" w:rsidRDefault="003714B9">
      <w:pPr>
        <w:spacing w:before="240" w:after="240"/>
        <w:rPr>
          <w:highlight w:val="white"/>
        </w:rPr>
      </w:pPr>
      <w:r>
        <w:rPr>
          <w:b/>
          <w:sz w:val="20"/>
          <w:szCs w:val="20"/>
        </w:rPr>
        <w:lastRenderedPageBreak/>
        <w:t xml:space="preserve">Supplementary </w:t>
      </w:r>
      <w:r w:rsidR="00AB1095">
        <w:rPr>
          <w:b/>
          <w:sz w:val="20"/>
          <w:szCs w:val="20"/>
        </w:rPr>
        <w:t>Figure 2.</w:t>
      </w:r>
      <w:r w:rsidR="00AB1095">
        <w:rPr>
          <w:color w:val="BF9000"/>
          <w:sz w:val="20"/>
          <w:szCs w:val="20"/>
        </w:rPr>
        <w:t xml:space="preserve">  </w:t>
      </w:r>
      <w:r w:rsidR="00AB1095">
        <w:rPr>
          <w:sz w:val="20"/>
          <w:szCs w:val="20"/>
        </w:rPr>
        <w:t xml:space="preserve">Manipulation of autophagy and UPS alters ATXN1 aggregate formation. A) </w:t>
      </w:r>
      <w:r w:rsidR="00AB1095">
        <w:rPr>
          <w:sz w:val="20"/>
          <w:szCs w:val="20"/>
          <w:highlight w:val="white"/>
        </w:rPr>
        <w:t xml:space="preserve">RFP-ATXN1[30Q] nuclear expression in Daoy cells shown with an autophagy marker (green).  B) Induction of autophagy with 500 </w:t>
      </w:r>
      <w:proofErr w:type="spellStart"/>
      <w:r w:rsidR="00AB1095">
        <w:rPr>
          <w:sz w:val="20"/>
          <w:szCs w:val="20"/>
          <w:highlight w:val="white"/>
        </w:rPr>
        <w:t>nM</w:t>
      </w:r>
      <w:proofErr w:type="spellEnd"/>
      <w:r w:rsidR="00AB1095">
        <w:rPr>
          <w:sz w:val="20"/>
          <w:szCs w:val="20"/>
          <w:highlight w:val="white"/>
        </w:rPr>
        <w:t xml:space="preserve"> rapamycin treatment reduces RFP-ATXN1[30Q] expression.  C) Arrest of late-stage autophagy by 60 µM chloroquine induces formation of RFP-ATXN1[30Q] into large aggregates.  D) RFP-ATXN1[82Q] aggregates do not co-localize with ubiquitin aggregates (anti-ubiquitin, green) when treated with DMSO-vehicle. E) Proteasomal inhibition by 100 </w:t>
      </w:r>
      <w:proofErr w:type="spellStart"/>
      <w:r w:rsidR="00AB1095">
        <w:rPr>
          <w:sz w:val="20"/>
          <w:szCs w:val="20"/>
          <w:highlight w:val="white"/>
        </w:rPr>
        <w:t>nM</w:t>
      </w:r>
      <w:proofErr w:type="spellEnd"/>
      <w:r w:rsidR="00AB1095">
        <w:rPr>
          <w:sz w:val="20"/>
          <w:szCs w:val="20"/>
          <w:highlight w:val="white"/>
        </w:rPr>
        <w:t xml:space="preserve"> </w:t>
      </w:r>
      <w:proofErr w:type="spellStart"/>
      <w:r w:rsidR="00AB1095">
        <w:rPr>
          <w:sz w:val="20"/>
          <w:szCs w:val="20"/>
          <w:highlight w:val="white"/>
        </w:rPr>
        <w:t>lactacystin</w:t>
      </w:r>
      <w:proofErr w:type="spellEnd"/>
      <w:r w:rsidR="00AB1095">
        <w:rPr>
          <w:sz w:val="20"/>
          <w:szCs w:val="20"/>
          <w:highlight w:val="white"/>
        </w:rPr>
        <w:t xml:space="preserve"> treatment induces ubiquitination (green) of a subset (asterisks) of ATXN1[82Q] aggregates (11750 antibody, red).  F-G) 24-hour treatment of Daoy cells one day after plating with 500 </w:t>
      </w:r>
      <w:proofErr w:type="spellStart"/>
      <w:r w:rsidR="00AB1095">
        <w:rPr>
          <w:sz w:val="20"/>
          <w:szCs w:val="20"/>
          <w:highlight w:val="white"/>
        </w:rPr>
        <w:t>nM</w:t>
      </w:r>
      <w:proofErr w:type="spellEnd"/>
      <w:r w:rsidR="00AB1095">
        <w:rPr>
          <w:sz w:val="20"/>
          <w:szCs w:val="20"/>
          <w:highlight w:val="white"/>
        </w:rPr>
        <w:t xml:space="preserve"> rapamycin (F) or 60 µM chloroquine (G) alters aggregation of RFP-ATXN1[82Q].  Autophagic marker is shown in green, DAPI is shown in blue. H) Induction of autophagy by 500 </w:t>
      </w:r>
      <w:proofErr w:type="spellStart"/>
      <w:r w:rsidR="00AB1095">
        <w:rPr>
          <w:sz w:val="20"/>
          <w:szCs w:val="20"/>
          <w:highlight w:val="white"/>
        </w:rPr>
        <w:t>nM</w:t>
      </w:r>
      <w:proofErr w:type="spellEnd"/>
      <w:r w:rsidR="00AB1095">
        <w:rPr>
          <w:sz w:val="20"/>
          <w:szCs w:val="20"/>
          <w:highlight w:val="white"/>
        </w:rPr>
        <w:t xml:space="preserve"> rapamycin or arrest of autophagy by 60 µM chloroquine redistributes diffuse, nuclear RFP-ATXN1[82Q] into aggregates. Error bars reflect SEM.  ANOVA with Tukey’s multiple comparisons test.  ** P &lt; 0.01, *** P &lt; 0.05.  </w:t>
      </w:r>
      <w:r>
        <w:rPr>
          <w:sz w:val="20"/>
          <w:szCs w:val="20"/>
          <w:highlight w:val="white"/>
        </w:rPr>
        <w:t xml:space="preserve">Size markers refer to 50 </w:t>
      </w:r>
      <w:r w:rsidRPr="003C67AE">
        <w:rPr>
          <w:rFonts w:ascii="Symbol" w:hAnsi="Symbol"/>
          <w:sz w:val="20"/>
          <w:szCs w:val="20"/>
          <w:highlight w:val="white"/>
        </w:rPr>
        <w:t></w:t>
      </w:r>
      <w:r>
        <w:rPr>
          <w:sz w:val="20"/>
          <w:szCs w:val="20"/>
          <w:highlight w:val="white"/>
        </w:rPr>
        <w:t>m.</w:t>
      </w:r>
    </w:p>
    <w:p w14:paraId="2816317B" w14:textId="641E7031" w:rsidR="00927687" w:rsidRDefault="003714B9">
      <w:pPr>
        <w:spacing w:before="240" w:after="240"/>
        <w:rPr>
          <w:highlight w:val="white"/>
        </w:rPr>
      </w:pPr>
      <w:r>
        <w:rPr>
          <w:noProof/>
        </w:rPr>
        <w:drawing>
          <wp:inline distT="0" distB="0" distL="0" distR="0" wp14:anchorId="49169E5D" wp14:editId="7EC305FA">
            <wp:extent cx="3974592" cy="4102608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upp Figure 2_prop final_revised cop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592" cy="410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5003D" w14:textId="77777777" w:rsidR="00927687" w:rsidRDefault="00927687">
      <w:pPr>
        <w:spacing w:before="240" w:after="240"/>
        <w:rPr>
          <w:highlight w:val="white"/>
        </w:rPr>
      </w:pPr>
    </w:p>
    <w:p w14:paraId="3A18405E" w14:textId="70760159" w:rsidR="00927687" w:rsidRPr="00D074FF" w:rsidRDefault="00927687" w:rsidP="00D074FF">
      <w:pPr>
        <w:spacing w:before="240"/>
        <w:rPr>
          <w:b/>
        </w:rPr>
      </w:pPr>
      <w:bookmarkStart w:id="0" w:name="_GoBack"/>
      <w:bookmarkEnd w:id="0"/>
    </w:p>
    <w:sectPr w:rsidR="00927687" w:rsidRPr="00D074FF" w:rsidSect="00604803"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a9appp2kxwrt2ezzappvee95awresapr5x0&quot;&gt;My EndNote Library-Converted&lt;record-ids&gt;&lt;item&gt;4&lt;/item&gt;&lt;item&gt;8&lt;/item&gt;&lt;item&gt;9&lt;/item&gt;&lt;item&gt;17&lt;/item&gt;&lt;item&gt;89&lt;/item&gt;&lt;item&gt;160&lt;/item&gt;&lt;item&gt;251&lt;/item&gt;&lt;item&gt;348&lt;/item&gt;&lt;item&gt;349&lt;/item&gt;&lt;item&gt;403&lt;/item&gt;&lt;/record-ids&gt;&lt;/item&gt;&lt;/Libraries&gt;"/>
  </w:docVars>
  <w:rsids>
    <w:rsidRoot w:val="00927687"/>
    <w:rsid w:val="00001610"/>
    <w:rsid w:val="00054F07"/>
    <w:rsid w:val="0007156C"/>
    <w:rsid w:val="000F5CF6"/>
    <w:rsid w:val="000F7E62"/>
    <w:rsid w:val="001603B8"/>
    <w:rsid w:val="00197D98"/>
    <w:rsid w:val="00221384"/>
    <w:rsid w:val="00266EBE"/>
    <w:rsid w:val="00276E6A"/>
    <w:rsid w:val="002A2C5B"/>
    <w:rsid w:val="002C6674"/>
    <w:rsid w:val="003714B9"/>
    <w:rsid w:val="003C67AE"/>
    <w:rsid w:val="003F5CDC"/>
    <w:rsid w:val="00425DA0"/>
    <w:rsid w:val="00446D91"/>
    <w:rsid w:val="004671C9"/>
    <w:rsid w:val="00472891"/>
    <w:rsid w:val="004B3274"/>
    <w:rsid w:val="004F137C"/>
    <w:rsid w:val="00604803"/>
    <w:rsid w:val="006048A1"/>
    <w:rsid w:val="0067333E"/>
    <w:rsid w:val="00694ADA"/>
    <w:rsid w:val="006B1A7F"/>
    <w:rsid w:val="006B51B3"/>
    <w:rsid w:val="006B71A1"/>
    <w:rsid w:val="007A7057"/>
    <w:rsid w:val="00806C30"/>
    <w:rsid w:val="00847123"/>
    <w:rsid w:val="00865B52"/>
    <w:rsid w:val="008842CF"/>
    <w:rsid w:val="008B3CED"/>
    <w:rsid w:val="008E549F"/>
    <w:rsid w:val="008F3904"/>
    <w:rsid w:val="00927687"/>
    <w:rsid w:val="0096480C"/>
    <w:rsid w:val="00A00044"/>
    <w:rsid w:val="00A54C2B"/>
    <w:rsid w:val="00AB1095"/>
    <w:rsid w:val="00AB66F8"/>
    <w:rsid w:val="00AC38B8"/>
    <w:rsid w:val="00AC6F87"/>
    <w:rsid w:val="00B9029B"/>
    <w:rsid w:val="00B93374"/>
    <w:rsid w:val="00C7076C"/>
    <w:rsid w:val="00CB0D21"/>
    <w:rsid w:val="00CE5E42"/>
    <w:rsid w:val="00D074FF"/>
    <w:rsid w:val="00D47AD4"/>
    <w:rsid w:val="00D71BCC"/>
    <w:rsid w:val="00D727ED"/>
    <w:rsid w:val="00D751D6"/>
    <w:rsid w:val="00D8547C"/>
    <w:rsid w:val="00DF273B"/>
    <w:rsid w:val="00E14A24"/>
    <w:rsid w:val="00E23FBF"/>
    <w:rsid w:val="00E506CE"/>
    <w:rsid w:val="00E55CD4"/>
    <w:rsid w:val="00E66897"/>
    <w:rsid w:val="00E82325"/>
    <w:rsid w:val="00F14EB6"/>
    <w:rsid w:val="00F428ED"/>
    <w:rsid w:val="00F5284B"/>
    <w:rsid w:val="00F550A0"/>
    <w:rsid w:val="00F9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34294"/>
  <w15:docId w15:val="{C5EE14AE-7280-4D67-9722-AD56F913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446D91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46D91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46D91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46D91"/>
    <w:rPr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F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F0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2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221384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425DA0"/>
    <w:pPr>
      <w:spacing w:line="240" w:lineRule="auto"/>
    </w:pPr>
    <w:rPr>
      <w:rFonts w:ascii="Calibri" w:eastAsiaTheme="minorHAnsi" w:hAnsi="Calibri" w:cstheme="minorBid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425DA0"/>
    <w:rPr>
      <w:rFonts w:ascii="Calibri" w:eastAsiaTheme="minorHAnsi" w:hAnsi="Calibri" w:cstheme="minorBidi"/>
      <w:szCs w:val="21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C3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1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0AB8212B010A419F513E2213E033C5" ma:contentTypeVersion="11" ma:contentTypeDescription="Create a new document." ma:contentTypeScope="" ma:versionID="d088defd0ee65d97191ba62a1cab20be">
  <xsd:schema xmlns:xsd="http://www.w3.org/2001/XMLSchema" xmlns:xs="http://www.w3.org/2001/XMLSchema" xmlns:p="http://schemas.microsoft.com/office/2006/metadata/properties" xmlns:ns3="ad4655af-d92d-4dee-bf59-3112db36aa92" targetNamespace="http://schemas.microsoft.com/office/2006/metadata/properties" ma:root="true" ma:fieldsID="aa2bb8f8e523ba949e4215bf21c68483" ns3:_="">
    <xsd:import namespace="ad4655af-d92d-4dee-bf59-3112db36aa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655af-d92d-4dee-bf59-3112db36aa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A3389-389B-46C7-BC16-DAF611812DB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ad4655af-d92d-4dee-bf59-3112db36aa92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E0E79E2-2546-44EF-AF65-5C515DF3E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655af-d92d-4dee-bf59-3112db36aa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5CAACC-F3E3-477E-A769-DC2C6BBCC6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Lagalwar</dc:creator>
  <cp:lastModifiedBy>Sara Lagalwar</cp:lastModifiedBy>
  <cp:revision>5</cp:revision>
  <cp:lastPrinted>2021-08-11T15:58:00Z</cp:lastPrinted>
  <dcterms:created xsi:type="dcterms:W3CDTF">2021-10-27T20:48:00Z</dcterms:created>
  <dcterms:modified xsi:type="dcterms:W3CDTF">2021-10-27T22:03:00Z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0x010100690AB8212B010A419F513E2213E033C5</vt:lpwstr>
  </property>
</Properties>
</file>