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8131F" w14:textId="77777777" w:rsidR="00AA5FED" w:rsidRDefault="00AA5FED" w:rsidP="00AA5FED">
      <w:pPr>
        <w:spacing w:after="0" w:line="360" w:lineRule="auto"/>
        <w:jc w:val="both"/>
        <w:rPr>
          <w:rFonts w:ascii="Times New Roman" w:hAnsi="Times New Roman" w:cs="Times New Roman"/>
          <w:b/>
          <w:bCs/>
        </w:rPr>
      </w:pPr>
      <w:r w:rsidRPr="001912E0">
        <w:rPr>
          <w:rFonts w:ascii="Times New Roman" w:hAnsi="Times New Roman" w:cs="Times New Roman"/>
          <w:b/>
          <w:bCs/>
        </w:rPr>
        <w:t>Supplementary Figure 4: Functional clustering and protein–protein interactions</w:t>
      </w:r>
      <w:r>
        <w:rPr>
          <w:rFonts w:ascii="Times New Roman" w:hAnsi="Times New Roman" w:cs="Times New Roman"/>
          <w:b/>
          <w:bCs/>
        </w:rPr>
        <w:t xml:space="preserve"> of the </w:t>
      </w:r>
      <w:r w:rsidRPr="002B3C5C">
        <w:rPr>
          <w:rFonts w:ascii="Times New Roman" w:hAnsi="Times New Roman" w:cs="Times New Roman"/>
          <w:b/>
          <w:bCs/>
          <w:sz w:val="24"/>
          <w:szCs w:val="24"/>
        </w:rPr>
        <w:t xml:space="preserve">identified optic nerve </w:t>
      </w:r>
      <w:proofErr w:type="spellStart"/>
      <w:r w:rsidRPr="002B3C5C">
        <w:rPr>
          <w:rFonts w:ascii="Times New Roman" w:hAnsi="Times New Roman" w:cs="Times New Roman"/>
          <w:b/>
          <w:bCs/>
          <w:sz w:val="24"/>
          <w:szCs w:val="24"/>
        </w:rPr>
        <w:t>proteoforms</w:t>
      </w:r>
      <w:proofErr w:type="spellEnd"/>
      <w:r>
        <w:rPr>
          <w:rFonts w:ascii="Times New Roman" w:hAnsi="Times New Roman" w:cs="Times New Roman"/>
          <w:b/>
          <w:bCs/>
          <w:sz w:val="24"/>
          <w:szCs w:val="24"/>
        </w:rPr>
        <w:t xml:space="preserve"> in Supplementary Table 1</w:t>
      </w:r>
      <w:r w:rsidRPr="001912E0">
        <w:rPr>
          <w:rFonts w:ascii="Times New Roman" w:hAnsi="Times New Roman" w:cs="Times New Roman"/>
          <w:b/>
          <w:bCs/>
        </w:rPr>
        <w:t xml:space="preserve">. </w:t>
      </w:r>
    </w:p>
    <w:p w14:paraId="378E4D86" w14:textId="77349883" w:rsidR="00E03874" w:rsidRDefault="00AA5FED" w:rsidP="00AA5FED">
      <w:pPr>
        <w:spacing w:after="0" w:line="360" w:lineRule="auto"/>
        <w:jc w:val="both"/>
      </w:pPr>
      <w:r w:rsidRPr="001912E0">
        <w:rPr>
          <w:rFonts w:ascii="Times New Roman" w:hAnsi="Times New Roman" w:cs="Times New Roman"/>
        </w:rPr>
        <w:t xml:space="preserve">Pie charts show the distribution of identified </w:t>
      </w:r>
      <w:proofErr w:type="spellStart"/>
      <w:r w:rsidRPr="001912E0">
        <w:rPr>
          <w:rFonts w:ascii="Times New Roman" w:hAnsi="Times New Roman" w:cs="Times New Roman"/>
        </w:rPr>
        <w:t>proteoforms</w:t>
      </w:r>
      <w:proofErr w:type="spellEnd"/>
      <w:r w:rsidRPr="001912E0">
        <w:rPr>
          <w:rFonts w:ascii="Times New Roman" w:hAnsi="Times New Roman" w:cs="Times New Roman"/>
        </w:rPr>
        <w:t xml:space="preserve"> according to (</w:t>
      </w:r>
      <w:r w:rsidRPr="001912E0">
        <w:rPr>
          <w:rFonts w:ascii="Times New Roman" w:hAnsi="Times New Roman" w:cs="Times New Roman"/>
          <w:b/>
          <w:bCs/>
        </w:rPr>
        <w:t>A</w:t>
      </w:r>
      <w:r w:rsidRPr="001912E0">
        <w:rPr>
          <w:rFonts w:ascii="Times New Roman" w:hAnsi="Times New Roman" w:cs="Times New Roman"/>
        </w:rPr>
        <w:t xml:space="preserve">) Subcellular localizations (characterized using </w:t>
      </w:r>
      <w:proofErr w:type="spellStart"/>
      <w:r w:rsidRPr="001912E0">
        <w:rPr>
          <w:rFonts w:ascii="Times New Roman" w:hAnsi="Times New Roman" w:cs="Times New Roman"/>
        </w:rPr>
        <w:t>UniProt</w:t>
      </w:r>
      <w:proofErr w:type="spellEnd"/>
      <w:r w:rsidRPr="001912E0">
        <w:rPr>
          <w:rFonts w:ascii="Times New Roman" w:hAnsi="Times New Roman" w:cs="Times New Roman"/>
        </w:rPr>
        <w:t>), (</w:t>
      </w:r>
      <w:r w:rsidRPr="001912E0">
        <w:rPr>
          <w:rFonts w:ascii="Times New Roman" w:hAnsi="Times New Roman" w:cs="Times New Roman"/>
          <w:b/>
          <w:bCs/>
        </w:rPr>
        <w:t>B</w:t>
      </w:r>
      <w:r w:rsidRPr="001912E0">
        <w:rPr>
          <w:rFonts w:ascii="Times New Roman" w:hAnsi="Times New Roman" w:cs="Times New Roman"/>
        </w:rPr>
        <w:t>) Protein classes (categorized using PANTHER), (</w:t>
      </w:r>
      <w:r w:rsidRPr="001912E0">
        <w:rPr>
          <w:rFonts w:ascii="Times New Roman" w:hAnsi="Times New Roman" w:cs="Times New Roman"/>
          <w:b/>
          <w:bCs/>
        </w:rPr>
        <w:t>C</w:t>
      </w:r>
      <w:r w:rsidRPr="001912E0">
        <w:rPr>
          <w:rFonts w:ascii="Times New Roman" w:hAnsi="Times New Roman" w:cs="Times New Roman"/>
        </w:rPr>
        <w:t>) Biological processes (categorized using PANTHER), and (</w:t>
      </w:r>
      <w:r w:rsidRPr="001912E0">
        <w:rPr>
          <w:rFonts w:ascii="Times New Roman" w:hAnsi="Times New Roman" w:cs="Times New Roman"/>
          <w:b/>
          <w:bCs/>
        </w:rPr>
        <w:t>D</w:t>
      </w:r>
      <w:r w:rsidRPr="001912E0">
        <w:rPr>
          <w:rFonts w:ascii="Times New Roman" w:hAnsi="Times New Roman" w:cs="Times New Roman"/>
        </w:rPr>
        <w:t>) Molecular functions (via literature search). (</w:t>
      </w:r>
      <w:r w:rsidRPr="001912E0">
        <w:rPr>
          <w:rFonts w:ascii="Times New Roman" w:hAnsi="Times New Roman" w:cs="Times New Roman"/>
          <w:b/>
          <w:bCs/>
        </w:rPr>
        <w:t>E</w:t>
      </w:r>
      <w:r w:rsidRPr="001912E0">
        <w:rPr>
          <w:rFonts w:ascii="Times New Roman" w:hAnsi="Times New Roman" w:cs="Times New Roman"/>
        </w:rPr>
        <w:t>) Protein–protein interactions association network maps. The strength of interactions is indicated by the thickness of the lines. The colour coding of proteins in the STRING is based on the molecular functions (</w:t>
      </w:r>
      <w:r w:rsidRPr="001912E0">
        <w:rPr>
          <w:rFonts w:ascii="Times New Roman" w:hAnsi="Times New Roman" w:cs="Times New Roman"/>
          <w:b/>
          <w:bCs/>
        </w:rPr>
        <w:t>D</w:t>
      </w:r>
      <w:r w:rsidRPr="001912E0">
        <w:rPr>
          <w:rFonts w:ascii="Times New Roman" w:hAnsi="Times New Roman" w:cs="Times New Roman"/>
        </w:rPr>
        <w:t>).</w:t>
      </w:r>
    </w:p>
    <w:sectPr w:rsidR="00E0387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5FED"/>
    <w:rsid w:val="00A508F7"/>
    <w:rsid w:val="00AA5FED"/>
    <w:rsid w:val="00BE6611"/>
    <w:rsid w:val="00E0387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45A2C"/>
  <w15:chartTrackingRefBased/>
  <w15:docId w15:val="{1783C1FC-FE8D-445B-8C70-1C73E201B0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FE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97</Words>
  <Characters>557</Characters>
  <Application>Microsoft Office Word</Application>
  <DocSecurity>0</DocSecurity>
  <Lines>4</Lines>
  <Paragraphs>1</Paragraphs>
  <ScaleCrop>false</ScaleCrop>
  <Company/>
  <LinksUpToDate>false</LinksUpToDate>
  <CharactersWithSpaces>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Monokesh Sen</dc:creator>
  <cp:keywords/>
  <dc:description/>
  <cp:lastModifiedBy>Monokesh Sen</cp:lastModifiedBy>
  <cp:revision>1</cp:revision>
  <dcterms:created xsi:type="dcterms:W3CDTF">2022-02-07T20:36:00Z</dcterms:created>
  <dcterms:modified xsi:type="dcterms:W3CDTF">2022-02-07T20:37:00Z</dcterms:modified>
</cp:coreProperties>
</file>