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25" w:rsidRDefault="009A3525" w:rsidP="00B70657">
      <w:pPr>
        <w:spacing w:line="360" w:lineRule="auto"/>
        <w:rPr>
          <w:sz w:val="28"/>
          <w:szCs w:val="28"/>
          <w:lang w:val="en-US"/>
        </w:rPr>
      </w:pPr>
      <w:bookmarkStart w:id="0" w:name="_GoBack"/>
      <w:bookmarkEnd w:id="0"/>
      <w:r w:rsidRPr="00D33D6C">
        <w:rPr>
          <w:sz w:val="28"/>
          <w:szCs w:val="28"/>
          <w:lang w:val="en-US"/>
        </w:rPr>
        <w:t xml:space="preserve">Online supplement </w:t>
      </w:r>
      <w:r>
        <w:rPr>
          <w:sz w:val="28"/>
          <w:szCs w:val="28"/>
          <w:lang w:val="en-US"/>
        </w:rPr>
        <w:t>to</w:t>
      </w:r>
      <w:r w:rsidRPr="00D33D6C">
        <w:rPr>
          <w:sz w:val="28"/>
          <w:szCs w:val="28"/>
          <w:lang w:val="en-US"/>
        </w:rPr>
        <w:t xml:space="preserve"> “</w:t>
      </w:r>
      <w:r w:rsidRPr="00627E08">
        <w:rPr>
          <w:i/>
          <w:iCs/>
          <w:sz w:val="28"/>
          <w:szCs w:val="28"/>
          <w:lang w:val="en-US"/>
        </w:rPr>
        <w:t>Treatment with sorafenib and sunitinib in renal cell cancer</w:t>
      </w:r>
      <w:r>
        <w:rPr>
          <w:i/>
          <w:iCs/>
          <w:sz w:val="28"/>
          <w:szCs w:val="28"/>
          <w:lang w:val="en-US"/>
        </w:rPr>
        <w:t>:</w:t>
      </w:r>
      <w:r w:rsidRPr="00627E08">
        <w:rPr>
          <w:i/>
          <w:iCs/>
          <w:sz w:val="28"/>
          <w:szCs w:val="28"/>
          <w:lang w:val="en-US"/>
        </w:rPr>
        <w:t xml:space="preserve"> a Swedish register-based study</w:t>
      </w:r>
      <w:r w:rsidRPr="00D33D6C">
        <w:rPr>
          <w:sz w:val="28"/>
          <w:szCs w:val="28"/>
          <w:lang w:val="en-US"/>
        </w:rPr>
        <w:t xml:space="preserve">” </w:t>
      </w:r>
    </w:p>
    <w:p w:rsidR="009A3525" w:rsidRPr="00E51EC5" w:rsidRDefault="009A3525" w:rsidP="003D128F">
      <w:pPr>
        <w:spacing w:after="0" w:line="240" w:lineRule="auto"/>
        <w:rPr>
          <w:sz w:val="28"/>
          <w:szCs w:val="28"/>
        </w:rPr>
      </w:pPr>
      <w:r w:rsidRPr="00E51EC5">
        <w:rPr>
          <w:sz w:val="28"/>
          <w:szCs w:val="28"/>
        </w:rPr>
        <w:t>Medical Oncology</w:t>
      </w:r>
    </w:p>
    <w:p w:rsidR="009A3525" w:rsidRDefault="009A3525" w:rsidP="003D128F">
      <w:pPr>
        <w:spacing w:after="0" w:line="240" w:lineRule="auto"/>
      </w:pPr>
    </w:p>
    <w:p w:rsidR="009A3525" w:rsidRDefault="009A3525" w:rsidP="003D128F">
      <w:pPr>
        <w:spacing w:after="0" w:line="240" w:lineRule="auto"/>
      </w:pPr>
      <w:r w:rsidRPr="00B85103">
        <w:t>Anneli Ambring, Ingela Björholt, Eva Les</w:t>
      </w:r>
      <w:r>
        <w:t>én, Ulrika Stierner, Anders Odén</w:t>
      </w:r>
    </w:p>
    <w:p w:rsidR="009A3525" w:rsidRDefault="009A3525" w:rsidP="003D128F">
      <w:pPr>
        <w:spacing w:after="0" w:line="240" w:lineRule="auto"/>
        <w:rPr>
          <w:b/>
          <w:bCs/>
        </w:rPr>
      </w:pPr>
    </w:p>
    <w:p w:rsidR="009A3525" w:rsidRPr="00B85103" w:rsidRDefault="009A3525" w:rsidP="003D128F">
      <w:pPr>
        <w:spacing w:after="0" w:line="240" w:lineRule="auto"/>
        <w:rPr>
          <w:b/>
          <w:bCs/>
          <w:lang w:val="en-US"/>
        </w:rPr>
      </w:pPr>
      <w:r w:rsidRPr="00B85103">
        <w:rPr>
          <w:b/>
          <w:bCs/>
          <w:lang w:val="en-US"/>
        </w:rPr>
        <w:t>Corresponding author</w:t>
      </w:r>
    </w:p>
    <w:p w:rsidR="009A3525" w:rsidRPr="00B85103" w:rsidRDefault="009A3525" w:rsidP="003D128F">
      <w:pPr>
        <w:spacing w:after="0" w:line="240" w:lineRule="auto"/>
        <w:rPr>
          <w:lang w:val="en-US"/>
        </w:rPr>
      </w:pPr>
      <w:r w:rsidRPr="00B85103">
        <w:rPr>
          <w:lang w:val="en-US"/>
        </w:rPr>
        <w:t>Ingela Björholt</w:t>
      </w:r>
    </w:p>
    <w:p w:rsidR="009A3525" w:rsidRPr="00262D19" w:rsidRDefault="009A3525" w:rsidP="003D128F">
      <w:pPr>
        <w:spacing w:after="0" w:line="240" w:lineRule="auto"/>
        <w:rPr>
          <w:lang w:val="en-US"/>
        </w:rPr>
      </w:pPr>
      <w:r w:rsidRPr="00B85103">
        <w:rPr>
          <w:lang w:val="en-US"/>
        </w:rPr>
        <w:t>Nordic Health Economics</w:t>
      </w:r>
      <w:r>
        <w:rPr>
          <w:lang w:val="en-US"/>
        </w:rPr>
        <w:t xml:space="preserve">, </w:t>
      </w:r>
      <w:r w:rsidRPr="00262D19">
        <w:rPr>
          <w:lang w:val="en-US"/>
        </w:rPr>
        <w:t>Medicinaregatan 8b, SE-413 90 Gothenburg, Sweden</w:t>
      </w:r>
    </w:p>
    <w:p w:rsidR="009A3525" w:rsidRPr="00262D19" w:rsidRDefault="009A3525" w:rsidP="003D128F">
      <w:pPr>
        <w:spacing w:after="0" w:line="240" w:lineRule="auto"/>
        <w:rPr>
          <w:lang w:val="en-US"/>
        </w:rPr>
      </w:pPr>
      <w:r w:rsidRPr="00262D19">
        <w:rPr>
          <w:lang w:val="en-US"/>
        </w:rPr>
        <w:t>Tel: +46 31 724 22 01</w:t>
      </w:r>
    </w:p>
    <w:p w:rsidR="009A3525" w:rsidRPr="00E51EC5" w:rsidRDefault="009A3525" w:rsidP="003D128F">
      <w:pPr>
        <w:spacing w:after="0" w:line="240" w:lineRule="auto"/>
        <w:rPr>
          <w:lang w:val="en-US"/>
        </w:rPr>
      </w:pPr>
      <w:r w:rsidRPr="00B85103">
        <w:rPr>
          <w:lang w:val="en-US"/>
        </w:rPr>
        <w:t xml:space="preserve">E-mail: </w:t>
      </w:r>
      <w:hyperlink r:id="rId5" w:history="1">
        <w:r w:rsidRPr="00B13D06">
          <w:rPr>
            <w:rStyle w:val="Hyperlink"/>
            <w:lang w:val="en-US"/>
          </w:rPr>
          <w:t>ingela.bjorholt@nordichealtheconomics.se</w:t>
        </w:r>
      </w:hyperlink>
    </w:p>
    <w:p w:rsidR="009A3525" w:rsidRDefault="009A3525" w:rsidP="00B70657">
      <w:pPr>
        <w:spacing w:line="360" w:lineRule="auto"/>
        <w:rPr>
          <w:sz w:val="28"/>
          <w:szCs w:val="28"/>
          <w:lang w:val="en-US"/>
        </w:rPr>
      </w:pPr>
    </w:p>
    <w:p w:rsidR="009A3525" w:rsidRPr="00D46355" w:rsidRDefault="009A3525" w:rsidP="00B70657">
      <w:pPr>
        <w:spacing w:line="360" w:lineRule="auto"/>
        <w:rPr>
          <w:b/>
          <w:bCs/>
          <w:sz w:val="24"/>
          <w:szCs w:val="24"/>
          <w:lang w:val="en-US"/>
        </w:rPr>
      </w:pPr>
      <w:r w:rsidRPr="00D46355">
        <w:rPr>
          <w:b/>
          <w:bCs/>
          <w:sz w:val="24"/>
          <w:szCs w:val="24"/>
          <w:lang w:val="en-US"/>
        </w:rPr>
        <w:t>Contents</w:t>
      </w:r>
    </w:p>
    <w:p w:rsidR="009A3525" w:rsidRDefault="009A3525" w:rsidP="005F3C95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Additional</w:t>
      </w:r>
      <w:r w:rsidRPr="005F3C95">
        <w:rPr>
          <w:lang w:val="en-US"/>
        </w:rPr>
        <w:t xml:space="preserve"> description of the hazard functions h1-h4</w:t>
      </w:r>
    </w:p>
    <w:p w:rsidR="009A3525" w:rsidRPr="005F3C95" w:rsidRDefault="009A3525" w:rsidP="009026E3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Extended r</w:t>
      </w:r>
      <w:r w:rsidRPr="003F15AF">
        <w:rPr>
          <w:lang w:val="en-US"/>
        </w:rPr>
        <w:t xml:space="preserve">esults from </w:t>
      </w:r>
      <w:r>
        <w:rPr>
          <w:lang w:val="en-US"/>
        </w:rPr>
        <w:t xml:space="preserve">the hazard functions </w:t>
      </w:r>
      <w:r w:rsidRPr="003F15AF">
        <w:rPr>
          <w:lang w:val="en-US"/>
        </w:rPr>
        <w:t>h1-h</w:t>
      </w:r>
      <w:r>
        <w:rPr>
          <w:lang w:val="en-US"/>
        </w:rPr>
        <w:t>4</w:t>
      </w:r>
    </w:p>
    <w:p w:rsidR="009A3525" w:rsidRDefault="009A3525" w:rsidP="005F3C95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5F3C95">
        <w:rPr>
          <w:lang w:val="en-US"/>
        </w:rPr>
        <w:t>Statistical comparison of the duration of first-line treatment between the treatment groups</w:t>
      </w:r>
    </w:p>
    <w:p w:rsidR="009A3525" w:rsidRDefault="009A3525" w:rsidP="00B70657">
      <w:pPr>
        <w:spacing w:line="360" w:lineRule="auto"/>
        <w:rPr>
          <w:lang w:val="en-US"/>
        </w:rPr>
      </w:pPr>
    </w:p>
    <w:p w:rsidR="009A3525" w:rsidRPr="00D46355" w:rsidRDefault="009A3525" w:rsidP="00B70657">
      <w:pPr>
        <w:spacing w:line="360" w:lineRule="auto"/>
        <w:rPr>
          <w:b/>
          <w:bCs/>
          <w:sz w:val="24"/>
          <w:szCs w:val="24"/>
          <w:lang w:val="en-US"/>
        </w:rPr>
      </w:pPr>
      <w:r w:rsidRPr="00D46355">
        <w:rPr>
          <w:b/>
          <w:bCs/>
          <w:sz w:val="24"/>
          <w:szCs w:val="24"/>
          <w:lang w:val="en-US"/>
        </w:rPr>
        <w:t>1. Additional description of the hazard functions h1-h4</w:t>
      </w:r>
    </w:p>
    <w:p w:rsidR="009A3525" w:rsidRDefault="009A3525" w:rsidP="00B70657">
      <w:pPr>
        <w:pStyle w:val="Header"/>
        <w:spacing w:line="360" w:lineRule="auto"/>
        <w:rPr>
          <w:lang w:val="en-GB"/>
        </w:rPr>
      </w:pPr>
      <w:r>
        <w:rPr>
          <w:lang w:val="en-GB"/>
        </w:rPr>
        <w:t xml:space="preserve">The following information is complementary to that given in the main article, and these documents should preferably be read together. </w:t>
      </w:r>
    </w:p>
    <w:p w:rsidR="009A3525" w:rsidRPr="0030361A" w:rsidRDefault="009A3525" w:rsidP="00B70657">
      <w:pPr>
        <w:pStyle w:val="Header"/>
        <w:spacing w:line="360" w:lineRule="auto"/>
        <w:rPr>
          <w:lang w:val="en-GB"/>
        </w:rPr>
      </w:pPr>
      <w:r>
        <w:rPr>
          <w:lang w:val="en-GB"/>
        </w:rPr>
        <w:t>C</w:t>
      </w:r>
      <w:r w:rsidRPr="0030361A">
        <w:rPr>
          <w:lang w:val="en-GB"/>
        </w:rPr>
        <w:t xml:space="preserve">alendar year for treatment start was shown to be the only important covariate in the </w:t>
      </w:r>
      <w:r>
        <w:rPr>
          <w:lang w:val="en-GB"/>
        </w:rPr>
        <w:t>i</w:t>
      </w:r>
      <w:r w:rsidRPr="0030361A">
        <w:rPr>
          <w:lang w:val="en-GB"/>
        </w:rPr>
        <w:t xml:space="preserve">nitial </w:t>
      </w:r>
      <w:r>
        <w:rPr>
          <w:lang w:val="en-GB"/>
        </w:rPr>
        <w:t>a</w:t>
      </w:r>
      <w:r w:rsidRPr="0030361A">
        <w:rPr>
          <w:lang w:val="en-GB"/>
        </w:rPr>
        <w:t xml:space="preserve">nalyses </w:t>
      </w:r>
      <w:r>
        <w:rPr>
          <w:lang w:val="en-GB"/>
        </w:rPr>
        <w:t xml:space="preserve">of sequential treatment, </w:t>
      </w:r>
      <w:r w:rsidRPr="0030361A">
        <w:rPr>
          <w:lang w:val="en-GB"/>
        </w:rPr>
        <w:t xml:space="preserve">and was therefore adjusted for in the analyses </w:t>
      </w:r>
      <w:r w:rsidRPr="0030361A">
        <w:rPr>
          <w:i/>
          <w:iCs/>
          <w:lang w:val="en-GB"/>
        </w:rPr>
        <w:t>a priori</w:t>
      </w:r>
      <w:r w:rsidRPr="0030361A">
        <w:rPr>
          <w:lang w:val="en-GB"/>
        </w:rPr>
        <w:t xml:space="preserve">. The results of the </w:t>
      </w:r>
      <w:r>
        <w:rPr>
          <w:lang w:val="en-GB"/>
        </w:rPr>
        <w:t>i</w:t>
      </w:r>
      <w:r w:rsidRPr="0030361A">
        <w:rPr>
          <w:lang w:val="en-GB"/>
        </w:rPr>
        <w:t xml:space="preserve">nitial </w:t>
      </w:r>
      <w:r>
        <w:rPr>
          <w:lang w:val="en-GB"/>
        </w:rPr>
        <w:t>a</w:t>
      </w:r>
      <w:r w:rsidRPr="0030361A">
        <w:rPr>
          <w:lang w:val="en-GB"/>
        </w:rPr>
        <w:t>nalyses also showed that the event rate was considerably higher during the first six months of treatment</w:t>
      </w:r>
      <w:r>
        <w:rPr>
          <w:lang w:val="en-GB"/>
        </w:rPr>
        <w:t>. C</w:t>
      </w:r>
      <w:r w:rsidRPr="0030361A">
        <w:rPr>
          <w:lang w:val="en-GB"/>
        </w:rPr>
        <w:t>onsequently</w:t>
      </w:r>
      <w:r>
        <w:rPr>
          <w:lang w:val="en-GB"/>
        </w:rPr>
        <w:t>,</w:t>
      </w:r>
      <w:r w:rsidRPr="0030361A">
        <w:rPr>
          <w:lang w:val="en-GB"/>
        </w:rPr>
        <w:t xml:space="preserve"> two piece</w:t>
      </w:r>
      <w:r w:rsidRPr="004B541F">
        <w:rPr>
          <w:lang w:val="en-GB"/>
        </w:rPr>
        <w:t>wise linear time variables with a break point at 0.5 years were also included in the estimation of the hazard functions: min(time in study,0.5 years) and max(time in study-0.5 years,0). These two variables were used to gain a better estimate of survival cu</w:t>
      </w:r>
      <w:r w:rsidRPr="0030361A">
        <w:rPr>
          <w:lang w:val="en-GB"/>
        </w:rPr>
        <w:t>rves allowing for a different impact of time before and after 0.5 years.</w:t>
      </w:r>
    </w:p>
    <w:p w:rsidR="009A3525" w:rsidRPr="0030361A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>The probability that the total duration of sequential treatment</w:t>
      </w:r>
      <w:r>
        <w:rPr>
          <w:lang w:val="en-GB"/>
        </w:rPr>
        <w:t xml:space="preserve">, </w:t>
      </w:r>
      <w:r w:rsidRPr="00D83551">
        <w:rPr>
          <w:i/>
          <w:iCs/>
          <w:lang w:val="en-GB"/>
        </w:rPr>
        <w:t>i.e.</w:t>
      </w:r>
      <w:r w:rsidRPr="0030361A">
        <w:rPr>
          <w:lang w:val="en-GB"/>
        </w:rPr>
        <w:t xml:space="preserve"> the random variable X, exceeds a time point x, P(X&gt;x), was calculated as follows</w:t>
      </w:r>
      <w:r>
        <w:rPr>
          <w:lang w:val="en-GB"/>
        </w:rPr>
        <w:t>,</w:t>
      </w:r>
      <w:r w:rsidRPr="00D83551">
        <w:rPr>
          <w:lang w:val="en-GB"/>
        </w:rPr>
        <w:t xml:space="preserve"> </w:t>
      </w:r>
      <w:r w:rsidRPr="0030361A">
        <w:rPr>
          <w:lang w:val="en-GB"/>
        </w:rPr>
        <w:t>where z = the duration of 1</w:t>
      </w:r>
      <w:r w:rsidRPr="0030361A">
        <w:rPr>
          <w:vertAlign w:val="superscript"/>
          <w:lang w:val="en-GB"/>
        </w:rPr>
        <w:t>st</w:t>
      </w:r>
      <w:r w:rsidRPr="0030361A">
        <w:rPr>
          <w:lang w:val="en-GB"/>
        </w:rPr>
        <w:t xml:space="preserve"> line treatment:</w:t>
      </w:r>
    </w:p>
    <w:p w:rsidR="009A3525" w:rsidRPr="0030361A" w:rsidRDefault="009A3525" w:rsidP="00B70657">
      <w:pPr>
        <w:spacing w:line="360" w:lineRule="auto"/>
        <w:ind w:left="426"/>
        <w:rPr>
          <w:lang w:val="en-GB"/>
        </w:rPr>
      </w:pPr>
      <w:r w:rsidRPr="0030361A">
        <w:rPr>
          <w:position w:val="-32"/>
          <w:lang w:val="en-GB"/>
        </w:rPr>
        <w:object w:dxaOrig="7479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36.75pt" o:ole="">
            <v:imagedata r:id="rId6" o:title=""/>
          </v:shape>
          <o:OLEObject Type="Embed" ProgID="Equation.3" ShapeID="_x0000_i1025" DrawAspect="Content" ObjectID="_1417083026" r:id="rId7"/>
        </w:objec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The event of reaching time x without death and without discontinuing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 was divided into a set of disjointed (non-overlapping) events with switches to the </w:t>
      </w:r>
      <w:r>
        <w:rPr>
          <w:lang w:val="en-GB"/>
        </w:rPr>
        <w:t>second-l</w:t>
      </w:r>
      <w:r w:rsidRPr="0030361A">
        <w:rPr>
          <w:lang w:val="en-GB"/>
        </w:rPr>
        <w:t>ine treatment at different times z before x. The probability to survive and switch treatment before z is</w:t>
      </w:r>
    </w:p>
    <w:p w:rsidR="009A3525" w:rsidRDefault="009A3525" w:rsidP="00B70657">
      <w:pPr>
        <w:spacing w:line="360" w:lineRule="auto"/>
        <w:ind w:left="426"/>
        <w:rPr>
          <w:position w:val="-32"/>
          <w:lang w:val="en-GB"/>
        </w:rPr>
      </w:pPr>
      <w:r w:rsidRPr="0030361A">
        <w:rPr>
          <w:position w:val="-32"/>
          <w:lang w:val="en-GB"/>
        </w:rPr>
        <w:object w:dxaOrig="1600" w:dyaOrig="760">
          <v:shape id="_x0000_i1026" type="#_x0000_t75" style="width:79.5pt;height:36.75pt" o:ole="">
            <v:imagedata r:id="rId8" o:title=""/>
          </v:shape>
          <o:OLEObject Type="Embed" ProgID="Equation.3" ShapeID="_x0000_i1026" DrawAspect="Content" ObjectID="_1417083027" r:id="rId9"/>
        </w:objec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>and the probability to switch in a small interval around z with the length ∆ is ∆</w:t>
      </w:r>
      <w:r w:rsidRPr="0030361A">
        <w:rPr>
          <w:lang w:val="en-GB"/>
        </w:rPr>
        <w:sym w:font="Symbol" w:char="F0D7"/>
      </w:r>
      <w:r w:rsidRPr="0030361A">
        <w:rPr>
          <w:lang w:val="en-GB"/>
        </w:rPr>
        <w:t>h</w:t>
      </w:r>
      <w:r w:rsidRPr="0030361A">
        <w:rPr>
          <w:vertAlign w:val="subscript"/>
          <w:lang w:val="en-GB"/>
        </w:rPr>
        <w:t>2</w:t>
      </w:r>
      <w:r w:rsidRPr="0030361A">
        <w:rPr>
          <w:lang w:val="en-GB"/>
        </w:rPr>
        <w:t xml:space="preserve">(z). The latter term captures patients surviving until z without switching to </w:t>
      </w:r>
      <w:r>
        <w:rPr>
          <w:lang w:val="en-GB"/>
        </w:rPr>
        <w:t>second-</w:t>
      </w:r>
      <w:r w:rsidRPr="0030361A">
        <w:rPr>
          <w:lang w:val="en-GB"/>
        </w:rPr>
        <w:t>line treatment, i.e. patients observed to have been treated with monotherapy only in the SPD</w:t>
      </w:r>
      <w:r>
        <w:rPr>
          <w:lang w:val="en-GB"/>
        </w:rPr>
        <w:t>R</w:t>
      </w:r>
      <w:r w:rsidRPr="0030361A">
        <w:rPr>
          <w:lang w:val="en-GB"/>
        </w:rPr>
        <w:t xml:space="preserve">. The probability to survive without discontinuing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 during the period from z to x given that the switch was at z is </w:t>
      </w:r>
    </w:p>
    <w:p w:rsidR="009A3525" w:rsidRDefault="009A3525" w:rsidP="00B70657">
      <w:pPr>
        <w:spacing w:line="360" w:lineRule="auto"/>
        <w:ind w:left="426"/>
        <w:rPr>
          <w:position w:val="-32"/>
          <w:lang w:val="en-GB"/>
        </w:rPr>
      </w:pPr>
      <w:r w:rsidRPr="0030361A">
        <w:rPr>
          <w:position w:val="-32"/>
          <w:lang w:val="en-GB"/>
        </w:rPr>
        <w:object w:dxaOrig="1860" w:dyaOrig="760">
          <v:shape id="_x0000_i1027" type="#_x0000_t75" style="width:93pt;height:36.75pt" o:ole="">
            <v:imagedata r:id="rId10" o:title=""/>
          </v:shape>
          <o:OLEObject Type="Embed" ProgID="Equation.3" ShapeID="_x0000_i1027" DrawAspect="Content" ObjectID="_1417083028" r:id="rId11"/>
        </w:objec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and corresponds to the time from start of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 until x.  Finally, there is a remaining possibility to reach x without </w:t>
      </w:r>
      <w:r>
        <w:rPr>
          <w:lang w:val="en-GB"/>
        </w:rPr>
        <w:t xml:space="preserve">an </w:t>
      </w:r>
      <w:r w:rsidRPr="0030361A">
        <w:rPr>
          <w:lang w:val="en-GB"/>
        </w:rPr>
        <w:t>event, namely that the switch does not occur before x. The probability of this is</w:t>
      </w:r>
      <w:r>
        <w:rPr>
          <w:lang w:val="en-GB"/>
        </w:rPr>
        <w:t xml:space="preserve"> </w:t>
      </w:r>
    </w:p>
    <w:p w:rsidR="009A3525" w:rsidRDefault="009A3525" w:rsidP="00B70657">
      <w:pPr>
        <w:spacing w:line="360" w:lineRule="auto"/>
        <w:ind w:left="426"/>
        <w:rPr>
          <w:position w:val="-32"/>
          <w:lang w:val="en-GB"/>
        </w:rPr>
      </w:pPr>
      <w:r w:rsidRPr="0030361A">
        <w:rPr>
          <w:position w:val="-32"/>
          <w:lang w:val="en-GB"/>
        </w:rPr>
        <w:object w:dxaOrig="1600" w:dyaOrig="760">
          <v:shape id="_x0000_i1028" type="#_x0000_t75" style="width:79.5pt;height:36.75pt" o:ole="">
            <v:imagedata r:id="rId12" o:title=""/>
          </v:shape>
          <o:OLEObject Type="Embed" ProgID="Equation.3" ShapeID="_x0000_i1028" DrawAspect="Content" ObjectID="_1417083029" r:id="rId13"/>
        </w:objec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and it represents patients still on </w:t>
      </w:r>
      <w:r>
        <w:rPr>
          <w:lang w:val="en-GB"/>
        </w:rPr>
        <w:t>first-</w:t>
      </w:r>
      <w:r w:rsidRPr="0030361A">
        <w:rPr>
          <w:lang w:val="en-GB"/>
        </w:rPr>
        <w:t>line</w:t>
      </w:r>
      <w:r>
        <w:rPr>
          <w:lang w:val="en-GB"/>
        </w:rPr>
        <w:t xml:space="preserve"> or </w:t>
      </w:r>
      <w:r w:rsidRPr="0030361A">
        <w:rPr>
          <w:lang w:val="en-GB"/>
        </w:rPr>
        <w:t>monotherapy at the end of the stud</w:t>
      </w:r>
      <w:r>
        <w:rPr>
          <w:lang w:val="en-GB"/>
        </w:rPr>
        <w:t>y</w:t>
      </w:r>
      <w:r w:rsidRPr="0030361A">
        <w:rPr>
          <w:lang w:val="en-GB"/>
        </w:rPr>
        <w:t xml:space="preserve"> period.</w:t>
      </w:r>
    </w:p>
    <w:p w:rsidR="009A3525" w:rsidRPr="0030361A" w:rsidRDefault="009A3525" w:rsidP="00B70657">
      <w:pPr>
        <w:spacing w:line="360" w:lineRule="auto"/>
        <w:rPr>
          <w:lang w:val="en-GB"/>
        </w:rPr>
      </w:pPr>
    </w:p>
    <w:p w:rsidR="009A3525" w:rsidRPr="0030361A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The probability that </w:t>
      </w:r>
      <w:r>
        <w:rPr>
          <w:lang w:val="en-GB"/>
        </w:rPr>
        <w:t>time to death,</w:t>
      </w:r>
      <w:r w:rsidRPr="00D83551">
        <w:rPr>
          <w:i/>
          <w:iCs/>
          <w:lang w:val="en-GB"/>
        </w:rPr>
        <w:t xml:space="preserve"> i.e.</w:t>
      </w:r>
      <w:r>
        <w:rPr>
          <w:lang w:val="en-GB"/>
        </w:rPr>
        <w:t xml:space="preserve"> </w:t>
      </w:r>
      <w:r w:rsidRPr="0030361A">
        <w:rPr>
          <w:lang w:val="en-GB"/>
        </w:rPr>
        <w:t>the random variable Y</w:t>
      </w:r>
      <w:r>
        <w:rPr>
          <w:lang w:val="en-GB"/>
        </w:rPr>
        <w:t>,</w:t>
      </w:r>
      <w:r w:rsidRPr="0030361A">
        <w:rPr>
          <w:lang w:val="en-GB"/>
        </w:rPr>
        <w:t xml:space="preserve"> exceeds a number of y, P(Y&gt;y) was calculated as follows</w:t>
      </w:r>
      <w:r>
        <w:rPr>
          <w:lang w:val="en-GB"/>
        </w:rPr>
        <w:t>,</w:t>
      </w:r>
      <w:r w:rsidRPr="00D83551">
        <w:rPr>
          <w:lang w:val="en-GB"/>
        </w:rPr>
        <w:t xml:space="preserve"> </w:t>
      </w:r>
      <w:r w:rsidRPr="0030361A">
        <w:rPr>
          <w:lang w:val="en-GB"/>
        </w:rPr>
        <w:t>where y = time to death:</w:t>
      </w:r>
    </w:p>
    <w:p w:rsidR="009A3525" w:rsidRPr="0030361A" w:rsidRDefault="009A3525" w:rsidP="00B70657">
      <w:pPr>
        <w:spacing w:line="360" w:lineRule="auto"/>
        <w:ind w:left="426"/>
        <w:rPr>
          <w:lang w:val="en-GB"/>
        </w:rPr>
      </w:pPr>
      <w:r w:rsidRPr="0030361A">
        <w:rPr>
          <w:position w:val="-32"/>
          <w:lang w:val="en-GB"/>
        </w:rPr>
        <w:object w:dxaOrig="7400" w:dyaOrig="760">
          <v:shape id="_x0000_i1029" type="#_x0000_t75" style="width:362.25pt;height:36.75pt" o:ole="">
            <v:imagedata r:id="rId14" o:title=""/>
          </v:shape>
          <o:OLEObject Type="Embed" ProgID="Equation.3" ShapeID="_x0000_i1029" DrawAspect="Content" ObjectID="_1417083030" r:id="rId15"/>
        </w:object>
      </w:r>
      <w:r w:rsidRPr="0030361A">
        <w:rPr>
          <w:lang w:val="en-GB"/>
        </w:rPr>
        <w:t xml:space="preserve">     </w: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The event of surviving until time y was divided into a set of disjointed (non-overlapping) events </w:t>
      </w:r>
      <w:r>
        <w:rPr>
          <w:lang w:val="en-GB"/>
        </w:rPr>
        <w:t>a</w:t>
      </w:r>
      <w:r w:rsidRPr="0030361A">
        <w:rPr>
          <w:lang w:val="en-GB"/>
        </w:rPr>
        <w:t>ccording to the same principle as described above.</w:t>
      </w:r>
    </w:p>
    <w:p w:rsidR="009A3525" w:rsidRPr="0030361A" w:rsidRDefault="009A3525" w:rsidP="00B70657">
      <w:pPr>
        <w:spacing w:line="360" w:lineRule="auto"/>
        <w:rPr>
          <w:lang w:val="en-GB"/>
        </w:rPr>
      </w:pPr>
    </w:p>
    <w:p w:rsidR="009A3525" w:rsidRDefault="009A3525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:rsidR="009A3525" w:rsidRPr="00D46355" w:rsidRDefault="009A3525" w:rsidP="009026E3">
      <w:pPr>
        <w:spacing w:line="360" w:lineRule="auto"/>
        <w:rPr>
          <w:b/>
          <w:bCs/>
          <w:sz w:val="24"/>
          <w:szCs w:val="24"/>
          <w:lang w:val="en-US"/>
        </w:rPr>
      </w:pPr>
      <w:r w:rsidRPr="00D46355">
        <w:rPr>
          <w:b/>
          <w:bCs/>
          <w:sz w:val="24"/>
          <w:szCs w:val="24"/>
          <w:lang w:val="en-US"/>
        </w:rPr>
        <w:t xml:space="preserve">2. Extended results from </w:t>
      </w:r>
      <w:r>
        <w:rPr>
          <w:b/>
          <w:bCs/>
          <w:sz w:val="24"/>
          <w:szCs w:val="24"/>
          <w:lang w:val="en-US"/>
        </w:rPr>
        <w:t xml:space="preserve">the hazard functions </w:t>
      </w:r>
      <w:r w:rsidRPr="00D46355">
        <w:rPr>
          <w:b/>
          <w:bCs/>
          <w:sz w:val="24"/>
          <w:szCs w:val="24"/>
          <w:lang w:val="en-US"/>
        </w:rPr>
        <w:t>h1-h4</w:t>
      </w:r>
    </w:p>
    <w:p w:rsidR="009A3525" w:rsidRPr="0054159C" w:rsidRDefault="009A3525" w:rsidP="009026E3">
      <w:pPr>
        <w:spacing w:line="360" w:lineRule="auto"/>
        <w:ind w:right="1559"/>
        <w:rPr>
          <w:lang w:val="en-US"/>
        </w:rPr>
      </w:pPr>
      <w:r w:rsidRPr="0054159C">
        <w:rPr>
          <w:b/>
          <w:bCs/>
          <w:lang w:val="en-US"/>
        </w:rPr>
        <w:t>Table A</w:t>
      </w:r>
      <w:r>
        <w:rPr>
          <w:lang w:val="en-US"/>
        </w:rPr>
        <w:t xml:space="preserve"> Hazard function (h1) of treatment stop or death from start of first-line treatment for sorafenib and sunitinib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10"/>
        <w:gridCol w:w="1522"/>
        <w:gridCol w:w="1522"/>
        <w:gridCol w:w="1634"/>
        <w:gridCol w:w="1069"/>
      </w:tblGrid>
      <w:tr w:rsidR="009A3525" w:rsidRPr="0067461D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β-coefficient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Standard Error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Hazard Ratio (95% CI)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p-value</w:t>
            </w:r>
          </w:p>
        </w:tc>
      </w:tr>
      <w:tr w:rsidR="009A3525" w:rsidRPr="0067461D">
        <w:tc>
          <w:tcPr>
            <w:tcW w:w="3510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Intercept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-157.9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160.0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min(Time in Study, 0.5 years)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-0.420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0.349</w:t>
            </w:r>
          </w:p>
        </w:tc>
        <w:tc>
          <w:tcPr>
            <w:tcW w:w="1634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0.66 (0.33-1.30)</w:t>
            </w:r>
          </w:p>
        </w:tc>
        <w:tc>
          <w:tcPr>
            <w:tcW w:w="106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0.2289</w:t>
            </w: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max(Time in Study-0.5 years, 0)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-0.015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0.178</w:t>
            </w:r>
          </w:p>
        </w:tc>
        <w:tc>
          <w:tcPr>
            <w:tcW w:w="1634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0.99 (0.70-1.40)</w:t>
            </w:r>
          </w:p>
        </w:tc>
        <w:tc>
          <w:tcPr>
            <w:tcW w:w="106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0.9332</w:t>
            </w: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Calendar year for start of first-line treatment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0.079</w:t>
            </w:r>
          </w:p>
        </w:tc>
        <w:tc>
          <w:tcPr>
            <w:tcW w:w="1522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0.080</w:t>
            </w:r>
          </w:p>
        </w:tc>
        <w:tc>
          <w:tcPr>
            <w:tcW w:w="1634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1.08 (0.93-1.27)</w:t>
            </w:r>
          </w:p>
        </w:tc>
        <w:tc>
          <w:tcPr>
            <w:tcW w:w="106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0.3216</w:t>
            </w:r>
          </w:p>
        </w:tc>
      </w:tr>
      <w:tr w:rsidR="009A3525" w:rsidRPr="0067461D">
        <w:tc>
          <w:tcPr>
            <w:tcW w:w="3510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sorafenib versus sunitinib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-0.061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0.125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0.94 (0.74-1.20)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0.6263</w:t>
            </w:r>
          </w:p>
        </w:tc>
      </w:tr>
    </w:tbl>
    <w:p w:rsidR="009A3525" w:rsidRDefault="009A3525" w:rsidP="009026E3">
      <w:pPr>
        <w:spacing w:line="360" w:lineRule="auto"/>
        <w:rPr>
          <w:lang w:val="en-US"/>
        </w:rPr>
      </w:pPr>
    </w:p>
    <w:p w:rsidR="009A3525" w:rsidRDefault="009A3525" w:rsidP="009026E3">
      <w:pPr>
        <w:spacing w:line="360" w:lineRule="auto"/>
        <w:rPr>
          <w:lang w:val="en-US"/>
        </w:rPr>
      </w:pPr>
    </w:p>
    <w:p w:rsidR="009A3525" w:rsidRPr="0054159C" w:rsidRDefault="009A3525" w:rsidP="009026E3">
      <w:pPr>
        <w:spacing w:line="360" w:lineRule="auto"/>
        <w:ind w:right="1559"/>
        <w:rPr>
          <w:lang w:val="en-US"/>
        </w:rPr>
      </w:pPr>
      <w:r>
        <w:rPr>
          <w:b/>
          <w:bCs/>
          <w:lang w:val="en-US"/>
        </w:rPr>
        <w:t>Table B</w:t>
      </w:r>
      <w:r>
        <w:rPr>
          <w:lang w:val="en-US"/>
        </w:rPr>
        <w:t xml:space="preserve"> Hazard function (h2) of treatment stop from start of first-line treatment for sorafenib and sunitinib</w:t>
      </w:r>
    </w:p>
    <w:tbl>
      <w:tblPr>
        <w:tblW w:w="929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10"/>
        <w:gridCol w:w="1559"/>
        <w:gridCol w:w="1418"/>
        <w:gridCol w:w="1701"/>
        <w:gridCol w:w="1108"/>
      </w:tblGrid>
      <w:tr w:rsidR="009A3525" w:rsidRPr="0067461D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β-coefficient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Standard Error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Hazard Ratio (95% CI)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p-value</w:t>
            </w:r>
          </w:p>
        </w:tc>
      </w:tr>
      <w:tr w:rsidR="009A3525" w:rsidRPr="0067461D">
        <w:tc>
          <w:tcPr>
            <w:tcW w:w="3510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Intercept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-1066.0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227.6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min(Time in Study, 0.5 years)</w:t>
            </w:r>
          </w:p>
        </w:tc>
        <w:tc>
          <w:tcPr>
            <w:tcW w:w="155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1.043</w:t>
            </w:r>
          </w:p>
        </w:tc>
        <w:tc>
          <w:tcPr>
            <w:tcW w:w="141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0.515</w:t>
            </w:r>
          </w:p>
        </w:tc>
        <w:tc>
          <w:tcPr>
            <w:tcW w:w="1701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2.84 (1.03-7.79)</w:t>
            </w:r>
          </w:p>
        </w:tc>
        <w:tc>
          <w:tcPr>
            <w:tcW w:w="110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0.0429</w:t>
            </w: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max(Time in Study-0.5 years, 0)</w:t>
            </w:r>
          </w:p>
        </w:tc>
        <w:tc>
          <w:tcPr>
            <w:tcW w:w="155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0.331</w:t>
            </w:r>
          </w:p>
        </w:tc>
        <w:tc>
          <w:tcPr>
            <w:tcW w:w="141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0.212</w:t>
            </w:r>
          </w:p>
        </w:tc>
        <w:tc>
          <w:tcPr>
            <w:tcW w:w="1701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1.39 (0.92-2.11)</w:t>
            </w:r>
          </w:p>
        </w:tc>
        <w:tc>
          <w:tcPr>
            <w:tcW w:w="110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0.1185</w:t>
            </w:r>
          </w:p>
        </w:tc>
      </w:tr>
      <w:tr w:rsidR="009A3525" w:rsidRPr="0067461D">
        <w:tc>
          <w:tcPr>
            <w:tcW w:w="3510" w:type="dxa"/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Calendar year for start of second-line treatment</w:t>
            </w:r>
          </w:p>
        </w:tc>
        <w:tc>
          <w:tcPr>
            <w:tcW w:w="1559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0.531</w:t>
            </w:r>
          </w:p>
        </w:tc>
        <w:tc>
          <w:tcPr>
            <w:tcW w:w="141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0.113</w:t>
            </w:r>
          </w:p>
        </w:tc>
        <w:tc>
          <w:tcPr>
            <w:tcW w:w="1701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1.70 (1.36-2.12)</w:t>
            </w:r>
          </w:p>
        </w:tc>
        <w:tc>
          <w:tcPr>
            <w:tcW w:w="1108" w:type="dxa"/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&lt;.0001</w:t>
            </w:r>
          </w:p>
        </w:tc>
      </w:tr>
      <w:tr w:rsidR="009A3525" w:rsidRPr="0067461D">
        <w:tc>
          <w:tcPr>
            <w:tcW w:w="3510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sorafenib versus sunitinib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-0.334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0.172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0.72 (0.51-1.00)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before="38" w:after="38" w:line="360" w:lineRule="auto"/>
              <w:jc w:val="center"/>
              <w:rPr>
                <w:sz w:val="20"/>
                <w:szCs w:val="20"/>
                <w:lang w:val="en-GB"/>
              </w:rPr>
            </w:pPr>
            <w:r w:rsidRPr="0067461D">
              <w:rPr>
                <w:sz w:val="20"/>
                <w:szCs w:val="20"/>
                <w:lang w:val="en-GB"/>
              </w:rPr>
              <w:t>0.0518</w:t>
            </w:r>
          </w:p>
        </w:tc>
      </w:tr>
    </w:tbl>
    <w:p w:rsidR="009A3525" w:rsidRDefault="009A3525" w:rsidP="009026E3">
      <w:pPr>
        <w:spacing w:line="360" w:lineRule="auto"/>
        <w:rPr>
          <w:lang w:val="en-US"/>
        </w:rPr>
      </w:pPr>
    </w:p>
    <w:p w:rsidR="009A3525" w:rsidRDefault="009A3525">
      <w:pPr>
        <w:rPr>
          <w:lang w:val="en-US"/>
        </w:rPr>
      </w:pPr>
      <w:r>
        <w:rPr>
          <w:lang w:val="en-US"/>
        </w:rPr>
        <w:br w:type="page"/>
      </w:r>
    </w:p>
    <w:p w:rsidR="009A3525" w:rsidRPr="00EA73A4" w:rsidRDefault="009A3525" w:rsidP="009026E3">
      <w:pPr>
        <w:spacing w:line="360" w:lineRule="auto"/>
        <w:rPr>
          <w:b/>
          <w:bCs/>
          <w:lang w:val="en-US"/>
        </w:rPr>
      </w:pPr>
      <w:r w:rsidRPr="00EA73A4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C</w:t>
      </w:r>
      <w:r w:rsidRPr="00EA73A4">
        <w:rPr>
          <w:b/>
          <w:bCs/>
          <w:lang w:val="en-US"/>
        </w:rPr>
        <w:t xml:space="preserve"> </w:t>
      </w:r>
      <w:r w:rsidRPr="00EA73A4">
        <w:rPr>
          <w:lang w:val="en-US"/>
        </w:rPr>
        <w:t xml:space="preserve">Extended results </w:t>
      </w:r>
      <w:r>
        <w:rPr>
          <w:lang w:val="en-US"/>
        </w:rPr>
        <w:t>from the hazard function h3 of risk for treatment stop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3510"/>
        <w:gridCol w:w="1418"/>
        <w:gridCol w:w="1478"/>
        <w:gridCol w:w="1782"/>
        <w:gridCol w:w="1062"/>
      </w:tblGrid>
      <w:tr w:rsidR="009A3525" w:rsidRPr="0067461D">
        <w:trPr>
          <w:trHeight w:val="27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β-coefficient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Standard Error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Hazard Ratio (95% CI)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6746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-241.5</w:t>
            </w:r>
          </w:p>
        </w:tc>
        <w:tc>
          <w:tcPr>
            <w:tcW w:w="1478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324.0</w:t>
            </w:r>
          </w:p>
        </w:tc>
        <w:tc>
          <w:tcPr>
            <w:tcW w:w="1782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min(Time in Study, 0.5 years)</w:t>
            </w:r>
          </w:p>
        </w:tc>
        <w:tc>
          <w:tcPr>
            <w:tcW w:w="141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0.646</w:t>
            </w:r>
          </w:p>
        </w:tc>
        <w:tc>
          <w:tcPr>
            <w:tcW w:w="147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0.713</w:t>
            </w:r>
          </w:p>
        </w:tc>
        <w:tc>
          <w:tcPr>
            <w:tcW w:w="178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1.91 (0.47-7.71)</w:t>
            </w:r>
          </w:p>
        </w:tc>
        <w:tc>
          <w:tcPr>
            <w:tcW w:w="106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0.3653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max(Time in Study-0.5 years, 0)</w:t>
            </w:r>
          </w:p>
        </w:tc>
        <w:tc>
          <w:tcPr>
            <w:tcW w:w="141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0.117</w:t>
            </w:r>
          </w:p>
        </w:tc>
        <w:tc>
          <w:tcPr>
            <w:tcW w:w="147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0.444</w:t>
            </w:r>
          </w:p>
        </w:tc>
        <w:tc>
          <w:tcPr>
            <w:tcW w:w="178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1.12 (0.47-2.69)</w:t>
            </w:r>
          </w:p>
        </w:tc>
        <w:tc>
          <w:tcPr>
            <w:tcW w:w="106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0.7918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Time on first-line sorafenib</w:t>
            </w:r>
          </w:p>
        </w:tc>
        <w:tc>
          <w:tcPr>
            <w:tcW w:w="141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-0.335</w:t>
            </w:r>
          </w:p>
        </w:tc>
        <w:tc>
          <w:tcPr>
            <w:tcW w:w="147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0.384</w:t>
            </w:r>
          </w:p>
        </w:tc>
        <w:tc>
          <w:tcPr>
            <w:tcW w:w="178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0.72 (0.34-1.52)</w:t>
            </w:r>
          </w:p>
        </w:tc>
        <w:tc>
          <w:tcPr>
            <w:tcW w:w="106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0.3830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Time on first-line sunitinib</w:t>
            </w:r>
          </w:p>
        </w:tc>
        <w:tc>
          <w:tcPr>
            <w:tcW w:w="141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1.050</w:t>
            </w:r>
          </w:p>
        </w:tc>
        <w:tc>
          <w:tcPr>
            <w:tcW w:w="147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0.381</w:t>
            </w:r>
          </w:p>
        </w:tc>
        <w:tc>
          <w:tcPr>
            <w:tcW w:w="178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2.86 (1.35-6.02)</w:t>
            </w:r>
          </w:p>
        </w:tc>
        <w:tc>
          <w:tcPr>
            <w:tcW w:w="106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0.0058</w:t>
            </w:r>
          </w:p>
        </w:tc>
      </w:tr>
      <w:tr w:rsidR="009A3525" w:rsidRPr="0067461D">
        <w:trPr>
          <w:trHeight w:val="525"/>
        </w:trPr>
        <w:tc>
          <w:tcPr>
            <w:tcW w:w="3510" w:type="dxa"/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Calendar year for start of first-line treatment</w:t>
            </w:r>
          </w:p>
        </w:tc>
        <w:tc>
          <w:tcPr>
            <w:tcW w:w="141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0.120</w:t>
            </w:r>
          </w:p>
        </w:tc>
        <w:tc>
          <w:tcPr>
            <w:tcW w:w="147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0.161</w:t>
            </w:r>
          </w:p>
        </w:tc>
        <w:tc>
          <w:tcPr>
            <w:tcW w:w="178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1.13 (0.82-1.55)</w:t>
            </w:r>
          </w:p>
        </w:tc>
        <w:tc>
          <w:tcPr>
            <w:tcW w:w="106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0.4561</w:t>
            </w:r>
          </w:p>
        </w:tc>
      </w:tr>
      <w:tr w:rsidR="009A3525" w:rsidRPr="0067461D">
        <w:trPr>
          <w:trHeight w:val="525"/>
        </w:trPr>
        <w:tc>
          <w:tcPr>
            <w:tcW w:w="3510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sorafenib (after sunitinib) versus sunitinib (after sorafenib)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0.384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0.368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1.47 (0.71-3.02)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0.2961</w:t>
            </w:r>
          </w:p>
        </w:tc>
      </w:tr>
    </w:tbl>
    <w:p w:rsidR="009A3525" w:rsidRDefault="009A3525" w:rsidP="009026E3">
      <w:pPr>
        <w:spacing w:line="360" w:lineRule="auto"/>
        <w:rPr>
          <w:lang w:val="en-US"/>
        </w:rPr>
      </w:pPr>
    </w:p>
    <w:p w:rsidR="009A3525" w:rsidRPr="00EA73A4" w:rsidRDefault="009A3525" w:rsidP="00EA73A4">
      <w:pPr>
        <w:spacing w:line="360" w:lineRule="auto"/>
        <w:rPr>
          <w:b/>
          <w:bCs/>
          <w:lang w:val="en-US"/>
        </w:rPr>
      </w:pPr>
      <w:r w:rsidRPr="00EA73A4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D</w:t>
      </w:r>
      <w:r w:rsidRPr="00EA73A4">
        <w:rPr>
          <w:b/>
          <w:bCs/>
          <w:lang w:val="en-US"/>
        </w:rPr>
        <w:t xml:space="preserve"> </w:t>
      </w:r>
      <w:r w:rsidRPr="00EA73A4">
        <w:rPr>
          <w:lang w:val="en-US"/>
        </w:rPr>
        <w:t xml:space="preserve">Extended results </w:t>
      </w:r>
      <w:r>
        <w:rPr>
          <w:lang w:val="en-US"/>
        </w:rPr>
        <w:t>from the hazard function h4 of risk for death</w:t>
      </w: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3510"/>
        <w:gridCol w:w="1476"/>
        <w:gridCol w:w="1476"/>
        <w:gridCol w:w="1868"/>
        <w:gridCol w:w="992"/>
      </w:tblGrid>
      <w:tr w:rsidR="009A3525" w:rsidRPr="0067461D">
        <w:trPr>
          <w:trHeight w:val="27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 Variable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β-coefficient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67461D">
              <w:rPr>
                <w:b/>
                <w:bCs/>
                <w:sz w:val="20"/>
                <w:szCs w:val="20"/>
                <w:lang w:val="en-GB"/>
              </w:rPr>
              <w:t>Standard Error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67461D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6746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476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-14.8</w:t>
            </w:r>
          </w:p>
        </w:tc>
        <w:tc>
          <w:tcPr>
            <w:tcW w:w="1476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374.8</w:t>
            </w:r>
          </w:p>
        </w:tc>
        <w:tc>
          <w:tcPr>
            <w:tcW w:w="1868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min(Time in Study, 0.5 years)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2.007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0.946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7.44 (1.17-47.49)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0.0338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max(Time in Study-0.5 years, 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-0.575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0.389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0.56 (0.26-1.21)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0.1398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Time on first-line sorafenib</w:t>
            </w:r>
          </w:p>
        </w:tc>
        <w:tc>
          <w:tcPr>
            <w:tcW w:w="1476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-0.592</w:t>
            </w:r>
          </w:p>
        </w:tc>
        <w:tc>
          <w:tcPr>
            <w:tcW w:w="1476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0.484</w:t>
            </w:r>
          </w:p>
        </w:tc>
        <w:tc>
          <w:tcPr>
            <w:tcW w:w="1868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0.55 (0.21-1.43)</w:t>
            </w:r>
          </w:p>
        </w:tc>
        <w:tc>
          <w:tcPr>
            <w:tcW w:w="992" w:type="dxa"/>
            <w:tcBorders>
              <w:top w:val="nil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0.2215</w:t>
            </w:r>
          </w:p>
        </w:tc>
      </w:tr>
      <w:tr w:rsidR="009A3525" w:rsidRPr="0067461D">
        <w:trPr>
          <w:trHeight w:val="270"/>
        </w:trPr>
        <w:tc>
          <w:tcPr>
            <w:tcW w:w="3510" w:type="dxa"/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Time on first-line sunitinib</w:t>
            </w:r>
          </w:p>
        </w:tc>
        <w:tc>
          <w:tcPr>
            <w:tcW w:w="1476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0.796</w:t>
            </w:r>
          </w:p>
        </w:tc>
        <w:tc>
          <w:tcPr>
            <w:tcW w:w="1476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0.424</w:t>
            </w:r>
          </w:p>
        </w:tc>
        <w:tc>
          <w:tcPr>
            <w:tcW w:w="186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2.22 (0.97-5.09)</w:t>
            </w:r>
          </w:p>
        </w:tc>
        <w:tc>
          <w:tcPr>
            <w:tcW w:w="99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0.0605</w:t>
            </w:r>
          </w:p>
        </w:tc>
      </w:tr>
      <w:tr w:rsidR="009A3525" w:rsidRPr="0067461D">
        <w:trPr>
          <w:trHeight w:val="525"/>
        </w:trPr>
        <w:tc>
          <w:tcPr>
            <w:tcW w:w="3510" w:type="dxa"/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Calendar year for start of first-line treatment</w:t>
            </w:r>
          </w:p>
        </w:tc>
        <w:tc>
          <w:tcPr>
            <w:tcW w:w="1476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0.006</w:t>
            </w:r>
          </w:p>
        </w:tc>
        <w:tc>
          <w:tcPr>
            <w:tcW w:w="1476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0.187</w:t>
            </w:r>
          </w:p>
        </w:tc>
        <w:tc>
          <w:tcPr>
            <w:tcW w:w="1868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1.01 (0.70-1.45)</w:t>
            </w:r>
          </w:p>
        </w:tc>
        <w:tc>
          <w:tcPr>
            <w:tcW w:w="992" w:type="dxa"/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0.9726</w:t>
            </w:r>
          </w:p>
        </w:tc>
      </w:tr>
      <w:tr w:rsidR="009A3525" w:rsidRPr="0067461D">
        <w:trPr>
          <w:trHeight w:val="525"/>
        </w:trPr>
        <w:tc>
          <w:tcPr>
            <w:tcW w:w="3510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461D">
              <w:rPr>
                <w:b/>
                <w:bCs/>
                <w:sz w:val="20"/>
                <w:szCs w:val="20"/>
                <w:lang w:val="en-US"/>
              </w:rPr>
              <w:t>sorafenib (after sunitinib) versus sunitinib (after sorafenib)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0.699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  <w:lang w:val="en-US"/>
              </w:rPr>
            </w:pPr>
            <w:r w:rsidRPr="0067461D">
              <w:rPr>
                <w:sz w:val="20"/>
                <w:szCs w:val="20"/>
                <w:lang w:val="en-US"/>
              </w:rPr>
              <w:t>0.431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2.01 (0.86-4.68)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3525" w:rsidRPr="0067461D" w:rsidRDefault="009A3525" w:rsidP="0067461D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67461D">
              <w:rPr>
                <w:sz w:val="20"/>
                <w:szCs w:val="20"/>
              </w:rPr>
              <w:t>0.1046</w:t>
            </w:r>
          </w:p>
        </w:tc>
      </w:tr>
    </w:tbl>
    <w:p w:rsidR="009A3525" w:rsidRDefault="009A3525" w:rsidP="00B70657">
      <w:pPr>
        <w:spacing w:line="360" w:lineRule="auto"/>
        <w:rPr>
          <w:lang w:val="en-GB"/>
        </w:rPr>
      </w:pPr>
    </w:p>
    <w:p w:rsidR="009A3525" w:rsidRDefault="009A3525" w:rsidP="00B70657">
      <w:pPr>
        <w:spacing w:line="360" w:lineRule="auto"/>
        <w:rPr>
          <w:lang w:val="en-GB"/>
        </w:rPr>
      </w:pPr>
    </w:p>
    <w:p w:rsidR="009A3525" w:rsidRPr="00594B86" w:rsidRDefault="009A3525" w:rsidP="00B70657">
      <w:pPr>
        <w:spacing w:line="360" w:lineRule="auto"/>
        <w:rPr>
          <w:lang w:val="en-GB"/>
        </w:rPr>
      </w:pPr>
    </w:p>
    <w:p w:rsidR="009A3525" w:rsidRDefault="009A3525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:rsidR="009A3525" w:rsidRPr="00D46355" w:rsidRDefault="009A3525" w:rsidP="00B70657">
      <w:pPr>
        <w:spacing w:line="360" w:lineRule="auto"/>
        <w:rPr>
          <w:b/>
          <w:bCs/>
          <w:sz w:val="24"/>
          <w:szCs w:val="24"/>
          <w:lang w:val="en-US"/>
        </w:rPr>
      </w:pPr>
      <w:r w:rsidRPr="00D46355">
        <w:rPr>
          <w:b/>
          <w:bCs/>
          <w:sz w:val="24"/>
          <w:szCs w:val="24"/>
          <w:lang w:val="en-US"/>
        </w:rPr>
        <w:t>3. Statistical comparison of the duration of first-line treatment between the treatment groups</w:t>
      </w:r>
    </w:p>
    <w:p w:rsidR="009A3525" w:rsidRPr="0030361A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In the hazard function for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treatment, β-coefficients describing the influence of the duration of </w:t>
      </w:r>
      <w:r>
        <w:rPr>
          <w:lang w:val="en-GB"/>
        </w:rPr>
        <w:t>first-</w:t>
      </w:r>
      <w:r w:rsidRPr="0030361A">
        <w:rPr>
          <w:lang w:val="en-GB"/>
        </w:rPr>
        <w:t xml:space="preserve">line treatment were included. The β-coefficients </w:t>
      </w:r>
      <w:r>
        <w:rPr>
          <w:lang w:val="en-GB"/>
        </w:rPr>
        <w:t>are</w:t>
      </w:r>
      <w:r w:rsidRPr="0030361A">
        <w:rPr>
          <w:lang w:val="en-GB"/>
        </w:rPr>
        <w:t xml:space="preserve"> mathematically linked to </w:t>
      </w:r>
      <w:r>
        <w:rPr>
          <w:lang w:val="en-GB"/>
        </w:rPr>
        <w:t>the hazard ratio (</w:t>
      </w:r>
      <w:r w:rsidRPr="0030361A">
        <w:rPr>
          <w:lang w:val="en-GB"/>
        </w:rPr>
        <w:t>HR</w:t>
      </w:r>
      <w:r>
        <w:rPr>
          <w:lang w:val="en-GB"/>
        </w:rPr>
        <w:t>) and show</w:t>
      </w:r>
      <w:r w:rsidRPr="0030361A">
        <w:rPr>
          <w:lang w:val="en-GB"/>
        </w:rPr>
        <w:t xml:space="preserve"> the momentary risk to discontinue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treatment. </w:t>
      </w:r>
      <w:r>
        <w:rPr>
          <w:lang w:val="en-GB"/>
        </w:rPr>
        <w:t>This</w:t>
      </w:r>
      <w:r w:rsidRPr="0030361A">
        <w:rPr>
          <w:lang w:val="en-GB"/>
        </w:rPr>
        <w:t xml:space="preserve"> indicat</w:t>
      </w:r>
      <w:r>
        <w:rPr>
          <w:lang w:val="en-GB"/>
        </w:rPr>
        <w:t>es</w:t>
      </w:r>
      <w:r w:rsidRPr="0030361A">
        <w:rPr>
          <w:lang w:val="en-GB"/>
        </w:rPr>
        <w:t xml:space="preserve"> that there may have been a difference in the momentary risk to discontinue </w:t>
      </w:r>
      <w:r>
        <w:rPr>
          <w:lang w:val="en-GB"/>
        </w:rPr>
        <w:t>second-</w:t>
      </w:r>
      <w:r w:rsidRPr="0030361A">
        <w:rPr>
          <w:lang w:val="en-GB"/>
        </w:rPr>
        <w:t xml:space="preserve">line treatment depending on the time the patient had been on </w:t>
      </w:r>
      <w:r>
        <w:rPr>
          <w:lang w:val="en-GB"/>
        </w:rPr>
        <w:t>first-</w:t>
      </w:r>
      <w:r w:rsidRPr="0030361A">
        <w:rPr>
          <w:lang w:val="en-GB"/>
        </w:rPr>
        <w:t xml:space="preserve">line treatment with </w:t>
      </w:r>
      <w:r>
        <w:rPr>
          <w:lang w:val="en-GB"/>
        </w:rPr>
        <w:t xml:space="preserve">the </w:t>
      </w:r>
      <w:r w:rsidRPr="0030361A">
        <w:rPr>
          <w:lang w:val="en-GB"/>
        </w:rPr>
        <w:t>respective drugs.</w:t>
      </w:r>
    </w:p>
    <w:p w:rsidR="009A3525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 xml:space="preserve">The two β-coefficients reflecting the influence of the duration of </w:t>
      </w:r>
      <w:r>
        <w:rPr>
          <w:lang w:val="en-GB"/>
        </w:rPr>
        <w:t>first-</w:t>
      </w:r>
      <w:r w:rsidRPr="0030361A">
        <w:rPr>
          <w:lang w:val="en-GB"/>
        </w:rPr>
        <w:t>line treatment</w:t>
      </w:r>
      <w:r>
        <w:rPr>
          <w:lang w:val="en-GB"/>
        </w:rPr>
        <w:t xml:space="preserve"> on SO versus SU </w:t>
      </w:r>
      <w:r w:rsidRPr="0030361A">
        <w:rPr>
          <w:lang w:val="en-GB"/>
        </w:rPr>
        <w:t xml:space="preserve">were statistically compared. The test was based on </w:t>
      </w:r>
      <w:r>
        <w:rPr>
          <w:lang w:val="en-GB"/>
        </w:rPr>
        <w:t xml:space="preserve">the </w:t>
      </w:r>
      <w:r w:rsidRPr="0030361A">
        <w:rPr>
          <w:lang w:val="en-GB"/>
        </w:rPr>
        <w:t>normal distribution</w:t>
      </w:r>
      <w:r>
        <w:rPr>
          <w:lang w:val="en-GB"/>
        </w:rPr>
        <w:t xml:space="preserve">. </w:t>
      </w:r>
      <w:r w:rsidRPr="0030361A">
        <w:rPr>
          <w:lang w:val="en-GB"/>
        </w:rPr>
        <w:t>The following test statistics were applied:</w:t>
      </w:r>
    </w:p>
    <w:p w:rsidR="009A3525" w:rsidRPr="0030361A" w:rsidRDefault="009A3525" w:rsidP="00B70657">
      <w:pPr>
        <w:spacing w:line="360" w:lineRule="auto"/>
        <w:ind w:left="426"/>
        <w:rPr>
          <w:lang w:val="en-GB"/>
        </w:rPr>
      </w:pPr>
      <w:r w:rsidRPr="0030361A">
        <w:rPr>
          <w:lang w:val="en-GB"/>
        </w:rPr>
        <w:t>(β</w:t>
      </w:r>
      <w:r w:rsidRPr="0030361A">
        <w:rPr>
          <w:vertAlign w:val="subscript"/>
          <w:lang w:val="en-GB"/>
        </w:rPr>
        <w:t>TI1</w:t>
      </w:r>
      <w:r w:rsidRPr="0030361A">
        <w:rPr>
          <w:lang w:val="en-GB"/>
        </w:rPr>
        <w:t xml:space="preserve"> - β</w:t>
      </w:r>
      <w:r w:rsidRPr="0030361A">
        <w:rPr>
          <w:vertAlign w:val="subscript"/>
          <w:lang w:val="en-GB"/>
        </w:rPr>
        <w:t>TI2</w:t>
      </w:r>
      <w:r w:rsidRPr="0030361A">
        <w:rPr>
          <w:lang w:val="en-GB"/>
        </w:rPr>
        <w:t xml:space="preserve">) / </w:t>
      </w:r>
      <w:r>
        <w:rPr>
          <w:lang w:val="en-GB"/>
        </w:rPr>
        <w:t>√</w:t>
      </w:r>
      <w:r w:rsidRPr="0030361A">
        <w:rPr>
          <w:lang w:val="en-GB"/>
        </w:rPr>
        <w:t>(</w:t>
      </w:r>
      <w:r>
        <w:rPr>
          <w:lang w:val="en-GB"/>
        </w:rPr>
        <w:t>SE</w:t>
      </w:r>
      <w:r w:rsidRPr="0030361A">
        <w:rPr>
          <w:lang w:val="en-GB"/>
        </w:rPr>
        <w:t>(β</w:t>
      </w:r>
      <w:r w:rsidRPr="0030361A">
        <w:rPr>
          <w:vertAlign w:val="subscript"/>
          <w:lang w:val="en-GB"/>
        </w:rPr>
        <w:t>TI1</w:t>
      </w:r>
      <w:r w:rsidRPr="0030361A">
        <w:rPr>
          <w:lang w:val="en-GB"/>
        </w:rPr>
        <w:t>)</w:t>
      </w:r>
      <w:r w:rsidRPr="006174D6">
        <w:rPr>
          <w:vertAlign w:val="superscript"/>
          <w:lang w:val="en-GB"/>
        </w:rPr>
        <w:t>2</w:t>
      </w:r>
      <w:r w:rsidRPr="0030361A">
        <w:rPr>
          <w:lang w:val="en-GB"/>
        </w:rPr>
        <w:t xml:space="preserve"> + </w:t>
      </w:r>
      <w:r>
        <w:rPr>
          <w:lang w:val="en-GB"/>
        </w:rPr>
        <w:t>SE</w:t>
      </w:r>
      <w:r w:rsidRPr="0030361A">
        <w:rPr>
          <w:lang w:val="en-GB"/>
        </w:rPr>
        <w:t>(β</w:t>
      </w:r>
      <w:r w:rsidRPr="0030361A">
        <w:rPr>
          <w:vertAlign w:val="subscript"/>
          <w:lang w:val="en-GB"/>
        </w:rPr>
        <w:t>TI2</w:t>
      </w:r>
      <w:r w:rsidRPr="0030361A">
        <w:rPr>
          <w:lang w:val="en-GB"/>
        </w:rPr>
        <w:t>)</w:t>
      </w:r>
      <w:r w:rsidRPr="006174D6">
        <w:rPr>
          <w:vertAlign w:val="superscript"/>
          <w:lang w:val="en-GB"/>
        </w:rPr>
        <w:t>2</w:t>
      </w:r>
      <w:r w:rsidRPr="0030361A">
        <w:rPr>
          <w:lang w:val="en-GB"/>
        </w:rPr>
        <w:t xml:space="preserve"> – 2*Cov(β</w:t>
      </w:r>
      <w:r w:rsidRPr="0030361A">
        <w:rPr>
          <w:vertAlign w:val="subscript"/>
          <w:lang w:val="en-GB"/>
        </w:rPr>
        <w:t>TI1</w:t>
      </w:r>
      <w:r w:rsidRPr="0030361A">
        <w:rPr>
          <w:lang w:val="en-GB"/>
        </w:rPr>
        <w:t>, β</w:t>
      </w:r>
      <w:r w:rsidRPr="0030361A">
        <w:rPr>
          <w:vertAlign w:val="subscript"/>
          <w:lang w:val="en-GB"/>
        </w:rPr>
        <w:t>TI2</w:t>
      </w:r>
      <w:r w:rsidRPr="0030361A">
        <w:rPr>
          <w:lang w:val="en-GB"/>
        </w:rPr>
        <w:t xml:space="preserve">)) </w:t>
      </w:r>
    </w:p>
    <w:p w:rsidR="009A3525" w:rsidRPr="0030361A" w:rsidRDefault="009A3525" w:rsidP="00B70657">
      <w:pPr>
        <w:spacing w:line="360" w:lineRule="auto"/>
        <w:rPr>
          <w:lang w:val="en-GB"/>
        </w:rPr>
      </w:pPr>
      <w:r w:rsidRPr="0030361A">
        <w:rPr>
          <w:lang w:val="en-GB"/>
        </w:rPr>
        <w:t>Where</w:t>
      </w:r>
    </w:p>
    <w:p w:rsidR="009A3525" w:rsidRPr="006174D6" w:rsidRDefault="009A3525" w:rsidP="00B70657">
      <w:pPr>
        <w:spacing w:line="360" w:lineRule="auto"/>
        <w:ind w:left="426"/>
        <w:rPr>
          <w:lang w:val="en-US"/>
        </w:rPr>
      </w:pPr>
      <w:r w:rsidRPr="0030361A">
        <w:rPr>
          <w:lang w:val="en-GB"/>
        </w:rPr>
        <w:t>β</w:t>
      </w:r>
      <w:r w:rsidRPr="006174D6">
        <w:rPr>
          <w:vertAlign w:val="subscript"/>
          <w:lang w:val="en-US"/>
        </w:rPr>
        <w:t>TI1</w:t>
      </w:r>
      <w:r w:rsidRPr="006174D6">
        <w:rPr>
          <w:lang w:val="en-US"/>
        </w:rPr>
        <w:t xml:space="preserve"> = </w:t>
      </w:r>
      <w:r w:rsidRPr="0030361A">
        <w:rPr>
          <w:lang w:val="en-GB"/>
        </w:rPr>
        <w:t>β-coefficient</w:t>
      </w:r>
      <w:r>
        <w:rPr>
          <w:lang w:val="en-GB"/>
        </w:rPr>
        <w:t xml:space="preserve"> for time on first-line SO = </w:t>
      </w:r>
      <w:r w:rsidRPr="006174D6">
        <w:rPr>
          <w:lang w:val="en-US"/>
        </w:rPr>
        <w:t>-0.335</w:t>
      </w:r>
    </w:p>
    <w:p w:rsidR="009A3525" w:rsidRPr="006174D6" w:rsidRDefault="009A3525" w:rsidP="00B70657">
      <w:pPr>
        <w:spacing w:line="360" w:lineRule="auto"/>
        <w:ind w:left="426"/>
        <w:rPr>
          <w:lang w:val="en-US"/>
        </w:rPr>
      </w:pPr>
      <w:r w:rsidRPr="0030361A">
        <w:rPr>
          <w:lang w:val="en-GB"/>
        </w:rPr>
        <w:t>β</w:t>
      </w:r>
      <w:r w:rsidRPr="006174D6">
        <w:rPr>
          <w:vertAlign w:val="subscript"/>
          <w:lang w:val="en-US"/>
        </w:rPr>
        <w:t>TI2</w:t>
      </w:r>
      <w:r w:rsidRPr="006174D6">
        <w:rPr>
          <w:lang w:val="en-US"/>
        </w:rPr>
        <w:t xml:space="preserve"> = </w:t>
      </w:r>
      <w:r w:rsidRPr="0030361A">
        <w:rPr>
          <w:lang w:val="en-GB"/>
        </w:rPr>
        <w:t>β-coefficient</w:t>
      </w:r>
      <w:r>
        <w:rPr>
          <w:lang w:val="en-GB"/>
        </w:rPr>
        <w:t xml:space="preserve"> for time on first-line SU = </w:t>
      </w:r>
      <w:r w:rsidRPr="006174D6">
        <w:rPr>
          <w:lang w:val="en-US"/>
        </w:rPr>
        <w:t>1.049</w:t>
      </w:r>
    </w:p>
    <w:p w:rsidR="009A3525" w:rsidRPr="00B127A0" w:rsidRDefault="009A3525" w:rsidP="00B70657">
      <w:pPr>
        <w:spacing w:line="360" w:lineRule="auto"/>
        <w:ind w:left="426"/>
        <w:rPr>
          <w:lang w:val="en-US"/>
        </w:rPr>
      </w:pPr>
      <w:r w:rsidRPr="00B127A0">
        <w:rPr>
          <w:lang w:val="en-US"/>
        </w:rPr>
        <w:t>SE(</w:t>
      </w:r>
      <w:r w:rsidRPr="0030361A">
        <w:rPr>
          <w:lang w:val="en-GB"/>
        </w:rPr>
        <w:t>β</w:t>
      </w:r>
      <w:r w:rsidRPr="00B127A0">
        <w:rPr>
          <w:vertAlign w:val="subscript"/>
          <w:lang w:val="en-US"/>
        </w:rPr>
        <w:t>TI1</w:t>
      </w:r>
      <w:r w:rsidRPr="00B127A0">
        <w:rPr>
          <w:lang w:val="en-US"/>
        </w:rPr>
        <w:t xml:space="preserve">) = Standard error for </w:t>
      </w:r>
      <w:r w:rsidRPr="0030361A">
        <w:rPr>
          <w:lang w:val="en-GB"/>
        </w:rPr>
        <w:t>β</w:t>
      </w:r>
      <w:r w:rsidRPr="006174D6">
        <w:rPr>
          <w:vertAlign w:val="subscript"/>
          <w:lang w:val="en-US"/>
        </w:rPr>
        <w:t>TI1</w:t>
      </w:r>
      <w:r w:rsidRPr="006174D6">
        <w:rPr>
          <w:lang w:val="en-US"/>
        </w:rPr>
        <w:t xml:space="preserve"> =</w:t>
      </w:r>
      <w:r>
        <w:rPr>
          <w:lang w:val="en-US"/>
        </w:rPr>
        <w:t xml:space="preserve"> </w:t>
      </w:r>
      <w:r w:rsidRPr="00B127A0">
        <w:rPr>
          <w:lang w:val="en-US"/>
        </w:rPr>
        <w:t>0.384</w:t>
      </w:r>
    </w:p>
    <w:p w:rsidR="009A3525" w:rsidRPr="00B127A0" w:rsidRDefault="009A3525" w:rsidP="00B70657">
      <w:pPr>
        <w:spacing w:line="360" w:lineRule="auto"/>
        <w:ind w:left="426"/>
        <w:rPr>
          <w:lang w:val="en-US"/>
        </w:rPr>
      </w:pPr>
      <w:r w:rsidRPr="00B127A0">
        <w:rPr>
          <w:lang w:val="en-US"/>
        </w:rPr>
        <w:t>SE(</w:t>
      </w:r>
      <w:r w:rsidRPr="0030361A">
        <w:rPr>
          <w:lang w:val="en-GB"/>
        </w:rPr>
        <w:t>β</w:t>
      </w:r>
      <w:r w:rsidRPr="00B127A0">
        <w:rPr>
          <w:vertAlign w:val="subscript"/>
          <w:lang w:val="en-US"/>
        </w:rPr>
        <w:t>TI2</w:t>
      </w:r>
      <w:r w:rsidRPr="00B127A0">
        <w:rPr>
          <w:lang w:val="en-US"/>
        </w:rPr>
        <w:t xml:space="preserve">) = Standard error for </w:t>
      </w:r>
      <w:r w:rsidRPr="0030361A">
        <w:rPr>
          <w:lang w:val="en-GB"/>
        </w:rPr>
        <w:t>β</w:t>
      </w:r>
      <w:r w:rsidRPr="006174D6">
        <w:rPr>
          <w:vertAlign w:val="subscript"/>
          <w:lang w:val="en-US"/>
        </w:rPr>
        <w:t>TI</w:t>
      </w:r>
      <w:r>
        <w:rPr>
          <w:vertAlign w:val="subscript"/>
          <w:lang w:val="en-US"/>
        </w:rPr>
        <w:t>2</w:t>
      </w:r>
      <w:r w:rsidRPr="006174D6">
        <w:rPr>
          <w:lang w:val="en-US"/>
        </w:rPr>
        <w:t xml:space="preserve"> =</w:t>
      </w:r>
      <w:r>
        <w:rPr>
          <w:lang w:val="en-US"/>
        </w:rPr>
        <w:t xml:space="preserve"> </w:t>
      </w:r>
      <w:r w:rsidRPr="00B127A0">
        <w:rPr>
          <w:lang w:val="en-US"/>
        </w:rPr>
        <w:t>0.381</w:t>
      </w:r>
    </w:p>
    <w:p w:rsidR="009A3525" w:rsidRPr="0030361A" w:rsidRDefault="009A3525" w:rsidP="00B70657">
      <w:pPr>
        <w:spacing w:line="360" w:lineRule="auto"/>
        <w:ind w:left="426"/>
        <w:rPr>
          <w:lang w:val="en-GB"/>
        </w:rPr>
      </w:pPr>
      <w:r w:rsidRPr="0030361A">
        <w:rPr>
          <w:lang w:val="en-GB"/>
        </w:rPr>
        <w:t>Cov(β</w:t>
      </w:r>
      <w:r w:rsidRPr="0030361A">
        <w:rPr>
          <w:vertAlign w:val="subscript"/>
          <w:lang w:val="en-GB"/>
        </w:rPr>
        <w:t>TI1</w:t>
      </w:r>
      <w:r w:rsidRPr="0030361A">
        <w:rPr>
          <w:lang w:val="en-GB"/>
        </w:rPr>
        <w:t>, β</w:t>
      </w:r>
      <w:r w:rsidRPr="0030361A">
        <w:rPr>
          <w:vertAlign w:val="subscript"/>
          <w:lang w:val="en-GB"/>
        </w:rPr>
        <w:t>TI2</w:t>
      </w:r>
      <w:r w:rsidRPr="0030361A">
        <w:rPr>
          <w:lang w:val="en-GB"/>
        </w:rPr>
        <w:t xml:space="preserve">) </w:t>
      </w:r>
      <w:r>
        <w:rPr>
          <w:lang w:val="en-GB"/>
        </w:rPr>
        <w:t xml:space="preserve">= Covariance </w:t>
      </w:r>
      <w:r w:rsidRPr="0030361A">
        <w:rPr>
          <w:lang w:val="en-GB"/>
        </w:rPr>
        <w:t>= 0.0030</w:t>
      </w:r>
      <w:r>
        <w:rPr>
          <w:lang w:val="en-GB"/>
        </w:rPr>
        <w:t>7</w:t>
      </w:r>
    </w:p>
    <w:p w:rsidR="009A3525" w:rsidRDefault="009A3525" w:rsidP="00B70657">
      <w:pPr>
        <w:spacing w:line="360" w:lineRule="auto"/>
        <w:rPr>
          <w:lang w:val="en-GB"/>
        </w:rPr>
      </w:pPr>
    </w:p>
    <w:p w:rsidR="009A3525" w:rsidRDefault="009A3525" w:rsidP="00B70657">
      <w:pPr>
        <w:spacing w:line="360" w:lineRule="auto"/>
        <w:rPr>
          <w:lang w:val="en-GB"/>
        </w:rPr>
      </w:pPr>
      <w:r>
        <w:rPr>
          <w:lang w:val="en-GB"/>
        </w:rPr>
        <w:t>A corresponding statistical analysis was applied on time to death, using the following values:</w:t>
      </w:r>
    </w:p>
    <w:p w:rsidR="009A3525" w:rsidRPr="00AE1008" w:rsidRDefault="009A3525" w:rsidP="00AE1008">
      <w:pPr>
        <w:spacing w:line="360" w:lineRule="auto"/>
        <w:ind w:left="426"/>
      </w:pPr>
      <w:r w:rsidRPr="0030361A">
        <w:rPr>
          <w:lang w:val="en-GB"/>
        </w:rPr>
        <w:t>β</w:t>
      </w:r>
      <w:r w:rsidRPr="00AE1008">
        <w:rPr>
          <w:vertAlign w:val="subscript"/>
        </w:rPr>
        <w:t>TI1</w:t>
      </w:r>
      <w:r w:rsidRPr="00AE1008">
        <w:t xml:space="preserve"> = -0.592</w:t>
      </w:r>
    </w:p>
    <w:p w:rsidR="009A3525" w:rsidRPr="00AE1008" w:rsidRDefault="009A3525" w:rsidP="00AE1008">
      <w:pPr>
        <w:spacing w:line="360" w:lineRule="auto"/>
        <w:ind w:left="426"/>
      </w:pPr>
      <w:r w:rsidRPr="0030361A">
        <w:rPr>
          <w:lang w:val="en-GB"/>
        </w:rPr>
        <w:t>β</w:t>
      </w:r>
      <w:r w:rsidRPr="00AE1008">
        <w:rPr>
          <w:vertAlign w:val="subscript"/>
        </w:rPr>
        <w:t>TI2</w:t>
      </w:r>
      <w:r w:rsidRPr="00AE1008">
        <w:t xml:space="preserve"> = 0.79</w:t>
      </w:r>
      <w:r>
        <w:t>6</w:t>
      </w:r>
    </w:p>
    <w:p w:rsidR="009A3525" w:rsidRPr="004E7A51" w:rsidRDefault="009A3525" w:rsidP="00AE1008">
      <w:pPr>
        <w:spacing w:line="360" w:lineRule="auto"/>
        <w:ind w:left="426"/>
      </w:pPr>
      <w:r w:rsidRPr="004E7A51">
        <w:t>SE(</w:t>
      </w:r>
      <w:r w:rsidRPr="0030361A">
        <w:rPr>
          <w:lang w:val="en-GB"/>
        </w:rPr>
        <w:t>β</w:t>
      </w:r>
      <w:r w:rsidRPr="004E7A51">
        <w:rPr>
          <w:vertAlign w:val="subscript"/>
        </w:rPr>
        <w:t>TI1</w:t>
      </w:r>
      <w:r w:rsidRPr="004E7A51">
        <w:t>) = 0.484</w:t>
      </w:r>
    </w:p>
    <w:p w:rsidR="009A3525" w:rsidRPr="004E7A51" w:rsidRDefault="009A3525" w:rsidP="00AE1008">
      <w:pPr>
        <w:spacing w:line="360" w:lineRule="auto"/>
        <w:ind w:left="426"/>
      </w:pPr>
      <w:r w:rsidRPr="004E7A51">
        <w:t>SE(</w:t>
      </w:r>
      <w:r w:rsidRPr="0030361A">
        <w:rPr>
          <w:lang w:val="en-GB"/>
        </w:rPr>
        <w:t>β</w:t>
      </w:r>
      <w:r w:rsidRPr="004E7A51">
        <w:rPr>
          <w:vertAlign w:val="subscript"/>
        </w:rPr>
        <w:t>TI2</w:t>
      </w:r>
      <w:r w:rsidRPr="004E7A51">
        <w:t>) = 0.424</w:t>
      </w:r>
    </w:p>
    <w:p w:rsidR="009A3525" w:rsidRPr="004E7A51" w:rsidRDefault="009A3525" w:rsidP="00AE1008">
      <w:pPr>
        <w:spacing w:line="360" w:lineRule="auto"/>
        <w:ind w:left="426"/>
      </w:pPr>
      <w:r w:rsidRPr="004E7A51">
        <w:t>Cov(</w:t>
      </w:r>
      <w:r w:rsidRPr="00FF74DC">
        <w:rPr>
          <w:lang w:val="en-GB"/>
        </w:rPr>
        <w:t>β</w:t>
      </w:r>
      <w:r w:rsidRPr="004E7A51">
        <w:rPr>
          <w:vertAlign w:val="subscript"/>
        </w:rPr>
        <w:t>TI1</w:t>
      </w:r>
      <w:r w:rsidRPr="004E7A51">
        <w:t xml:space="preserve">, </w:t>
      </w:r>
      <w:r w:rsidRPr="00FF74DC">
        <w:rPr>
          <w:lang w:val="en-GB"/>
        </w:rPr>
        <w:t>β</w:t>
      </w:r>
      <w:r w:rsidRPr="004E7A51">
        <w:rPr>
          <w:vertAlign w:val="subscript"/>
        </w:rPr>
        <w:t>TI2</w:t>
      </w:r>
      <w:r w:rsidRPr="004E7A51">
        <w:t>) = 0.0806</w:t>
      </w:r>
    </w:p>
    <w:p w:rsidR="009A3525" w:rsidRPr="004E7A51" w:rsidRDefault="009A3525" w:rsidP="00B70657">
      <w:pPr>
        <w:spacing w:line="360" w:lineRule="auto"/>
        <w:rPr>
          <w:b/>
          <w:bCs/>
        </w:rPr>
      </w:pPr>
    </w:p>
    <w:p w:rsidR="009A3525" w:rsidRPr="004E7A51" w:rsidRDefault="009A3525" w:rsidP="00B70657">
      <w:pPr>
        <w:spacing w:line="360" w:lineRule="auto"/>
      </w:pPr>
    </w:p>
    <w:sectPr w:rsidR="009A3525" w:rsidRPr="004E7A51" w:rsidSect="00A35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43A3"/>
    <w:multiLevelType w:val="hybridMultilevel"/>
    <w:tmpl w:val="F668A55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66DF9"/>
    <w:multiLevelType w:val="hybridMultilevel"/>
    <w:tmpl w:val="6404419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1304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063"/>
    <w:rsid w:val="00043CD5"/>
    <w:rsid w:val="00055BAB"/>
    <w:rsid w:val="000A4067"/>
    <w:rsid w:val="000A7A23"/>
    <w:rsid w:val="000B55D4"/>
    <w:rsid w:val="00115683"/>
    <w:rsid w:val="001506BC"/>
    <w:rsid w:val="001C06E3"/>
    <w:rsid w:val="001E6F41"/>
    <w:rsid w:val="002113BB"/>
    <w:rsid w:val="002408F4"/>
    <w:rsid w:val="00245CE8"/>
    <w:rsid w:val="0024769C"/>
    <w:rsid w:val="00262D19"/>
    <w:rsid w:val="002813F7"/>
    <w:rsid w:val="00293634"/>
    <w:rsid w:val="0030361A"/>
    <w:rsid w:val="0030795B"/>
    <w:rsid w:val="0032538B"/>
    <w:rsid w:val="00366739"/>
    <w:rsid w:val="003676C2"/>
    <w:rsid w:val="0039396F"/>
    <w:rsid w:val="003A62E7"/>
    <w:rsid w:val="003D128F"/>
    <w:rsid w:val="003F15AF"/>
    <w:rsid w:val="0047504B"/>
    <w:rsid w:val="004858E8"/>
    <w:rsid w:val="004B541F"/>
    <w:rsid w:val="004E7A51"/>
    <w:rsid w:val="0054159C"/>
    <w:rsid w:val="00562A97"/>
    <w:rsid w:val="005661B0"/>
    <w:rsid w:val="00594B86"/>
    <w:rsid w:val="005B73A2"/>
    <w:rsid w:val="005C4411"/>
    <w:rsid w:val="005F3C95"/>
    <w:rsid w:val="00601C8C"/>
    <w:rsid w:val="00612BAF"/>
    <w:rsid w:val="006174D6"/>
    <w:rsid w:val="00627E08"/>
    <w:rsid w:val="0067461D"/>
    <w:rsid w:val="00731510"/>
    <w:rsid w:val="007509DF"/>
    <w:rsid w:val="00794264"/>
    <w:rsid w:val="007958C8"/>
    <w:rsid w:val="007B14C6"/>
    <w:rsid w:val="007F2D61"/>
    <w:rsid w:val="00867063"/>
    <w:rsid w:val="008E0EB9"/>
    <w:rsid w:val="009026E3"/>
    <w:rsid w:val="00927C5A"/>
    <w:rsid w:val="00992B63"/>
    <w:rsid w:val="009A3525"/>
    <w:rsid w:val="009C3AF8"/>
    <w:rsid w:val="00A35E38"/>
    <w:rsid w:val="00A650CA"/>
    <w:rsid w:val="00A90BBE"/>
    <w:rsid w:val="00AA395D"/>
    <w:rsid w:val="00AA71CE"/>
    <w:rsid w:val="00AE1008"/>
    <w:rsid w:val="00AE119A"/>
    <w:rsid w:val="00B127A0"/>
    <w:rsid w:val="00B13D06"/>
    <w:rsid w:val="00B70657"/>
    <w:rsid w:val="00B83903"/>
    <w:rsid w:val="00B85103"/>
    <w:rsid w:val="00C77256"/>
    <w:rsid w:val="00C86DDE"/>
    <w:rsid w:val="00C91875"/>
    <w:rsid w:val="00CF084A"/>
    <w:rsid w:val="00D33D6C"/>
    <w:rsid w:val="00D46355"/>
    <w:rsid w:val="00D83551"/>
    <w:rsid w:val="00D97746"/>
    <w:rsid w:val="00E20FBD"/>
    <w:rsid w:val="00E51EC5"/>
    <w:rsid w:val="00E63FA1"/>
    <w:rsid w:val="00E740FE"/>
    <w:rsid w:val="00EA73A4"/>
    <w:rsid w:val="00EB5136"/>
    <w:rsid w:val="00ED4465"/>
    <w:rsid w:val="00EE5F62"/>
    <w:rsid w:val="00F241DF"/>
    <w:rsid w:val="00F334E1"/>
    <w:rsid w:val="00F40844"/>
    <w:rsid w:val="00FF7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Simple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E38"/>
    <w:pPr>
      <w:spacing w:after="200" w:line="276" w:lineRule="auto"/>
    </w:pPr>
    <w:rPr>
      <w:lang w:val="sv-S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33D6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rsid w:val="00AA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A39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94B86"/>
    <w:pPr>
      <w:tabs>
        <w:tab w:val="center" w:pos="4513"/>
        <w:tab w:val="right" w:pos="9026"/>
      </w:tabs>
      <w:spacing w:after="120" w:line="240" w:lineRule="auto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94B86"/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EE5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E5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E5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E5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E5F6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174D6"/>
    <w:rPr>
      <w:color w:val="808080"/>
    </w:rPr>
  </w:style>
  <w:style w:type="paragraph" w:styleId="ListParagraph">
    <w:name w:val="List Paragraph"/>
    <w:basedOn w:val="Normal"/>
    <w:uiPriority w:val="99"/>
    <w:qFormat/>
    <w:rsid w:val="005F3C95"/>
    <w:pPr>
      <w:ind w:left="720"/>
    </w:pPr>
  </w:style>
  <w:style w:type="table" w:styleId="TableSimple2">
    <w:name w:val="Table Simple 2"/>
    <w:basedOn w:val="TableNormal"/>
    <w:uiPriority w:val="99"/>
    <w:rsid w:val="0054159C"/>
    <w:pPr>
      <w:spacing w:after="120"/>
    </w:pPr>
    <w:rPr>
      <w:rFonts w:ascii="Calibri" w:eastAsia="Times New Roman" w:hAnsi="Calibri" w:cs="Calibri"/>
      <w:sz w:val="20"/>
      <w:szCs w:val="20"/>
      <w:lang w:eastAsia="sv-S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39396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E7A51"/>
    <w:rPr>
      <w:lang w:val="sv-SE"/>
    </w:rPr>
  </w:style>
  <w:style w:type="character" w:styleId="Hyperlink">
    <w:name w:val="Hyperlink"/>
    <w:basedOn w:val="DefaultParagraphFont"/>
    <w:uiPriority w:val="99"/>
    <w:rsid w:val="003D12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hyperlink" Target="mailto:ingela.bjorholt@nordichealtheconomics.se" TargetMode="Externa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1004</Words>
  <Characters>5729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Lesén</dc:creator>
  <cp:keywords/>
  <dc:description/>
  <cp:lastModifiedBy>0001605</cp:lastModifiedBy>
  <cp:revision>3</cp:revision>
  <dcterms:created xsi:type="dcterms:W3CDTF">2012-11-16T14:24:00Z</dcterms:created>
  <dcterms:modified xsi:type="dcterms:W3CDTF">2012-12-15T07:54:00Z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0x01010096B74BC09031084BAFA620B28D5D9642</vt:lpwstr>
  </property>
</Properties>
</file>