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06" w:rsidRDefault="007D6A06" w:rsidP="007D6A06">
      <w:pPr>
        <w:spacing w:line="480" w:lineRule="auto"/>
        <w:rPr>
          <w:rFonts w:ascii="Times New Roman" w:eastAsia="SimSun" w:hAnsi="Times New Roman" w:cs="Times New Roman"/>
          <w:b/>
          <w:bCs/>
          <w:sz w:val="24"/>
        </w:rPr>
      </w:pPr>
      <w:r>
        <w:rPr>
          <w:rFonts w:ascii="Times New Roman" w:eastAsia="SimSun" w:hAnsi="Times New Roman" w:cs="Times New Roman"/>
          <w:b/>
          <w:bCs/>
          <w:sz w:val="24"/>
        </w:rPr>
        <w:t>Supplementary Figure1. Identification and Validation of Immune-Related Inflammatory Genes</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(A) Venn diagram illustrating the overlap between genes identified through WGCNA and inflammation-related gene sets obtained from multiple databases. A total of 36 key immune-related inflammatory genes were identified. These overlapping genes are not only highly correlated with WGCNA modules but also closely associated with inflammatory responses.</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(B) Boxplots comparing the expression levels of the 36 key genes between the AKI group (red) and the control group (blue). Wilcoxon tests revealed that these genes were significantly upregulated in the AKI group, further confirming their potential involvement in the pathogenesis of acute kidney injury.</w:t>
      </w:r>
    </w:p>
    <w:p w:rsidR="007D6A06" w:rsidRDefault="007D6A06" w:rsidP="007D6A06">
      <w:pPr>
        <w:spacing w:line="480" w:lineRule="auto"/>
        <w:rPr>
          <w:rFonts w:ascii="Times New Roman" w:eastAsia="SimSun" w:hAnsi="Times New Roman" w:cs="Times New Roman"/>
          <w:b/>
          <w:bCs/>
          <w:sz w:val="24"/>
        </w:rPr>
      </w:pPr>
      <w:r>
        <w:rPr>
          <w:rFonts w:ascii="Times New Roman" w:eastAsia="SimSun" w:hAnsi="Times New Roman" w:cs="Times New Roman"/>
          <w:b/>
          <w:bCs/>
          <w:sz w:val="24"/>
        </w:rPr>
        <w:t>Supplementary Figure2. GSEA Enrichment Analysis Results</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(A) Biological Process (BP) analysis revealed that the differentially expressed genes were significantly enriched in processes such as acute inflammatory response, neutrophil-mediated immune response, and positive regulation of inflammatory response.</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(B) Cellular Component (CC) analysis indicated that these genes were associated with immune cell components such as neutrophils and eosinophils, highlighting the involvement of immune cells in AKI.</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(C) Molecular Function (MF) analysis showed that the genes were related to immune molecule and cytokine binding, as well as Fc gamma receptor binding.</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(D) KEGG pathway analysis demonstrated enrichment in pathways including cytokine–cytokine receptor interaction, glycolysis, and Toll-like receptor signaling pathway.</w:t>
      </w:r>
    </w:p>
    <w:p w:rsidR="007D6A06" w:rsidRDefault="007D6A06" w:rsidP="007D6A06">
      <w:pPr>
        <w:spacing w:line="480" w:lineRule="auto"/>
        <w:rPr>
          <w:rFonts w:ascii="Times New Roman" w:eastAsia="SimSun" w:hAnsi="Times New Roman" w:cs="Times New Roman"/>
          <w:sz w:val="24"/>
          <w:highlight w:val="yellow"/>
        </w:rPr>
      </w:pPr>
      <w:r>
        <w:rPr>
          <w:rFonts w:ascii="Times New Roman" w:eastAsia="SimSun" w:hAnsi="Times New Roman" w:cs="Times New Roman" w:hint="eastAsia"/>
          <w:sz w:val="24"/>
          <w:highlight w:val="yellow"/>
        </w:rPr>
        <w:t>Note: GSEA, gene set enrichment analysis; BP, biological process; CC, cellular component; MF, molecular function; KEGG, Kyoto Encyclopedia of Genes and Genomes; AKI, acute kidney injury.</w:t>
      </w:r>
    </w:p>
    <w:p w:rsidR="007D6A06" w:rsidRDefault="007D6A06" w:rsidP="007D6A06">
      <w:pPr>
        <w:spacing w:line="480" w:lineRule="auto"/>
        <w:rPr>
          <w:rFonts w:ascii="Times New Roman" w:eastAsia="SimSun" w:hAnsi="Times New Roman" w:cs="Times New Roman"/>
          <w:sz w:val="24"/>
        </w:rPr>
      </w:pP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b/>
          <w:bCs/>
          <w:sz w:val="24"/>
        </w:rPr>
        <w:t>Supplementary Figure3. WGCNA Gene Set Enrichment Analysis</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 xml:space="preserve">(A) </w:t>
      </w:r>
      <w:proofErr w:type="spellStart"/>
      <w:r>
        <w:rPr>
          <w:rFonts w:ascii="Times New Roman" w:eastAsia="SimSun" w:hAnsi="Times New Roman" w:cs="Times New Roman"/>
          <w:sz w:val="24"/>
        </w:rPr>
        <w:t>BPanalysis</w:t>
      </w:r>
      <w:proofErr w:type="spellEnd"/>
      <w:r>
        <w:rPr>
          <w:rFonts w:ascii="Times New Roman" w:eastAsia="SimSun" w:hAnsi="Times New Roman" w:cs="Times New Roman"/>
          <w:sz w:val="24"/>
        </w:rPr>
        <w:t xml:space="preserve"> revealed that the differentially expressed genes were significantly enriched in acute inflammatory response, immune cell chemotaxis, and cytokine production, indicating their important roles in regulating immune responses.</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(B) MF analysis showed that these genes were primarily associated with cytokine activity, chemokine activity, and receptor binding, highlighting their key functions in immune cell activation and signal transduction.</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(C) CC analysis indicated significant associations of the genes with immune cell-related components such as lysosomes and extracellular exosomes, underscoring the importance of these cellular structures in immune responses.</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sz w:val="24"/>
        </w:rPr>
        <w:t>(D) KEGG pathway analysis demonstrated enrichment in cytokine–cytokine receptor interaction, Toll-like receptor signaling pathway, and Rap1 signaling pathway, emphasizing the central roles of these pathways in immune regulation.</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b/>
          <w:bCs/>
          <w:sz w:val="24"/>
        </w:rPr>
        <w:t>Supplementary Figure 4. Venn diagram showing the intersection of genes selected by three algorithms: LASSO, SVM-RFE, and Random Forest.</w:t>
      </w:r>
    </w:p>
    <w:p w:rsidR="007D6A06" w:rsidRDefault="007D6A06" w:rsidP="007D6A06">
      <w:pPr>
        <w:spacing w:line="480" w:lineRule="auto"/>
        <w:rPr>
          <w:rFonts w:ascii="Times New Roman" w:eastAsia="SimSun" w:hAnsi="Times New Roman" w:cs="Times New Roman"/>
          <w:sz w:val="24"/>
        </w:rPr>
      </w:pPr>
      <w:r>
        <w:rPr>
          <w:rFonts w:ascii="Times New Roman" w:eastAsia="SimSun" w:hAnsi="Times New Roman" w:cs="Times New Roman"/>
          <w:b/>
          <w:bCs/>
          <w:sz w:val="24"/>
        </w:rPr>
        <w:t xml:space="preserve">Supplementary Figure 5. Correlation </w:t>
      </w:r>
      <w:proofErr w:type="spellStart"/>
      <w:r>
        <w:rPr>
          <w:rFonts w:ascii="Times New Roman" w:eastAsia="SimSun" w:hAnsi="Times New Roman" w:cs="Times New Roman"/>
          <w:b/>
          <w:bCs/>
          <w:sz w:val="24"/>
        </w:rPr>
        <w:t>heatmap</w:t>
      </w:r>
      <w:proofErr w:type="spellEnd"/>
      <w:r>
        <w:rPr>
          <w:rFonts w:ascii="Times New Roman" w:eastAsia="SimSun" w:hAnsi="Times New Roman" w:cs="Times New Roman"/>
          <w:b/>
          <w:bCs/>
          <w:sz w:val="24"/>
        </w:rPr>
        <w:t xml:space="preserve"> between the 5 characteristic genes and immune cells.</w:t>
      </w:r>
      <w:r>
        <w:rPr>
          <w:rFonts w:ascii="Times New Roman" w:eastAsia="SimSun" w:hAnsi="Times New Roman" w:cs="Times New Roman"/>
          <w:sz w:val="24"/>
        </w:rPr>
        <w:t>*indicates p &lt; 0.05, ** indicates p &lt; 0.01, *** indicates p &lt; 0.001, and **** indicates p &lt; 0.0001</w:t>
      </w:r>
    </w:p>
    <w:p w:rsidR="00A23881" w:rsidRPr="007D6A06" w:rsidRDefault="00A23881" w:rsidP="007D6A06">
      <w:bookmarkStart w:id="0" w:name="_GoBack"/>
      <w:bookmarkEnd w:id="0"/>
    </w:p>
    <w:sectPr w:rsidR="00A23881" w:rsidRPr="007D6A06" w:rsidSect="009450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251"/>
    <w:rsid w:val="000F6624"/>
    <w:rsid w:val="00352251"/>
    <w:rsid w:val="007D6A06"/>
    <w:rsid w:val="008D08B6"/>
    <w:rsid w:val="00A23881"/>
    <w:rsid w:val="00A23C35"/>
    <w:rsid w:val="00E014CD"/>
    <w:rsid w:val="00FE41B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002FD-BD91-442F-88F8-1BD74468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4CD"/>
    <w:pPr>
      <w:widowControl w:val="0"/>
      <w:spacing w:after="0" w:line="240" w:lineRule="auto"/>
      <w:jc w:val="both"/>
    </w:pPr>
    <w:rPr>
      <w:rFonts w:eastAsiaTheme="minorEastAsia"/>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014CD"/>
    <w:pPr>
      <w:spacing w:after="120"/>
    </w:pPr>
  </w:style>
  <w:style w:type="character" w:customStyle="1" w:styleId="BodyTextChar">
    <w:name w:val="Body Text Char"/>
    <w:basedOn w:val="DefaultParagraphFont"/>
    <w:link w:val="BodyText"/>
    <w:rsid w:val="00E014CD"/>
    <w:rPr>
      <w:rFonts w:eastAsiaTheme="minorEastAsia"/>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Parimala M</dc:creator>
  <cp:keywords/>
  <dc:description/>
  <cp:lastModifiedBy>Sumathi N Narayanan R</cp:lastModifiedBy>
  <cp:revision>3</cp:revision>
  <dcterms:created xsi:type="dcterms:W3CDTF">2025-11-22T13:57:00Z</dcterms:created>
  <dcterms:modified xsi:type="dcterms:W3CDTF">2025-11-22T18:42:00Z</dcterms:modified>
</cp:coreProperties>
</file>