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MediumShading2"/>
        <w:tblpPr w:leftFromText="141" w:rightFromText="141" w:vertAnchor="page" w:horzAnchor="margin" w:tblpXSpec="center" w:tblpY="796"/>
        <w:tblW w:w="10490" w:type="dxa"/>
        <w:tblBorders>
          <w:top w:val="none" w:sz="0" w:space="0" w:color="auto"/>
          <w:bottom w:val="none" w:sz="0" w:space="0" w:color="auto"/>
        </w:tblBorders>
        <w:tblLook w:val="04A0"/>
      </w:tblPr>
      <w:tblGrid>
        <w:gridCol w:w="2093"/>
        <w:gridCol w:w="2551"/>
        <w:gridCol w:w="2410"/>
        <w:gridCol w:w="1418"/>
        <w:gridCol w:w="2018"/>
      </w:tblGrid>
      <w:tr w:rsidR="00995F5E" w:rsidRPr="00EA6EA1" w:rsidTr="00990857">
        <w:trPr>
          <w:cnfStyle w:val="100000000000"/>
          <w:trHeight w:val="708"/>
        </w:trPr>
        <w:tc>
          <w:tcPr>
            <w:cnfStyle w:val="001000000100"/>
            <w:tcW w:w="10490" w:type="dxa"/>
            <w:gridSpan w:val="5"/>
            <w:tcBorders>
              <w:top w:val="none" w:sz="0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95F5E" w:rsidRPr="00117AB1" w:rsidRDefault="00995F5E" w:rsidP="003D058D">
            <w:pPr>
              <w:rPr>
                <w:lang w:val="en-US"/>
              </w:rPr>
            </w:pPr>
            <w:r>
              <w:rPr>
                <w:b w:val="0"/>
                <w:color w:val="auto"/>
                <w:lang w:val="en-US"/>
              </w:rPr>
              <w:t xml:space="preserve">Supplementary table </w:t>
            </w:r>
            <w:r w:rsidR="003D058D">
              <w:rPr>
                <w:b w:val="0"/>
                <w:color w:val="auto"/>
                <w:lang w:val="en-US"/>
              </w:rPr>
              <w:t>4</w:t>
            </w:r>
            <w:r>
              <w:rPr>
                <w:b w:val="0"/>
                <w:color w:val="auto"/>
                <w:lang w:val="en-US"/>
              </w:rPr>
              <w:t xml:space="preserve">. Drugs used in </w:t>
            </w:r>
            <w:r w:rsidRPr="00117AB1">
              <w:rPr>
                <w:b w:val="0"/>
                <w:color w:val="auto"/>
                <w:lang w:val="en-US"/>
              </w:rPr>
              <w:t>energy metabolism and free radicals</w:t>
            </w:r>
            <w:r>
              <w:rPr>
                <w:b w:val="0"/>
                <w:color w:val="auto"/>
                <w:lang w:val="en-US"/>
              </w:rPr>
              <w:t>-related approaches</w:t>
            </w:r>
          </w:p>
        </w:tc>
      </w:tr>
      <w:tr w:rsidR="00FA2AA5" w:rsidRPr="00995F5E" w:rsidTr="00990857">
        <w:trPr>
          <w:cnfStyle w:val="000000100000"/>
          <w:trHeight w:val="708"/>
        </w:trPr>
        <w:tc>
          <w:tcPr>
            <w:cnfStyle w:val="001000000000"/>
            <w:tcW w:w="2093" w:type="dxa"/>
            <w:tcBorders>
              <w:top w:val="single" w:sz="4" w:space="0" w:color="auto"/>
              <w:left w:val="single" w:sz="4" w:space="0" w:color="auto"/>
              <w:bottom w:val="none" w:sz="0" w:space="0" w:color="auto"/>
              <w:right w:val="none" w:sz="0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A2AA5" w:rsidRPr="00117AB1" w:rsidRDefault="00FA2AA5" w:rsidP="00276343">
            <w:pPr>
              <w:rPr>
                <w:b w:val="0"/>
                <w:color w:val="auto"/>
                <w:lang w:val="en-US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A2AA5" w:rsidRPr="00995F5E" w:rsidRDefault="00117AB1" w:rsidP="00276343">
            <w:pPr>
              <w:cnfStyle w:val="000000100000"/>
              <w:rPr>
                <w:lang w:val="en-US"/>
              </w:rPr>
            </w:pPr>
            <w:r w:rsidRPr="00995F5E">
              <w:rPr>
                <w:lang w:val="en-US"/>
              </w:rPr>
              <w:t>Drug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A2AA5" w:rsidRPr="00995F5E" w:rsidRDefault="00117AB1" w:rsidP="00276343">
            <w:pPr>
              <w:cnfStyle w:val="000000100000"/>
              <w:rPr>
                <w:lang w:val="en-US"/>
              </w:rPr>
            </w:pPr>
            <w:r w:rsidRPr="00995F5E">
              <w:rPr>
                <w:lang w:val="en-US"/>
              </w:rPr>
              <w:t>Drug target/feature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A2AA5" w:rsidRPr="00995F5E" w:rsidRDefault="00117AB1" w:rsidP="00276343">
            <w:pPr>
              <w:cnfStyle w:val="000000100000"/>
              <w:rPr>
                <w:lang w:val="en-US"/>
              </w:rPr>
            </w:pPr>
            <w:r w:rsidRPr="00995F5E">
              <w:rPr>
                <w:lang w:val="en-US"/>
              </w:rPr>
              <w:t>Mouse model</w:t>
            </w:r>
          </w:p>
        </w:tc>
        <w:tc>
          <w:tcPr>
            <w:tcW w:w="2018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A2AA5" w:rsidRPr="00995F5E" w:rsidRDefault="00117AB1" w:rsidP="00276343">
            <w:pPr>
              <w:cnfStyle w:val="000000100000"/>
              <w:rPr>
                <w:lang w:val="en-US"/>
              </w:rPr>
            </w:pPr>
            <w:r w:rsidRPr="00995F5E">
              <w:rPr>
                <w:lang w:val="en-US"/>
              </w:rPr>
              <w:t>Reference</w:t>
            </w:r>
          </w:p>
        </w:tc>
      </w:tr>
      <w:tr w:rsidR="00FA2AA5" w:rsidRPr="003F7878" w:rsidTr="009309C9">
        <w:trPr>
          <w:trHeight w:val="300"/>
        </w:trPr>
        <w:tc>
          <w:tcPr>
            <w:cnfStyle w:val="001000000000"/>
            <w:tcW w:w="2093" w:type="dxa"/>
            <w:tcBorders>
              <w:left w:val="single" w:sz="4" w:space="0" w:color="auto"/>
              <w:bottom w:val="none" w:sz="0" w:space="0" w:color="auto"/>
              <w:right w:val="none" w:sz="0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FA2AA5" w:rsidRPr="00995F5E" w:rsidRDefault="00FA2AA5" w:rsidP="00276343">
            <w:pPr>
              <w:rPr>
                <w:b w:val="0"/>
                <w:color w:val="auto"/>
                <w:sz w:val="18"/>
                <w:szCs w:val="18"/>
                <w:lang w:val="en-US"/>
              </w:rPr>
            </w:pPr>
            <w:r w:rsidRPr="00995F5E">
              <w:rPr>
                <w:b w:val="0"/>
                <w:color w:val="auto"/>
                <w:sz w:val="18"/>
                <w:szCs w:val="18"/>
                <w:lang w:val="en-US"/>
              </w:rPr>
              <w:t>Anti-oxidation</w:t>
            </w:r>
          </w:p>
        </w:tc>
        <w:tc>
          <w:tcPr>
            <w:tcW w:w="2551" w:type="dxa"/>
            <w:shd w:val="clear" w:color="auto" w:fill="F2F2F2" w:themeFill="background1" w:themeFillShade="F2"/>
            <w:noWrap/>
            <w:vAlign w:val="center"/>
          </w:tcPr>
          <w:p w:rsidR="00FA2AA5" w:rsidRPr="00995F5E" w:rsidRDefault="00FA2AA5" w:rsidP="009309C9">
            <w:pPr>
              <w:cnfStyle w:val="000000000000"/>
              <w:rPr>
                <w:bCs/>
                <w:sz w:val="18"/>
                <w:szCs w:val="18"/>
                <w:lang w:val="en-US"/>
              </w:rPr>
            </w:pPr>
            <w:proofErr w:type="spellStart"/>
            <w:r w:rsidRPr="00995F5E">
              <w:rPr>
                <w:bCs/>
                <w:sz w:val="18"/>
                <w:szCs w:val="18"/>
                <w:lang w:val="en-US"/>
              </w:rPr>
              <w:t>nNOS</w:t>
            </w:r>
            <w:proofErr w:type="spellEnd"/>
            <w:r w:rsidRPr="00995F5E">
              <w:rPr>
                <w:bCs/>
                <w:sz w:val="18"/>
                <w:szCs w:val="18"/>
                <w:lang w:val="en-US"/>
              </w:rPr>
              <w:t xml:space="preserve"> depletion</w:t>
            </w:r>
            <w:r w:rsidR="00CE0BF4" w:rsidRPr="00995F5E">
              <w:rPr>
                <w:bCs/>
                <w:sz w:val="18"/>
                <w:szCs w:val="18"/>
                <w:lang w:val="en-US"/>
              </w:rPr>
              <w:t xml:space="preserve"> or knockout</w:t>
            </w:r>
          </w:p>
        </w:tc>
        <w:tc>
          <w:tcPr>
            <w:tcW w:w="2410" w:type="dxa"/>
            <w:shd w:val="clear" w:color="auto" w:fill="F2F2F2" w:themeFill="background1" w:themeFillShade="F2"/>
            <w:noWrap/>
            <w:vAlign w:val="center"/>
          </w:tcPr>
          <w:p w:rsidR="00FA2AA5" w:rsidRPr="00117AB1" w:rsidRDefault="00FA2AA5" w:rsidP="009309C9">
            <w:pPr>
              <w:cnfStyle w:val="000000000000"/>
              <w:rPr>
                <w:bCs/>
                <w:sz w:val="18"/>
                <w:szCs w:val="18"/>
                <w:lang w:val="en-US"/>
              </w:rPr>
            </w:pPr>
            <w:r w:rsidRPr="00117AB1">
              <w:rPr>
                <w:bCs/>
                <w:sz w:val="18"/>
                <w:szCs w:val="18"/>
                <w:lang w:val="en-US"/>
              </w:rPr>
              <w:t>Catalyzes nitric oxide synthesis from L-</w:t>
            </w:r>
            <w:proofErr w:type="spellStart"/>
            <w:r w:rsidRPr="00117AB1">
              <w:rPr>
                <w:bCs/>
                <w:sz w:val="18"/>
                <w:szCs w:val="18"/>
                <w:lang w:val="en-US"/>
              </w:rPr>
              <w:t>Arg</w:t>
            </w:r>
            <w:proofErr w:type="spellEnd"/>
          </w:p>
        </w:tc>
        <w:tc>
          <w:tcPr>
            <w:tcW w:w="1418" w:type="dxa"/>
            <w:shd w:val="clear" w:color="auto" w:fill="F2F2F2" w:themeFill="background1" w:themeFillShade="F2"/>
            <w:noWrap/>
            <w:vAlign w:val="center"/>
          </w:tcPr>
          <w:p w:rsidR="00FA2AA5" w:rsidRPr="00117AB1" w:rsidRDefault="00FA2AA5" w:rsidP="009309C9">
            <w:pPr>
              <w:cnfStyle w:val="0000000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R6/1</w:t>
            </w:r>
          </w:p>
        </w:tc>
        <w:tc>
          <w:tcPr>
            <w:tcW w:w="2018" w:type="dxa"/>
            <w:tcBorders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FA2AA5" w:rsidRPr="00117AB1" w:rsidRDefault="00FA2AA5" w:rsidP="009309C9">
            <w:pPr>
              <w:cnfStyle w:val="0000000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Deckel et al. 2002</w:t>
            </w:r>
          </w:p>
        </w:tc>
      </w:tr>
      <w:tr w:rsidR="00FA2AA5" w:rsidRPr="007619C7" w:rsidTr="009309C9">
        <w:trPr>
          <w:cnfStyle w:val="000000100000"/>
          <w:trHeight w:val="300"/>
        </w:trPr>
        <w:tc>
          <w:tcPr>
            <w:cnfStyle w:val="001000000000"/>
            <w:tcW w:w="2093" w:type="dxa"/>
            <w:tcBorders>
              <w:left w:val="single" w:sz="4" w:space="0" w:color="auto"/>
              <w:bottom w:val="none" w:sz="0" w:space="0" w:color="auto"/>
              <w:right w:val="none" w:sz="0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FA2AA5" w:rsidRPr="00117AB1" w:rsidRDefault="00FA2AA5" w:rsidP="00276343">
            <w:pPr>
              <w:rPr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551" w:type="dxa"/>
            <w:noWrap/>
            <w:vAlign w:val="center"/>
          </w:tcPr>
          <w:p w:rsidR="00FA2AA5" w:rsidRPr="00117AB1" w:rsidRDefault="00FA2AA5" w:rsidP="009309C9">
            <w:pPr>
              <w:cnfStyle w:val="0000001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S-methylisothiourea (SMT)</w:t>
            </w:r>
          </w:p>
        </w:tc>
        <w:tc>
          <w:tcPr>
            <w:tcW w:w="2410" w:type="dxa"/>
            <w:noWrap/>
            <w:vAlign w:val="center"/>
          </w:tcPr>
          <w:p w:rsidR="00FA2AA5" w:rsidRPr="00117AB1" w:rsidRDefault="00FA2AA5" w:rsidP="009309C9">
            <w:pPr>
              <w:cnfStyle w:val="0000001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iNOS inhibitor</w:t>
            </w:r>
          </w:p>
        </w:tc>
        <w:tc>
          <w:tcPr>
            <w:tcW w:w="1418" w:type="dxa"/>
            <w:noWrap/>
            <w:vAlign w:val="center"/>
          </w:tcPr>
          <w:p w:rsidR="00FA2AA5" w:rsidRPr="00117AB1" w:rsidRDefault="00FA2AA5" w:rsidP="009309C9">
            <w:pPr>
              <w:cnfStyle w:val="0000001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R6/1</w:t>
            </w:r>
          </w:p>
        </w:tc>
        <w:tc>
          <w:tcPr>
            <w:tcW w:w="2018" w:type="dxa"/>
            <w:tcBorders>
              <w:right w:val="single" w:sz="4" w:space="0" w:color="auto"/>
            </w:tcBorders>
            <w:noWrap/>
            <w:vAlign w:val="center"/>
          </w:tcPr>
          <w:p w:rsidR="00FA2AA5" w:rsidRPr="00117AB1" w:rsidRDefault="00FA2AA5" w:rsidP="009309C9">
            <w:pPr>
              <w:cnfStyle w:val="0000001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Deckel et al. 2002</w:t>
            </w:r>
          </w:p>
        </w:tc>
      </w:tr>
      <w:tr w:rsidR="00FA2AA5" w:rsidRPr="003F7878" w:rsidTr="009309C9">
        <w:trPr>
          <w:trHeight w:val="300"/>
        </w:trPr>
        <w:tc>
          <w:tcPr>
            <w:cnfStyle w:val="001000000000"/>
            <w:tcW w:w="2093" w:type="dxa"/>
            <w:tcBorders>
              <w:left w:val="single" w:sz="4" w:space="0" w:color="auto"/>
              <w:bottom w:val="none" w:sz="0" w:space="0" w:color="auto"/>
              <w:right w:val="none" w:sz="0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FA2AA5" w:rsidRPr="00117AB1" w:rsidRDefault="00FA2AA5" w:rsidP="00276343">
            <w:pPr>
              <w:rPr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  <w:noWrap/>
            <w:vAlign w:val="center"/>
          </w:tcPr>
          <w:p w:rsidR="00FA2AA5" w:rsidRPr="00117AB1" w:rsidRDefault="00FA2AA5" w:rsidP="009309C9">
            <w:pPr>
              <w:cnfStyle w:val="0000000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Ascorbate (Vitamin C)</w:t>
            </w:r>
          </w:p>
        </w:tc>
        <w:tc>
          <w:tcPr>
            <w:tcW w:w="2410" w:type="dxa"/>
            <w:shd w:val="clear" w:color="auto" w:fill="F2F2F2" w:themeFill="background1" w:themeFillShade="F2"/>
            <w:noWrap/>
            <w:vAlign w:val="center"/>
          </w:tcPr>
          <w:p w:rsidR="00FA2AA5" w:rsidRPr="00117AB1" w:rsidRDefault="00FA2AA5" w:rsidP="009309C9">
            <w:pPr>
              <w:cnfStyle w:val="0000000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Free-radical scavenger</w:t>
            </w:r>
          </w:p>
        </w:tc>
        <w:tc>
          <w:tcPr>
            <w:tcW w:w="1418" w:type="dxa"/>
            <w:shd w:val="clear" w:color="auto" w:fill="F2F2F2" w:themeFill="background1" w:themeFillShade="F2"/>
            <w:noWrap/>
            <w:vAlign w:val="center"/>
          </w:tcPr>
          <w:p w:rsidR="00FA2AA5" w:rsidRPr="00117AB1" w:rsidRDefault="00FA2AA5" w:rsidP="009309C9">
            <w:pPr>
              <w:cnfStyle w:val="0000000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R6/2</w:t>
            </w:r>
          </w:p>
        </w:tc>
        <w:tc>
          <w:tcPr>
            <w:tcW w:w="2018" w:type="dxa"/>
            <w:tcBorders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FA2AA5" w:rsidRPr="00117AB1" w:rsidRDefault="00FA2AA5" w:rsidP="009309C9">
            <w:pPr>
              <w:cnfStyle w:val="0000000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Rebec et al. 2003</w:t>
            </w:r>
          </w:p>
        </w:tc>
      </w:tr>
      <w:tr w:rsidR="00FA2AA5" w:rsidRPr="003F7878" w:rsidTr="009309C9">
        <w:trPr>
          <w:cnfStyle w:val="000000100000"/>
          <w:trHeight w:val="300"/>
        </w:trPr>
        <w:tc>
          <w:tcPr>
            <w:cnfStyle w:val="001000000000"/>
            <w:tcW w:w="2093" w:type="dxa"/>
            <w:tcBorders>
              <w:left w:val="single" w:sz="4" w:space="0" w:color="auto"/>
              <w:bottom w:val="none" w:sz="0" w:space="0" w:color="auto"/>
              <w:right w:val="none" w:sz="0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FA2AA5" w:rsidRPr="00117AB1" w:rsidRDefault="00FA2AA5" w:rsidP="00276343">
            <w:pPr>
              <w:rPr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551" w:type="dxa"/>
            <w:noWrap/>
            <w:vAlign w:val="center"/>
          </w:tcPr>
          <w:p w:rsidR="00FA2AA5" w:rsidRPr="00117AB1" w:rsidRDefault="00FA2AA5" w:rsidP="009309C9">
            <w:pPr>
              <w:cnfStyle w:val="0000001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Arginine</w:t>
            </w:r>
          </w:p>
        </w:tc>
        <w:tc>
          <w:tcPr>
            <w:tcW w:w="2410" w:type="dxa"/>
            <w:noWrap/>
            <w:vAlign w:val="center"/>
          </w:tcPr>
          <w:p w:rsidR="00FA2AA5" w:rsidRPr="00117AB1" w:rsidRDefault="00FA2AA5" w:rsidP="009309C9">
            <w:pPr>
              <w:cnfStyle w:val="0000001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NO level modulator</w:t>
            </w:r>
          </w:p>
        </w:tc>
        <w:tc>
          <w:tcPr>
            <w:tcW w:w="1418" w:type="dxa"/>
            <w:noWrap/>
            <w:vAlign w:val="center"/>
          </w:tcPr>
          <w:p w:rsidR="00FA2AA5" w:rsidRPr="00117AB1" w:rsidRDefault="00FA2AA5" w:rsidP="009309C9">
            <w:pPr>
              <w:cnfStyle w:val="0000001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R6/1</w:t>
            </w:r>
          </w:p>
        </w:tc>
        <w:tc>
          <w:tcPr>
            <w:tcW w:w="2018" w:type="dxa"/>
            <w:tcBorders>
              <w:right w:val="single" w:sz="4" w:space="0" w:color="auto"/>
            </w:tcBorders>
            <w:noWrap/>
            <w:vAlign w:val="center"/>
          </w:tcPr>
          <w:p w:rsidR="00FA2AA5" w:rsidRPr="00117AB1" w:rsidRDefault="00FA2AA5" w:rsidP="009309C9">
            <w:pPr>
              <w:cnfStyle w:val="0000001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Deckel et al. 2000</w:t>
            </w:r>
          </w:p>
        </w:tc>
      </w:tr>
      <w:tr w:rsidR="00FA2AA5" w:rsidRPr="003F7878" w:rsidTr="009309C9">
        <w:trPr>
          <w:trHeight w:val="300"/>
        </w:trPr>
        <w:tc>
          <w:tcPr>
            <w:cnfStyle w:val="001000000000"/>
            <w:tcW w:w="2093" w:type="dxa"/>
            <w:tcBorders>
              <w:left w:val="single" w:sz="4" w:space="0" w:color="auto"/>
              <w:bottom w:val="none" w:sz="0" w:space="0" w:color="auto"/>
              <w:right w:val="none" w:sz="0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FA2AA5" w:rsidRPr="00117AB1" w:rsidRDefault="00FA2AA5" w:rsidP="00276343">
            <w:pPr>
              <w:rPr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  <w:noWrap/>
            <w:vAlign w:val="center"/>
          </w:tcPr>
          <w:p w:rsidR="00FA2AA5" w:rsidRPr="00117AB1" w:rsidRDefault="00FA2AA5" w:rsidP="009309C9">
            <w:pPr>
              <w:cnfStyle w:val="0000000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dimethylfumarate</w:t>
            </w:r>
          </w:p>
        </w:tc>
        <w:tc>
          <w:tcPr>
            <w:tcW w:w="2410" w:type="dxa"/>
            <w:shd w:val="clear" w:color="auto" w:fill="F2F2F2" w:themeFill="background1" w:themeFillShade="F2"/>
            <w:noWrap/>
            <w:vAlign w:val="center"/>
          </w:tcPr>
          <w:p w:rsidR="00FA2AA5" w:rsidRPr="00117AB1" w:rsidRDefault="00FA2AA5" w:rsidP="009309C9">
            <w:pPr>
              <w:cnfStyle w:val="000000000000"/>
              <w:rPr>
                <w:bCs/>
                <w:sz w:val="18"/>
                <w:szCs w:val="18"/>
                <w:lang w:val="en-US"/>
              </w:rPr>
            </w:pPr>
            <w:r w:rsidRPr="00117AB1">
              <w:rPr>
                <w:bCs/>
                <w:sz w:val="18"/>
                <w:szCs w:val="18"/>
                <w:lang w:val="en-US"/>
              </w:rPr>
              <w:t>inducer of phase 2 detoxifying enzymes</w:t>
            </w:r>
          </w:p>
        </w:tc>
        <w:tc>
          <w:tcPr>
            <w:tcW w:w="1418" w:type="dxa"/>
            <w:shd w:val="clear" w:color="auto" w:fill="F2F2F2" w:themeFill="background1" w:themeFillShade="F2"/>
            <w:noWrap/>
            <w:vAlign w:val="center"/>
          </w:tcPr>
          <w:p w:rsidR="00FA2AA5" w:rsidRPr="00117AB1" w:rsidRDefault="00FA2AA5" w:rsidP="009309C9">
            <w:pPr>
              <w:cnfStyle w:val="0000000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R6/2; YAC128</w:t>
            </w:r>
          </w:p>
        </w:tc>
        <w:tc>
          <w:tcPr>
            <w:tcW w:w="2018" w:type="dxa"/>
            <w:tcBorders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FA2AA5" w:rsidRPr="00117AB1" w:rsidRDefault="00FA2AA5" w:rsidP="009309C9">
            <w:pPr>
              <w:cnfStyle w:val="0000000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Ellrichmann et al. 2011</w:t>
            </w:r>
          </w:p>
        </w:tc>
      </w:tr>
      <w:tr w:rsidR="00FA2AA5" w:rsidRPr="003F7878" w:rsidTr="009309C9">
        <w:trPr>
          <w:cnfStyle w:val="000000100000"/>
          <w:trHeight w:val="300"/>
        </w:trPr>
        <w:tc>
          <w:tcPr>
            <w:cnfStyle w:val="001000000000"/>
            <w:tcW w:w="2093" w:type="dxa"/>
            <w:tcBorders>
              <w:left w:val="single" w:sz="4" w:space="0" w:color="auto"/>
              <w:bottom w:val="none" w:sz="0" w:space="0" w:color="auto"/>
              <w:right w:val="none" w:sz="0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FA2AA5" w:rsidRPr="00117AB1" w:rsidRDefault="00FA2AA5" w:rsidP="00276343">
            <w:pPr>
              <w:rPr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551" w:type="dxa"/>
            <w:noWrap/>
            <w:vAlign w:val="center"/>
          </w:tcPr>
          <w:p w:rsidR="00FA2AA5" w:rsidRPr="00117AB1" w:rsidRDefault="00FA2AA5" w:rsidP="009309C9">
            <w:pPr>
              <w:cnfStyle w:val="0000001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Nordihydroguaiaretic acid (NDGA)</w:t>
            </w:r>
          </w:p>
        </w:tc>
        <w:tc>
          <w:tcPr>
            <w:tcW w:w="2410" w:type="dxa"/>
            <w:noWrap/>
            <w:vAlign w:val="center"/>
          </w:tcPr>
          <w:p w:rsidR="00FA2AA5" w:rsidRPr="00117AB1" w:rsidRDefault="00FA2AA5" w:rsidP="009309C9">
            <w:pPr>
              <w:cnfStyle w:val="0000001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antioxidant compound</w:t>
            </w:r>
          </w:p>
        </w:tc>
        <w:tc>
          <w:tcPr>
            <w:tcW w:w="1418" w:type="dxa"/>
            <w:noWrap/>
            <w:vAlign w:val="center"/>
          </w:tcPr>
          <w:p w:rsidR="00FA2AA5" w:rsidRPr="00117AB1" w:rsidRDefault="00FA2AA5" w:rsidP="009309C9">
            <w:pPr>
              <w:cnfStyle w:val="0000001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R6/2</w:t>
            </w:r>
          </w:p>
        </w:tc>
        <w:tc>
          <w:tcPr>
            <w:tcW w:w="2018" w:type="dxa"/>
            <w:tcBorders>
              <w:right w:val="single" w:sz="4" w:space="0" w:color="auto"/>
            </w:tcBorders>
            <w:noWrap/>
            <w:vAlign w:val="center"/>
          </w:tcPr>
          <w:p w:rsidR="00FA2AA5" w:rsidRPr="00117AB1" w:rsidRDefault="00FA2AA5" w:rsidP="009309C9">
            <w:pPr>
              <w:cnfStyle w:val="0000001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Lee et al. 2011</w:t>
            </w:r>
          </w:p>
        </w:tc>
      </w:tr>
      <w:tr w:rsidR="00CE0BF4" w:rsidRPr="003F7878" w:rsidTr="009309C9">
        <w:trPr>
          <w:trHeight w:val="300"/>
        </w:trPr>
        <w:tc>
          <w:tcPr>
            <w:cnfStyle w:val="001000000000"/>
            <w:tcW w:w="2093" w:type="dxa"/>
            <w:tcBorders>
              <w:left w:val="single" w:sz="4" w:space="0" w:color="auto"/>
              <w:bottom w:val="none" w:sz="0" w:space="0" w:color="auto"/>
              <w:right w:val="none" w:sz="0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FA2AA5" w:rsidRPr="00117AB1" w:rsidRDefault="00FA2AA5" w:rsidP="00276343">
            <w:pPr>
              <w:rPr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  <w:noWrap/>
            <w:vAlign w:val="center"/>
          </w:tcPr>
          <w:p w:rsidR="00FA2AA5" w:rsidRPr="00117AB1" w:rsidRDefault="00FA2AA5" w:rsidP="009309C9">
            <w:pPr>
              <w:cnfStyle w:val="0000000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tetrathiomolybdate</w:t>
            </w:r>
          </w:p>
        </w:tc>
        <w:tc>
          <w:tcPr>
            <w:tcW w:w="2410" w:type="dxa"/>
            <w:shd w:val="clear" w:color="auto" w:fill="F2F2F2" w:themeFill="background1" w:themeFillShade="F2"/>
            <w:noWrap/>
            <w:vAlign w:val="center"/>
          </w:tcPr>
          <w:p w:rsidR="00FA2AA5" w:rsidRPr="00117AB1" w:rsidRDefault="00FA2AA5" w:rsidP="009309C9">
            <w:pPr>
              <w:cnfStyle w:val="0000000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copper complexing agent</w:t>
            </w:r>
          </w:p>
        </w:tc>
        <w:tc>
          <w:tcPr>
            <w:tcW w:w="1418" w:type="dxa"/>
            <w:shd w:val="clear" w:color="auto" w:fill="F2F2F2" w:themeFill="background1" w:themeFillShade="F2"/>
            <w:noWrap/>
            <w:vAlign w:val="center"/>
          </w:tcPr>
          <w:p w:rsidR="00FA2AA5" w:rsidRPr="00117AB1" w:rsidRDefault="00FA2AA5" w:rsidP="009309C9">
            <w:pPr>
              <w:cnfStyle w:val="0000000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R6/2</w:t>
            </w:r>
          </w:p>
        </w:tc>
        <w:tc>
          <w:tcPr>
            <w:tcW w:w="2018" w:type="dxa"/>
            <w:tcBorders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FA2AA5" w:rsidRPr="00117AB1" w:rsidRDefault="00FA2AA5" w:rsidP="009309C9">
            <w:pPr>
              <w:cnfStyle w:val="0000000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Tallaksen-Greene et al. 2009</w:t>
            </w:r>
          </w:p>
        </w:tc>
      </w:tr>
      <w:tr w:rsidR="008B20F6" w:rsidRPr="00EA6EA1" w:rsidTr="009309C9">
        <w:trPr>
          <w:cnfStyle w:val="000000100000"/>
          <w:trHeight w:val="300"/>
        </w:trPr>
        <w:tc>
          <w:tcPr>
            <w:cnfStyle w:val="001000000000"/>
            <w:tcW w:w="2093" w:type="dxa"/>
            <w:tcBorders>
              <w:left w:val="single" w:sz="4" w:space="0" w:color="auto"/>
              <w:bottom w:val="none" w:sz="0" w:space="0" w:color="auto"/>
              <w:right w:val="none" w:sz="0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8B20F6" w:rsidRPr="00117AB1" w:rsidRDefault="008B20F6" w:rsidP="00276343">
            <w:pPr>
              <w:rPr>
                <w:b w:val="0"/>
                <w:color w:val="auto"/>
                <w:sz w:val="18"/>
                <w:szCs w:val="18"/>
              </w:rPr>
            </w:pPr>
            <w:r w:rsidRPr="00117AB1">
              <w:rPr>
                <w:b w:val="0"/>
                <w:color w:val="auto"/>
                <w:sz w:val="18"/>
                <w:szCs w:val="18"/>
              </w:rPr>
              <w:t>Mitochondrial dysfunction/Anti-oxidation</w:t>
            </w:r>
          </w:p>
        </w:tc>
        <w:tc>
          <w:tcPr>
            <w:tcW w:w="2551" w:type="dxa"/>
            <w:noWrap/>
            <w:vAlign w:val="center"/>
          </w:tcPr>
          <w:p w:rsidR="008B20F6" w:rsidRPr="00117AB1" w:rsidRDefault="008B20F6" w:rsidP="009309C9">
            <w:pPr>
              <w:cnfStyle w:val="0000001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Coenzyme Q10</w:t>
            </w:r>
          </w:p>
        </w:tc>
        <w:tc>
          <w:tcPr>
            <w:tcW w:w="2410" w:type="dxa"/>
            <w:noWrap/>
            <w:vAlign w:val="center"/>
          </w:tcPr>
          <w:p w:rsidR="008B20F6" w:rsidRPr="00117AB1" w:rsidRDefault="008B20F6" w:rsidP="009309C9">
            <w:pPr>
              <w:cnfStyle w:val="0000001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Free-radical scavenger</w:t>
            </w:r>
          </w:p>
        </w:tc>
        <w:tc>
          <w:tcPr>
            <w:tcW w:w="1418" w:type="dxa"/>
            <w:noWrap/>
            <w:vAlign w:val="center"/>
          </w:tcPr>
          <w:p w:rsidR="008B20F6" w:rsidRPr="00117AB1" w:rsidRDefault="008B20F6" w:rsidP="009309C9">
            <w:pPr>
              <w:cnfStyle w:val="0000001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R6/2;</w:t>
            </w:r>
          </w:p>
          <w:p w:rsidR="008B20F6" w:rsidRPr="00117AB1" w:rsidRDefault="008B20F6" w:rsidP="009309C9">
            <w:pPr>
              <w:cnfStyle w:val="0000001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N171-82Q</w:t>
            </w:r>
          </w:p>
        </w:tc>
        <w:tc>
          <w:tcPr>
            <w:tcW w:w="2018" w:type="dxa"/>
            <w:tcBorders>
              <w:right w:val="single" w:sz="4" w:space="0" w:color="auto"/>
            </w:tcBorders>
            <w:noWrap/>
            <w:vAlign w:val="center"/>
          </w:tcPr>
          <w:p w:rsidR="008B20F6" w:rsidRPr="00117AB1" w:rsidRDefault="008B20F6" w:rsidP="009309C9">
            <w:pPr>
              <w:cnfStyle w:val="000000100000"/>
              <w:rPr>
                <w:bCs/>
                <w:sz w:val="18"/>
                <w:szCs w:val="18"/>
                <w:lang w:val="en-US"/>
              </w:rPr>
            </w:pPr>
            <w:proofErr w:type="spellStart"/>
            <w:r w:rsidRPr="00117AB1">
              <w:rPr>
                <w:bCs/>
                <w:sz w:val="18"/>
                <w:szCs w:val="18"/>
                <w:lang w:val="en-US"/>
              </w:rPr>
              <w:t>Menalled</w:t>
            </w:r>
            <w:proofErr w:type="spellEnd"/>
            <w:r w:rsidRPr="00117AB1">
              <w:rPr>
                <w:bCs/>
                <w:sz w:val="18"/>
                <w:szCs w:val="18"/>
                <w:lang w:val="en-US"/>
              </w:rPr>
              <w:t xml:space="preserve"> et al. 2010; Smith et al. 2006; Schilling et al. 2004</w:t>
            </w:r>
          </w:p>
        </w:tc>
      </w:tr>
      <w:tr w:rsidR="008B20F6" w:rsidRPr="003F7878" w:rsidTr="009309C9">
        <w:trPr>
          <w:trHeight w:val="300"/>
        </w:trPr>
        <w:tc>
          <w:tcPr>
            <w:cnfStyle w:val="001000000000"/>
            <w:tcW w:w="2093" w:type="dxa"/>
            <w:tcBorders>
              <w:left w:val="single" w:sz="4" w:space="0" w:color="auto"/>
              <w:bottom w:val="none" w:sz="0" w:space="0" w:color="auto"/>
              <w:right w:val="none" w:sz="0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8B20F6" w:rsidRPr="00117AB1" w:rsidRDefault="008B20F6" w:rsidP="00276343">
            <w:pPr>
              <w:rPr>
                <w:b w:val="0"/>
                <w:color w:val="auto"/>
                <w:sz w:val="18"/>
                <w:szCs w:val="18"/>
                <w:lang w:val="en-US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  <w:noWrap/>
            <w:vAlign w:val="center"/>
          </w:tcPr>
          <w:p w:rsidR="008B20F6" w:rsidRPr="00117AB1" w:rsidRDefault="008B20F6" w:rsidP="009309C9">
            <w:pPr>
              <w:cnfStyle w:val="0000000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SOD1 overexpression</w:t>
            </w:r>
          </w:p>
        </w:tc>
        <w:tc>
          <w:tcPr>
            <w:tcW w:w="2410" w:type="dxa"/>
            <w:shd w:val="clear" w:color="auto" w:fill="F2F2F2" w:themeFill="background1" w:themeFillShade="F2"/>
            <w:noWrap/>
            <w:vAlign w:val="center"/>
          </w:tcPr>
          <w:p w:rsidR="008B20F6" w:rsidRPr="00117AB1" w:rsidRDefault="008B20F6" w:rsidP="009309C9">
            <w:pPr>
              <w:cnfStyle w:val="0000000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Free-radical scavenger</w:t>
            </w:r>
          </w:p>
        </w:tc>
        <w:tc>
          <w:tcPr>
            <w:tcW w:w="1418" w:type="dxa"/>
            <w:shd w:val="clear" w:color="auto" w:fill="F2F2F2" w:themeFill="background1" w:themeFillShade="F2"/>
            <w:noWrap/>
            <w:vAlign w:val="center"/>
          </w:tcPr>
          <w:p w:rsidR="008B20F6" w:rsidRPr="00117AB1" w:rsidRDefault="008B20F6" w:rsidP="009309C9">
            <w:pPr>
              <w:cnfStyle w:val="0000000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N171-82Q</w:t>
            </w:r>
          </w:p>
        </w:tc>
        <w:tc>
          <w:tcPr>
            <w:tcW w:w="2018" w:type="dxa"/>
            <w:tcBorders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8B20F6" w:rsidRPr="00117AB1" w:rsidRDefault="008B20F6" w:rsidP="009309C9">
            <w:pPr>
              <w:cnfStyle w:val="0000000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Schilling et al. 2004</w:t>
            </w:r>
          </w:p>
        </w:tc>
      </w:tr>
      <w:tr w:rsidR="008B20F6" w:rsidRPr="003F7878" w:rsidTr="009309C9">
        <w:trPr>
          <w:cnfStyle w:val="000000100000"/>
          <w:trHeight w:val="300"/>
        </w:trPr>
        <w:tc>
          <w:tcPr>
            <w:cnfStyle w:val="001000000000"/>
            <w:tcW w:w="2093" w:type="dxa"/>
            <w:tcBorders>
              <w:left w:val="single" w:sz="4" w:space="0" w:color="auto"/>
              <w:bottom w:val="none" w:sz="0" w:space="0" w:color="auto"/>
              <w:right w:val="none" w:sz="0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8B20F6" w:rsidRPr="00117AB1" w:rsidRDefault="008B20F6" w:rsidP="00276343">
            <w:pPr>
              <w:rPr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551" w:type="dxa"/>
            <w:noWrap/>
            <w:vAlign w:val="center"/>
          </w:tcPr>
          <w:p w:rsidR="008B20F6" w:rsidRPr="00117AB1" w:rsidRDefault="008B20F6" w:rsidP="009309C9">
            <w:pPr>
              <w:cnfStyle w:val="0000001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Hsp27 overexpression</w:t>
            </w:r>
          </w:p>
        </w:tc>
        <w:tc>
          <w:tcPr>
            <w:tcW w:w="2410" w:type="dxa"/>
            <w:noWrap/>
            <w:vAlign w:val="center"/>
          </w:tcPr>
          <w:p w:rsidR="008B20F6" w:rsidRPr="00117AB1" w:rsidRDefault="008B20F6" w:rsidP="009309C9">
            <w:pPr>
              <w:cnfStyle w:val="0000001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suppressesor of ROS formation</w:t>
            </w:r>
          </w:p>
        </w:tc>
        <w:tc>
          <w:tcPr>
            <w:tcW w:w="1418" w:type="dxa"/>
            <w:noWrap/>
            <w:vAlign w:val="center"/>
          </w:tcPr>
          <w:p w:rsidR="008B20F6" w:rsidRPr="00117AB1" w:rsidRDefault="008B20F6" w:rsidP="009309C9">
            <w:pPr>
              <w:cnfStyle w:val="0000001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R6/2</w:t>
            </w:r>
          </w:p>
        </w:tc>
        <w:tc>
          <w:tcPr>
            <w:tcW w:w="2018" w:type="dxa"/>
            <w:tcBorders>
              <w:right w:val="single" w:sz="4" w:space="0" w:color="auto"/>
            </w:tcBorders>
            <w:noWrap/>
            <w:vAlign w:val="center"/>
          </w:tcPr>
          <w:p w:rsidR="008B20F6" w:rsidRPr="00117AB1" w:rsidRDefault="008B20F6" w:rsidP="009309C9">
            <w:pPr>
              <w:cnfStyle w:val="0000001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Zourlidou et al. 2007</w:t>
            </w:r>
          </w:p>
        </w:tc>
      </w:tr>
      <w:tr w:rsidR="008B20F6" w:rsidRPr="003F7878" w:rsidTr="009309C9">
        <w:trPr>
          <w:trHeight w:val="300"/>
        </w:trPr>
        <w:tc>
          <w:tcPr>
            <w:cnfStyle w:val="001000000000"/>
            <w:tcW w:w="2093" w:type="dxa"/>
            <w:tcBorders>
              <w:left w:val="single" w:sz="4" w:space="0" w:color="auto"/>
              <w:bottom w:val="none" w:sz="0" w:space="0" w:color="auto"/>
              <w:right w:val="none" w:sz="0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8B20F6" w:rsidRPr="00117AB1" w:rsidRDefault="008B20F6" w:rsidP="00276343">
            <w:pPr>
              <w:rPr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  <w:noWrap/>
            <w:vAlign w:val="center"/>
          </w:tcPr>
          <w:p w:rsidR="008B20F6" w:rsidRPr="00117AB1" w:rsidRDefault="008B20F6" w:rsidP="009309C9">
            <w:pPr>
              <w:cnfStyle w:val="0000000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BN82451</w:t>
            </w:r>
          </w:p>
        </w:tc>
        <w:tc>
          <w:tcPr>
            <w:tcW w:w="2410" w:type="dxa"/>
            <w:shd w:val="clear" w:color="auto" w:fill="F2F2F2" w:themeFill="background1" w:themeFillShade="F2"/>
            <w:noWrap/>
            <w:vAlign w:val="center"/>
          </w:tcPr>
          <w:p w:rsidR="008B20F6" w:rsidRPr="00117AB1" w:rsidRDefault="008B20F6" w:rsidP="009309C9">
            <w:pPr>
              <w:cnfStyle w:val="0000000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antioxidant, anti-inflammator</w:t>
            </w:r>
          </w:p>
        </w:tc>
        <w:tc>
          <w:tcPr>
            <w:tcW w:w="1418" w:type="dxa"/>
            <w:shd w:val="clear" w:color="auto" w:fill="F2F2F2" w:themeFill="background1" w:themeFillShade="F2"/>
            <w:noWrap/>
            <w:vAlign w:val="center"/>
          </w:tcPr>
          <w:p w:rsidR="008B20F6" w:rsidRPr="00117AB1" w:rsidRDefault="008B20F6" w:rsidP="009309C9">
            <w:pPr>
              <w:cnfStyle w:val="0000000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R6/2</w:t>
            </w:r>
          </w:p>
        </w:tc>
        <w:tc>
          <w:tcPr>
            <w:tcW w:w="2018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B20F6" w:rsidRPr="00117AB1" w:rsidRDefault="008B20F6" w:rsidP="009309C9">
            <w:pPr>
              <w:cnfStyle w:val="0000000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Klivenyi et al. 2003</w:t>
            </w:r>
          </w:p>
        </w:tc>
      </w:tr>
      <w:tr w:rsidR="008B20F6" w:rsidRPr="003F7878" w:rsidTr="009309C9">
        <w:trPr>
          <w:cnfStyle w:val="000000100000"/>
          <w:trHeight w:val="300"/>
        </w:trPr>
        <w:tc>
          <w:tcPr>
            <w:cnfStyle w:val="001000000000"/>
            <w:tcW w:w="2093" w:type="dxa"/>
            <w:tcBorders>
              <w:left w:val="single" w:sz="4" w:space="0" w:color="auto"/>
              <w:bottom w:val="none" w:sz="0" w:space="0" w:color="auto"/>
              <w:right w:val="none" w:sz="0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8B20F6" w:rsidRPr="00117AB1" w:rsidRDefault="008B20F6" w:rsidP="00276343">
            <w:pPr>
              <w:rPr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551" w:type="dxa"/>
            <w:noWrap/>
            <w:vAlign w:val="center"/>
          </w:tcPr>
          <w:p w:rsidR="008B20F6" w:rsidRPr="00117AB1" w:rsidRDefault="008B20F6" w:rsidP="009309C9">
            <w:pPr>
              <w:cnfStyle w:val="0000001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S-PBN</w:t>
            </w:r>
          </w:p>
        </w:tc>
        <w:tc>
          <w:tcPr>
            <w:tcW w:w="2410" w:type="dxa"/>
            <w:noWrap/>
            <w:vAlign w:val="center"/>
          </w:tcPr>
          <w:p w:rsidR="008B20F6" w:rsidRPr="00117AB1" w:rsidRDefault="008B20F6" w:rsidP="009309C9">
            <w:pPr>
              <w:cnfStyle w:val="0000001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Free-radical scavenger</w:t>
            </w:r>
          </w:p>
        </w:tc>
        <w:tc>
          <w:tcPr>
            <w:tcW w:w="1418" w:type="dxa"/>
            <w:noWrap/>
            <w:vAlign w:val="center"/>
          </w:tcPr>
          <w:p w:rsidR="008B20F6" w:rsidRPr="00117AB1" w:rsidRDefault="008B20F6" w:rsidP="009309C9">
            <w:pPr>
              <w:cnfStyle w:val="0000001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R6/2</w:t>
            </w:r>
          </w:p>
        </w:tc>
        <w:tc>
          <w:tcPr>
            <w:tcW w:w="2018" w:type="dxa"/>
            <w:tcBorders>
              <w:right w:val="single" w:sz="4" w:space="0" w:color="auto"/>
            </w:tcBorders>
            <w:noWrap/>
            <w:vAlign w:val="center"/>
          </w:tcPr>
          <w:p w:rsidR="008B20F6" w:rsidRPr="00117AB1" w:rsidRDefault="008B20F6" w:rsidP="009309C9">
            <w:pPr>
              <w:cnfStyle w:val="0000001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Andreassen et al. 2001</w:t>
            </w:r>
          </w:p>
        </w:tc>
      </w:tr>
      <w:tr w:rsidR="008B20F6" w:rsidRPr="003F7878" w:rsidTr="009309C9">
        <w:trPr>
          <w:trHeight w:val="300"/>
        </w:trPr>
        <w:tc>
          <w:tcPr>
            <w:cnfStyle w:val="001000000000"/>
            <w:tcW w:w="2093" w:type="dxa"/>
            <w:tcBorders>
              <w:left w:val="single" w:sz="4" w:space="0" w:color="auto"/>
              <w:bottom w:val="none" w:sz="0" w:space="0" w:color="auto"/>
              <w:right w:val="none" w:sz="0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8B20F6" w:rsidRPr="00117AB1" w:rsidRDefault="008B20F6" w:rsidP="00276343">
            <w:pPr>
              <w:rPr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  <w:noWrap/>
            <w:vAlign w:val="center"/>
          </w:tcPr>
          <w:p w:rsidR="008B20F6" w:rsidRPr="00117AB1" w:rsidRDefault="008B20F6" w:rsidP="009309C9">
            <w:pPr>
              <w:cnfStyle w:val="0000000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L-Carnitine</w:t>
            </w:r>
          </w:p>
        </w:tc>
        <w:tc>
          <w:tcPr>
            <w:tcW w:w="2410" w:type="dxa"/>
            <w:shd w:val="clear" w:color="auto" w:fill="F2F2F2" w:themeFill="background1" w:themeFillShade="F2"/>
            <w:noWrap/>
            <w:vAlign w:val="center"/>
          </w:tcPr>
          <w:p w:rsidR="008B20F6" w:rsidRPr="00117AB1" w:rsidRDefault="008B20F6" w:rsidP="009309C9">
            <w:pPr>
              <w:cnfStyle w:val="0000000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Free-radical scavenger</w:t>
            </w:r>
          </w:p>
        </w:tc>
        <w:tc>
          <w:tcPr>
            <w:tcW w:w="1418" w:type="dxa"/>
            <w:shd w:val="clear" w:color="auto" w:fill="F2F2F2" w:themeFill="background1" w:themeFillShade="F2"/>
            <w:noWrap/>
            <w:vAlign w:val="center"/>
          </w:tcPr>
          <w:p w:rsidR="008B20F6" w:rsidRPr="00117AB1" w:rsidRDefault="008B20F6" w:rsidP="009309C9">
            <w:pPr>
              <w:cnfStyle w:val="0000000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N171-82Q</w:t>
            </w:r>
          </w:p>
        </w:tc>
        <w:tc>
          <w:tcPr>
            <w:tcW w:w="2018" w:type="dxa"/>
            <w:tcBorders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8B20F6" w:rsidRPr="00117AB1" w:rsidRDefault="008B20F6" w:rsidP="009309C9">
            <w:pPr>
              <w:cnfStyle w:val="0000000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Vamos et al. 2010</w:t>
            </w:r>
          </w:p>
        </w:tc>
      </w:tr>
      <w:tr w:rsidR="008B20F6" w:rsidRPr="003F7878" w:rsidTr="009309C9">
        <w:trPr>
          <w:cnfStyle w:val="000000100000"/>
          <w:trHeight w:val="300"/>
        </w:trPr>
        <w:tc>
          <w:tcPr>
            <w:cnfStyle w:val="001000000000"/>
            <w:tcW w:w="2093" w:type="dxa"/>
            <w:tcBorders>
              <w:left w:val="single" w:sz="4" w:space="0" w:color="auto"/>
              <w:bottom w:val="none" w:sz="0" w:space="0" w:color="auto"/>
              <w:right w:val="none" w:sz="0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8B20F6" w:rsidRPr="00117AB1" w:rsidRDefault="008B20F6" w:rsidP="00276343">
            <w:pPr>
              <w:rPr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551" w:type="dxa"/>
            <w:noWrap/>
            <w:vAlign w:val="center"/>
          </w:tcPr>
          <w:p w:rsidR="008B20F6" w:rsidRPr="00117AB1" w:rsidRDefault="008B20F6" w:rsidP="009309C9">
            <w:pPr>
              <w:cnfStyle w:val="0000001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TUDCA</w:t>
            </w:r>
          </w:p>
        </w:tc>
        <w:tc>
          <w:tcPr>
            <w:tcW w:w="2410" w:type="dxa"/>
            <w:noWrap/>
            <w:vAlign w:val="center"/>
          </w:tcPr>
          <w:p w:rsidR="008B20F6" w:rsidRPr="00117AB1" w:rsidRDefault="008B20F6" w:rsidP="009309C9">
            <w:pPr>
              <w:cnfStyle w:val="0000001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Antioxidant, Bax translocation inhibitor</w:t>
            </w:r>
          </w:p>
        </w:tc>
        <w:tc>
          <w:tcPr>
            <w:tcW w:w="1418" w:type="dxa"/>
            <w:noWrap/>
            <w:vAlign w:val="center"/>
          </w:tcPr>
          <w:p w:rsidR="008B20F6" w:rsidRPr="00117AB1" w:rsidRDefault="008B20F6" w:rsidP="009309C9">
            <w:pPr>
              <w:cnfStyle w:val="0000001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R6/2</w:t>
            </w:r>
          </w:p>
        </w:tc>
        <w:tc>
          <w:tcPr>
            <w:tcW w:w="2018" w:type="dxa"/>
            <w:tcBorders>
              <w:right w:val="single" w:sz="4" w:space="0" w:color="auto"/>
            </w:tcBorders>
            <w:noWrap/>
            <w:vAlign w:val="center"/>
          </w:tcPr>
          <w:p w:rsidR="008B20F6" w:rsidRPr="00117AB1" w:rsidRDefault="008B20F6" w:rsidP="009309C9">
            <w:pPr>
              <w:cnfStyle w:val="0000001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Keene et al. 2002</w:t>
            </w:r>
          </w:p>
        </w:tc>
      </w:tr>
      <w:tr w:rsidR="008B20F6" w:rsidRPr="003F7878" w:rsidTr="009309C9">
        <w:trPr>
          <w:trHeight w:val="300"/>
        </w:trPr>
        <w:tc>
          <w:tcPr>
            <w:cnfStyle w:val="001000000000"/>
            <w:tcW w:w="2093" w:type="dxa"/>
            <w:tcBorders>
              <w:left w:val="single" w:sz="4" w:space="0" w:color="auto"/>
              <w:bottom w:val="none" w:sz="0" w:space="0" w:color="auto"/>
              <w:right w:val="none" w:sz="0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8B20F6" w:rsidRPr="00117AB1" w:rsidRDefault="008B20F6" w:rsidP="00276343">
            <w:pPr>
              <w:rPr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  <w:noWrap/>
            <w:vAlign w:val="center"/>
          </w:tcPr>
          <w:p w:rsidR="008B20F6" w:rsidRPr="00117AB1" w:rsidRDefault="008B20F6" w:rsidP="009309C9">
            <w:pPr>
              <w:cnfStyle w:val="000000000000"/>
              <w:rPr>
                <w:bCs/>
                <w:sz w:val="18"/>
                <w:szCs w:val="18"/>
                <w:lang w:val="en-US"/>
              </w:rPr>
            </w:pPr>
            <w:r w:rsidRPr="00117AB1">
              <w:rPr>
                <w:bCs/>
                <w:sz w:val="18"/>
                <w:szCs w:val="18"/>
                <w:lang w:val="en-US"/>
              </w:rPr>
              <w:t>CDDO-EA and CDDO-TFEA</w:t>
            </w:r>
          </w:p>
        </w:tc>
        <w:tc>
          <w:tcPr>
            <w:tcW w:w="2410" w:type="dxa"/>
            <w:shd w:val="clear" w:color="auto" w:fill="F2F2F2" w:themeFill="background1" w:themeFillShade="F2"/>
            <w:noWrap/>
            <w:vAlign w:val="center"/>
          </w:tcPr>
          <w:p w:rsidR="008B20F6" w:rsidRPr="00117AB1" w:rsidRDefault="008B20F6" w:rsidP="009309C9">
            <w:pPr>
              <w:cnfStyle w:val="000000000000"/>
              <w:rPr>
                <w:bCs/>
                <w:sz w:val="18"/>
                <w:szCs w:val="18"/>
                <w:lang w:val="en-US"/>
              </w:rPr>
            </w:pPr>
            <w:r w:rsidRPr="00117AB1">
              <w:rPr>
                <w:bCs/>
                <w:sz w:val="18"/>
                <w:szCs w:val="18"/>
                <w:lang w:val="en-US"/>
              </w:rPr>
              <w:t>Nrf2/ARE antioxidant  pathway inducer</w:t>
            </w:r>
          </w:p>
        </w:tc>
        <w:tc>
          <w:tcPr>
            <w:tcW w:w="1418" w:type="dxa"/>
            <w:shd w:val="clear" w:color="auto" w:fill="F2F2F2" w:themeFill="background1" w:themeFillShade="F2"/>
            <w:noWrap/>
            <w:vAlign w:val="center"/>
          </w:tcPr>
          <w:p w:rsidR="008B20F6" w:rsidRPr="00117AB1" w:rsidRDefault="008B20F6" w:rsidP="009309C9">
            <w:pPr>
              <w:cnfStyle w:val="0000000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N171-82Q</w:t>
            </w:r>
          </w:p>
        </w:tc>
        <w:tc>
          <w:tcPr>
            <w:tcW w:w="2018" w:type="dxa"/>
            <w:tcBorders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8B20F6" w:rsidRPr="00117AB1" w:rsidRDefault="008B20F6" w:rsidP="009309C9">
            <w:pPr>
              <w:cnfStyle w:val="0000000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Stack et al. 2010</w:t>
            </w:r>
          </w:p>
        </w:tc>
      </w:tr>
      <w:tr w:rsidR="0059666E" w:rsidRPr="003F7878" w:rsidTr="009309C9">
        <w:trPr>
          <w:cnfStyle w:val="000000100000"/>
          <w:trHeight w:val="300"/>
        </w:trPr>
        <w:tc>
          <w:tcPr>
            <w:cnfStyle w:val="001000000000"/>
            <w:tcW w:w="2093" w:type="dxa"/>
            <w:tcBorders>
              <w:left w:val="single" w:sz="4" w:space="0" w:color="auto"/>
              <w:bottom w:val="none" w:sz="0" w:space="0" w:color="auto"/>
              <w:right w:val="none" w:sz="0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59666E" w:rsidRPr="00117AB1" w:rsidRDefault="0059666E" w:rsidP="0059666E">
            <w:pPr>
              <w:rPr>
                <w:b w:val="0"/>
                <w:color w:val="auto"/>
                <w:sz w:val="18"/>
                <w:szCs w:val="18"/>
                <w:lang w:val="en-US"/>
              </w:rPr>
            </w:pPr>
            <w:r w:rsidRPr="00117AB1">
              <w:rPr>
                <w:b w:val="0"/>
                <w:color w:val="auto"/>
                <w:sz w:val="18"/>
                <w:szCs w:val="18"/>
                <w:lang w:val="en-US"/>
              </w:rPr>
              <w:t>Mitochondrial dysfunction</w:t>
            </w:r>
          </w:p>
        </w:tc>
        <w:tc>
          <w:tcPr>
            <w:tcW w:w="2551" w:type="dxa"/>
            <w:noWrap/>
            <w:vAlign w:val="center"/>
          </w:tcPr>
          <w:p w:rsidR="0059666E" w:rsidRPr="00117AB1" w:rsidRDefault="0059666E" w:rsidP="009309C9">
            <w:pPr>
              <w:cnfStyle w:val="000000100000"/>
              <w:rPr>
                <w:bCs/>
                <w:sz w:val="18"/>
                <w:szCs w:val="18"/>
                <w:lang w:val="en-US"/>
              </w:rPr>
            </w:pPr>
            <w:r w:rsidRPr="00117AB1">
              <w:rPr>
                <w:bCs/>
                <w:sz w:val="18"/>
                <w:szCs w:val="18"/>
                <w:lang w:val="en-US"/>
              </w:rPr>
              <w:t>Gabapentin-lactam</w:t>
            </w:r>
          </w:p>
        </w:tc>
        <w:tc>
          <w:tcPr>
            <w:tcW w:w="2410" w:type="dxa"/>
            <w:noWrap/>
            <w:vAlign w:val="center"/>
          </w:tcPr>
          <w:p w:rsidR="0059666E" w:rsidRPr="00117AB1" w:rsidRDefault="0059666E" w:rsidP="009309C9">
            <w:pPr>
              <w:cnfStyle w:val="000000100000"/>
              <w:rPr>
                <w:bCs/>
                <w:sz w:val="18"/>
                <w:szCs w:val="18"/>
                <w:lang w:val="en-US"/>
              </w:rPr>
            </w:pPr>
            <w:r w:rsidRPr="00117AB1">
              <w:rPr>
                <w:bCs/>
                <w:sz w:val="18"/>
                <w:szCs w:val="18"/>
                <w:lang w:val="en-US"/>
              </w:rPr>
              <w:t>Mitochondrial KATP agonist</w:t>
            </w:r>
          </w:p>
        </w:tc>
        <w:tc>
          <w:tcPr>
            <w:tcW w:w="1418" w:type="dxa"/>
            <w:noWrap/>
            <w:vAlign w:val="center"/>
          </w:tcPr>
          <w:p w:rsidR="0059666E" w:rsidRPr="00117AB1" w:rsidRDefault="0059666E" w:rsidP="009309C9">
            <w:pPr>
              <w:cnfStyle w:val="000000100000"/>
              <w:rPr>
                <w:bCs/>
                <w:sz w:val="18"/>
                <w:szCs w:val="18"/>
                <w:lang w:val="en-US"/>
              </w:rPr>
            </w:pPr>
            <w:r w:rsidRPr="00117AB1">
              <w:rPr>
                <w:bCs/>
                <w:sz w:val="18"/>
                <w:szCs w:val="18"/>
                <w:lang w:val="en-US"/>
              </w:rPr>
              <w:t>R6/2</w:t>
            </w:r>
          </w:p>
        </w:tc>
        <w:tc>
          <w:tcPr>
            <w:tcW w:w="2018" w:type="dxa"/>
            <w:tcBorders>
              <w:right w:val="single" w:sz="4" w:space="0" w:color="auto"/>
            </w:tcBorders>
            <w:noWrap/>
            <w:vAlign w:val="center"/>
          </w:tcPr>
          <w:p w:rsidR="0059666E" w:rsidRPr="00117AB1" w:rsidRDefault="0059666E" w:rsidP="009309C9">
            <w:pPr>
              <w:cnfStyle w:val="000000100000"/>
              <w:rPr>
                <w:bCs/>
                <w:sz w:val="18"/>
                <w:szCs w:val="18"/>
                <w:lang w:val="en-US"/>
              </w:rPr>
            </w:pPr>
            <w:proofErr w:type="spellStart"/>
            <w:r w:rsidRPr="00117AB1">
              <w:rPr>
                <w:bCs/>
                <w:sz w:val="18"/>
                <w:szCs w:val="18"/>
                <w:lang w:val="en-US"/>
              </w:rPr>
              <w:t>Zucker</w:t>
            </w:r>
            <w:proofErr w:type="spellEnd"/>
            <w:r w:rsidRPr="00117AB1">
              <w:rPr>
                <w:bCs/>
                <w:sz w:val="18"/>
                <w:szCs w:val="18"/>
                <w:lang w:val="en-US"/>
              </w:rPr>
              <w:t xml:space="preserve"> et al. 2004</w:t>
            </w:r>
          </w:p>
        </w:tc>
      </w:tr>
      <w:tr w:rsidR="0059666E" w:rsidRPr="003F7878" w:rsidTr="009309C9">
        <w:trPr>
          <w:trHeight w:val="300"/>
        </w:trPr>
        <w:tc>
          <w:tcPr>
            <w:cnfStyle w:val="001000000000"/>
            <w:tcW w:w="2093" w:type="dxa"/>
            <w:tcBorders>
              <w:left w:val="single" w:sz="4" w:space="0" w:color="auto"/>
              <w:bottom w:val="none" w:sz="0" w:space="0" w:color="auto"/>
              <w:right w:val="none" w:sz="0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59666E" w:rsidRPr="00117AB1" w:rsidRDefault="0059666E" w:rsidP="0059666E">
            <w:pPr>
              <w:rPr>
                <w:b w:val="0"/>
                <w:color w:val="auto"/>
                <w:sz w:val="18"/>
                <w:szCs w:val="18"/>
                <w:lang w:val="en-US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  <w:noWrap/>
            <w:vAlign w:val="center"/>
          </w:tcPr>
          <w:p w:rsidR="0059666E" w:rsidRPr="00117AB1" w:rsidRDefault="0059666E" w:rsidP="009309C9">
            <w:pPr>
              <w:cnfStyle w:val="000000000000"/>
              <w:rPr>
                <w:bCs/>
                <w:sz w:val="18"/>
                <w:szCs w:val="18"/>
                <w:lang w:val="en-US"/>
              </w:rPr>
            </w:pPr>
            <w:proofErr w:type="spellStart"/>
            <w:r w:rsidRPr="00117AB1">
              <w:rPr>
                <w:bCs/>
                <w:sz w:val="18"/>
                <w:szCs w:val="18"/>
                <w:lang w:val="en-US"/>
              </w:rPr>
              <w:t>CypD</w:t>
            </w:r>
            <w:proofErr w:type="spellEnd"/>
            <w:r w:rsidRPr="00117AB1">
              <w:rPr>
                <w:bCs/>
                <w:sz w:val="18"/>
                <w:szCs w:val="18"/>
                <w:lang w:val="en-US"/>
              </w:rPr>
              <w:t xml:space="preserve"> depletion</w:t>
            </w:r>
          </w:p>
        </w:tc>
        <w:tc>
          <w:tcPr>
            <w:tcW w:w="2410" w:type="dxa"/>
            <w:shd w:val="clear" w:color="auto" w:fill="F2F2F2" w:themeFill="background1" w:themeFillShade="F2"/>
            <w:noWrap/>
            <w:vAlign w:val="center"/>
          </w:tcPr>
          <w:p w:rsidR="0059666E" w:rsidRPr="00117AB1" w:rsidRDefault="0059666E" w:rsidP="009309C9">
            <w:pPr>
              <w:cnfStyle w:val="000000000000"/>
              <w:rPr>
                <w:bCs/>
                <w:sz w:val="18"/>
                <w:szCs w:val="18"/>
                <w:lang w:val="en-US"/>
              </w:rPr>
            </w:pPr>
            <w:r w:rsidRPr="00117AB1">
              <w:rPr>
                <w:bCs/>
                <w:sz w:val="18"/>
                <w:szCs w:val="18"/>
                <w:lang w:val="en-US"/>
              </w:rPr>
              <w:t>regulator of mitochondrial Ca2+-loading capacity</w:t>
            </w:r>
          </w:p>
        </w:tc>
        <w:tc>
          <w:tcPr>
            <w:tcW w:w="1418" w:type="dxa"/>
            <w:shd w:val="clear" w:color="auto" w:fill="F2F2F2" w:themeFill="background1" w:themeFillShade="F2"/>
            <w:noWrap/>
            <w:vAlign w:val="center"/>
          </w:tcPr>
          <w:p w:rsidR="0059666E" w:rsidRPr="00117AB1" w:rsidRDefault="0059666E" w:rsidP="009309C9">
            <w:pPr>
              <w:cnfStyle w:val="0000000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R6/2</w:t>
            </w:r>
          </w:p>
        </w:tc>
        <w:tc>
          <w:tcPr>
            <w:tcW w:w="2018" w:type="dxa"/>
            <w:tcBorders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59666E" w:rsidRPr="00117AB1" w:rsidRDefault="0059666E" w:rsidP="009309C9">
            <w:pPr>
              <w:cnfStyle w:val="0000000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Perry et al. 2010</w:t>
            </w:r>
          </w:p>
        </w:tc>
      </w:tr>
      <w:tr w:rsidR="0059666E" w:rsidRPr="003F7878" w:rsidTr="001A4C6C">
        <w:trPr>
          <w:cnfStyle w:val="000000100000"/>
          <w:trHeight w:val="300"/>
        </w:trPr>
        <w:tc>
          <w:tcPr>
            <w:cnfStyle w:val="001000000000"/>
            <w:tcW w:w="2093" w:type="dxa"/>
            <w:tcBorders>
              <w:left w:val="single" w:sz="4" w:space="0" w:color="auto"/>
              <w:bottom w:val="none" w:sz="0" w:space="0" w:color="auto"/>
              <w:right w:val="none" w:sz="0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59666E" w:rsidRPr="00117AB1" w:rsidRDefault="0059666E" w:rsidP="0059666E">
            <w:pPr>
              <w:rPr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551" w:type="dxa"/>
            <w:noWrap/>
            <w:vAlign w:val="center"/>
          </w:tcPr>
          <w:p w:rsidR="0059666E" w:rsidRPr="00117AB1" w:rsidRDefault="0059666E" w:rsidP="009309C9">
            <w:pPr>
              <w:cnfStyle w:val="0000001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Nortriptyline</w:t>
            </w:r>
          </w:p>
        </w:tc>
        <w:tc>
          <w:tcPr>
            <w:tcW w:w="2410" w:type="dxa"/>
            <w:noWrap/>
            <w:vAlign w:val="center"/>
          </w:tcPr>
          <w:p w:rsidR="0059666E" w:rsidRPr="00117AB1" w:rsidRDefault="0059666E" w:rsidP="009309C9">
            <w:pPr>
              <w:cnfStyle w:val="000000100000"/>
              <w:rPr>
                <w:bCs/>
                <w:sz w:val="18"/>
                <w:szCs w:val="18"/>
                <w:lang w:val="en-US"/>
              </w:rPr>
            </w:pPr>
            <w:r w:rsidRPr="00117AB1">
              <w:rPr>
                <w:bCs/>
                <w:sz w:val="18"/>
                <w:szCs w:val="18"/>
                <w:lang w:val="en-US"/>
              </w:rPr>
              <w:t>mitochondrial permeability transition (</w:t>
            </w:r>
            <w:proofErr w:type="spellStart"/>
            <w:r w:rsidRPr="00117AB1">
              <w:rPr>
                <w:bCs/>
                <w:sz w:val="18"/>
                <w:szCs w:val="18"/>
                <w:lang w:val="en-US"/>
              </w:rPr>
              <w:t>mPT</w:t>
            </w:r>
            <w:proofErr w:type="spellEnd"/>
            <w:r w:rsidRPr="00117AB1">
              <w:rPr>
                <w:bCs/>
                <w:sz w:val="18"/>
                <w:szCs w:val="18"/>
                <w:lang w:val="en-US"/>
              </w:rPr>
              <w:t>) inhibitor</w:t>
            </w:r>
          </w:p>
        </w:tc>
        <w:tc>
          <w:tcPr>
            <w:tcW w:w="1418" w:type="dxa"/>
            <w:noWrap/>
            <w:vAlign w:val="center"/>
          </w:tcPr>
          <w:p w:rsidR="0059666E" w:rsidRPr="00117AB1" w:rsidRDefault="0059666E" w:rsidP="009309C9">
            <w:pPr>
              <w:cnfStyle w:val="0000001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R6/2</w:t>
            </w:r>
          </w:p>
        </w:tc>
        <w:tc>
          <w:tcPr>
            <w:tcW w:w="2018" w:type="dxa"/>
            <w:tcBorders>
              <w:right w:val="single" w:sz="4" w:space="0" w:color="auto"/>
            </w:tcBorders>
            <w:noWrap/>
            <w:vAlign w:val="center"/>
          </w:tcPr>
          <w:p w:rsidR="0059666E" w:rsidRPr="00117AB1" w:rsidRDefault="0059666E" w:rsidP="009309C9">
            <w:pPr>
              <w:cnfStyle w:val="0000001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Wang et al. 2007</w:t>
            </w:r>
          </w:p>
        </w:tc>
      </w:tr>
      <w:tr w:rsidR="000D3B94" w:rsidRPr="000D3B94" w:rsidTr="001A4C6C">
        <w:trPr>
          <w:trHeight w:val="300"/>
        </w:trPr>
        <w:tc>
          <w:tcPr>
            <w:cnfStyle w:val="001000000000"/>
            <w:tcW w:w="2093" w:type="dxa"/>
            <w:tcBorders>
              <w:lef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0D3B94" w:rsidRPr="00117AB1" w:rsidRDefault="000D3B94" w:rsidP="000D3B94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  <w:noWrap/>
            <w:vAlign w:val="center"/>
          </w:tcPr>
          <w:p w:rsidR="000D3B94" w:rsidRPr="00117AB1" w:rsidRDefault="000D3B94" w:rsidP="000D3B94">
            <w:pPr>
              <w:cnfStyle w:val="000000000000"/>
              <w:rPr>
                <w:bCs/>
                <w:sz w:val="18"/>
                <w:szCs w:val="18"/>
              </w:rPr>
            </w:pPr>
            <w:r w:rsidRPr="001A4C6C">
              <w:rPr>
                <w:bCs/>
                <w:sz w:val="18"/>
                <w:szCs w:val="18"/>
              </w:rPr>
              <w:t>Irs2 depletion</w:t>
            </w:r>
          </w:p>
        </w:tc>
        <w:tc>
          <w:tcPr>
            <w:tcW w:w="2410" w:type="dxa"/>
            <w:shd w:val="clear" w:color="auto" w:fill="D9D9D9" w:themeFill="background1" w:themeFillShade="D9"/>
            <w:noWrap/>
            <w:vAlign w:val="center"/>
          </w:tcPr>
          <w:p w:rsidR="000D3B94" w:rsidRPr="00117AB1" w:rsidRDefault="000D3B94" w:rsidP="000D3B94">
            <w:pPr>
              <w:cnfStyle w:val="000000000000"/>
              <w:rPr>
                <w:bCs/>
                <w:sz w:val="18"/>
                <w:szCs w:val="18"/>
                <w:lang w:val="en-US"/>
              </w:rPr>
            </w:pPr>
            <w:r w:rsidRPr="000D3B94">
              <w:rPr>
                <w:bCs/>
                <w:sz w:val="18"/>
                <w:szCs w:val="18"/>
                <w:lang w:val="en-US"/>
              </w:rPr>
              <w:t xml:space="preserve">Insulin/IGF signaling cascade </w:t>
            </w:r>
            <w:proofErr w:type="spellStart"/>
            <w:r w:rsidRPr="000D3B94">
              <w:rPr>
                <w:bCs/>
                <w:sz w:val="18"/>
                <w:szCs w:val="18"/>
                <w:lang w:val="en-US"/>
              </w:rPr>
              <w:t>componenet</w:t>
            </w:r>
            <w:proofErr w:type="spellEnd"/>
          </w:p>
        </w:tc>
        <w:tc>
          <w:tcPr>
            <w:tcW w:w="1418" w:type="dxa"/>
            <w:shd w:val="clear" w:color="auto" w:fill="D9D9D9" w:themeFill="background1" w:themeFillShade="D9"/>
            <w:noWrap/>
            <w:vAlign w:val="center"/>
          </w:tcPr>
          <w:p w:rsidR="000D3B94" w:rsidRPr="00117AB1" w:rsidRDefault="000D3B94" w:rsidP="000D3B94">
            <w:pPr>
              <w:cnfStyle w:val="0000000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R6/2</w:t>
            </w:r>
          </w:p>
        </w:tc>
        <w:tc>
          <w:tcPr>
            <w:tcW w:w="2018" w:type="dxa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0D3B94" w:rsidRPr="000D3B94" w:rsidRDefault="000D3B94" w:rsidP="000D3B94">
            <w:pPr>
              <w:cnfStyle w:val="000000000000"/>
              <w:rPr>
                <w:bCs/>
                <w:sz w:val="18"/>
                <w:szCs w:val="18"/>
                <w:lang w:val="en-US"/>
              </w:rPr>
            </w:pPr>
            <w:proofErr w:type="spellStart"/>
            <w:r w:rsidRPr="000D3B94">
              <w:rPr>
                <w:bCs/>
                <w:sz w:val="18"/>
                <w:szCs w:val="18"/>
                <w:lang w:val="en-US"/>
              </w:rPr>
              <w:t>Sadagurski</w:t>
            </w:r>
            <w:proofErr w:type="spellEnd"/>
            <w:r>
              <w:rPr>
                <w:bCs/>
                <w:sz w:val="18"/>
                <w:szCs w:val="18"/>
                <w:lang w:val="en-US"/>
              </w:rPr>
              <w:t xml:space="preserve"> et al. 2011</w:t>
            </w:r>
          </w:p>
        </w:tc>
      </w:tr>
      <w:tr w:rsidR="000D3B94" w:rsidRPr="00EA6EA1" w:rsidTr="001A4C6C">
        <w:trPr>
          <w:cnfStyle w:val="000000100000"/>
          <w:trHeight w:val="300"/>
        </w:trPr>
        <w:tc>
          <w:tcPr>
            <w:cnfStyle w:val="001000000000"/>
            <w:tcW w:w="2093" w:type="dxa"/>
            <w:tcBorders>
              <w:left w:val="single" w:sz="4" w:space="0" w:color="auto"/>
              <w:bottom w:val="none" w:sz="0" w:space="0" w:color="auto"/>
              <w:right w:val="none" w:sz="0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0D3B94" w:rsidRPr="000D3B94" w:rsidRDefault="000D3B94" w:rsidP="000D3B94">
            <w:pPr>
              <w:rPr>
                <w:b w:val="0"/>
                <w:color w:val="auto"/>
                <w:sz w:val="18"/>
                <w:szCs w:val="18"/>
                <w:lang w:val="en-US"/>
              </w:rPr>
            </w:pPr>
            <w:r w:rsidRPr="000D3B94">
              <w:rPr>
                <w:b w:val="0"/>
                <w:color w:val="auto"/>
                <w:sz w:val="18"/>
                <w:szCs w:val="18"/>
                <w:lang w:val="en-US"/>
              </w:rPr>
              <w:t>Mitochondrial dysfunction/ energy metabolism</w:t>
            </w:r>
          </w:p>
        </w:tc>
        <w:tc>
          <w:tcPr>
            <w:tcW w:w="2551" w:type="dxa"/>
            <w:shd w:val="clear" w:color="auto" w:fill="F2F2F2" w:themeFill="background1" w:themeFillShade="F2"/>
            <w:noWrap/>
            <w:vAlign w:val="center"/>
          </w:tcPr>
          <w:p w:rsidR="000D3B94" w:rsidRPr="000D3B94" w:rsidRDefault="000D3B94" w:rsidP="000D3B94">
            <w:pPr>
              <w:cnfStyle w:val="000000100000"/>
              <w:rPr>
                <w:bCs/>
                <w:sz w:val="18"/>
                <w:szCs w:val="18"/>
                <w:lang w:val="en-US"/>
              </w:rPr>
            </w:pPr>
            <w:proofErr w:type="spellStart"/>
            <w:r w:rsidRPr="000D3B94">
              <w:rPr>
                <w:bCs/>
                <w:sz w:val="18"/>
                <w:szCs w:val="18"/>
                <w:lang w:val="en-US"/>
              </w:rPr>
              <w:t>Creatine</w:t>
            </w:r>
            <w:proofErr w:type="spellEnd"/>
          </w:p>
        </w:tc>
        <w:tc>
          <w:tcPr>
            <w:tcW w:w="2410" w:type="dxa"/>
            <w:shd w:val="clear" w:color="auto" w:fill="F2F2F2" w:themeFill="background1" w:themeFillShade="F2"/>
            <w:noWrap/>
            <w:vAlign w:val="center"/>
          </w:tcPr>
          <w:p w:rsidR="000D3B94" w:rsidRPr="000D3B94" w:rsidRDefault="000D3B94" w:rsidP="000D3B94">
            <w:pPr>
              <w:cnfStyle w:val="000000100000"/>
              <w:rPr>
                <w:bCs/>
                <w:sz w:val="18"/>
                <w:szCs w:val="18"/>
                <w:lang w:val="en-US"/>
              </w:rPr>
            </w:pPr>
            <w:r w:rsidRPr="000D3B94">
              <w:rPr>
                <w:bCs/>
                <w:sz w:val="18"/>
                <w:szCs w:val="18"/>
                <w:lang w:val="en-US"/>
              </w:rPr>
              <w:t xml:space="preserve">Energy </w:t>
            </w:r>
            <w:proofErr w:type="spellStart"/>
            <w:r w:rsidRPr="000D3B94">
              <w:rPr>
                <w:bCs/>
                <w:sz w:val="18"/>
                <w:szCs w:val="18"/>
                <w:lang w:val="en-US"/>
              </w:rPr>
              <w:t>suplier</w:t>
            </w:r>
            <w:proofErr w:type="spellEnd"/>
          </w:p>
        </w:tc>
        <w:tc>
          <w:tcPr>
            <w:tcW w:w="1418" w:type="dxa"/>
            <w:shd w:val="clear" w:color="auto" w:fill="F2F2F2" w:themeFill="background1" w:themeFillShade="F2"/>
            <w:noWrap/>
            <w:vAlign w:val="center"/>
          </w:tcPr>
          <w:p w:rsidR="000D3B94" w:rsidRPr="000D3B94" w:rsidRDefault="000D3B94" w:rsidP="000D3B94">
            <w:pPr>
              <w:cnfStyle w:val="000000100000"/>
              <w:rPr>
                <w:bCs/>
                <w:sz w:val="18"/>
                <w:szCs w:val="18"/>
                <w:lang w:val="en-US"/>
              </w:rPr>
            </w:pPr>
            <w:r w:rsidRPr="000D3B94">
              <w:rPr>
                <w:bCs/>
                <w:sz w:val="18"/>
                <w:szCs w:val="18"/>
                <w:lang w:val="en-US"/>
              </w:rPr>
              <w:t>N171-82Q; R6/2</w:t>
            </w:r>
          </w:p>
        </w:tc>
        <w:tc>
          <w:tcPr>
            <w:tcW w:w="2018" w:type="dxa"/>
            <w:tcBorders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0D3B94" w:rsidRPr="00117AB1" w:rsidRDefault="000D3B94" w:rsidP="000D3B94">
            <w:pPr>
              <w:cnfStyle w:val="000000100000"/>
              <w:rPr>
                <w:bCs/>
                <w:sz w:val="18"/>
                <w:szCs w:val="18"/>
                <w:lang w:val="en-US"/>
              </w:rPr>
            </w:pPr>
            <w:proofErr w:type="spellStart"/>
            <w:r w:rsidRPr="00117AB1">
              <w:rPr>
                <w:bCs/>
                <w:sz w:val="18"/>
                <w:szCs w:val="18"/>
                <w:lang w:val="en-US"/>
              </w:rPr>
              <w:t>Andreassen</w:t>
            </w:r>
            <w:proofErr w:type="spellEnd"/>
            <w:r w:rsidRPr="00117AB1">
              <w:rPr>
                <w:bCs/>
                <w:sz w:val="18"/>
                <w:szCs w:val="18"/>
                <w:lang w:val="en-US"/>
              </w:rPr>
              <w:t xml:space="preserve"> et al. 2001; </w:t>
            </w:r>
            <w:proofErr w:type="spellStart"/>
            <w:r w:rsidRPr="00117AB1">
              <w:rPr>
                <w:bCs/>
                <w:sz w:val="18"/>
                <w:szCs w:val="18"/>
                <w:lang w:val="en-US"/>
              </w:rPr>
              <w:t>Dedeoglu</w:t>
            </w:r>
            <w:proofErr w:type="spellEnd"/>
            <w:r w:rsidRPr="00117AB1">
              <w:rPr>
                <w:bCs/>
                <w:sz w:val="18"/>
                <w:szCs w:val="18"/>
                <w:lang w:val="en-US"/>
              </w:rPr>
              <w:t xml:space="preserve"> et al. 2003; </w:t>
            </w:r>
            <w:proofErr w:type="spellStart"/>
            <w:r w:rsidRPr="00117AB1">
              <w:rPr>
                <w:bCs/>
                <w:sz w:val="18"/>
                <w:szCs w:val="18"/>
                <w:lang w:val="en-US"/>
              </w:rPr>
              <w:t>Ferrante</w:t>
            </w:r>
            <w:proofErr w:type="spellEnd"/>
            <w:r w:rsidRPr="00117AB1">
              <w:rPr>
                <w:bCs/>
                <w:sz w:val="18"/>
                <w:szCs w:val="18"/>
                <w:lang w:val="en-US"/>
              </w:rPr>
              <w:t xml:space="preserve"> et al. 2000</w:t>
            </w:r>
          </w:p>
        </w:tc>
      </w:tr>
      <w:tr w:rsidR="000D3B94" w:rsidRPr="003F7878" w:rsidTr="001A4C6C">
        <w:trPr>
          <w:trHeight w:val="300"/>
        </w:trPr>
        <w:tc>
          <w:tcPr>
            <w:cnfStyle w:val="001000000000"/>
            <w:tcW w:w="2093" w:type="dxa"/>
            <w:tcBorders>
              <w:left w:val="single" w:sz="4" w:space="0" w:color="auto"/>
              <w:bottom w:val="none" w:sz="0" w:space="0" w:color="auto"/>
              <w:right w:val="none" w:sz="0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0D3B94" w:rsidRPr="00117AB1" w:rsidRDefault="000D3B94" w:rsidP="000D3B94">
            <w:pPr>
              <w:rPr>
                <w:b w:val="0"/>
                <w:color w:val="auto"/>
                <w:sz w:val="18"/>
                <w:szCs w:val="18"/>
                <w:lang w:val="en-US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  <w:noWrap/>
            <w:vAlign w:val="center"/>
          </w:tcPr>
          <w:p w:rsidR="000D3B94" w:rsidRPr="00117AB1" w:rsidRDefault="000D3B94" w:rsidP="000D3B94">
            <w:pPr>
              <w:cnfStyle w:val="0000000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Dichloroacetate</w:t>
            </w:r>
          </w:p>
        </w:tc>
        <w:tc>
          <w:tcPr>
            <w:tcW w:w="2410" w:type="dxa"/>
            <w:shd w:val="clear" w:color="auto" w:fill="D9D9D9" w:themeFill="background1" w:themeFillShade="D9"/>
            <w:noWrap/>
            <w:vAlign w:val="center"/>
          </w:tcPr>
          <w:p w:rsidR="000D3B94" w:rsidRPr="00117AB1" w:rsidRDefault="000D3B94" w:rsidP="000D3B94">
            <w:pPr>
              <w:cnfStyle w:val="0000000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PDC kinase inhibitor</w:t>
            </w:r>
          </w:p>
        </w:tc>
        <w:tc>
          <w:tcPr>
            <w:tcW w:w="1418" w:type="dxa"/>
            <w:shd w:val="clear" w:color="auto" w:fill="D9D9D9" w:themeFill="background1" w:themeFillShade="D9"/>
            <w:noWrap/>
            <w:vAlign w:val="center"/>
          </w:tcPr>
          <w:p w:rsidR="000D3B94" w:rsidRPr="00117AB1" w:rsidRDefault="000D3B94" w:rsidP="000D3B94">
            <w:pPr>
              <w:cnfStyle w:val="0000000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R6/2;</w:t>
            </w:r>
          </w:p>
          <w:p w:rsidR="000D3B94" w:rsidRPr="00117AB1" w:rsidRDefault="000D3B94" w:rsidP="000D3B94">
            <w:pPr>
              <w:cnfStyle w:val="0000000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N171-82Q</w:t>
            </w:r>
          </w:p>
        </w:tc>
        <w:tc>
          <w:tcPr>
            <w:tcW w:w="2018" w:type="dxa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0D3B94" w:rsidRPr="00117AB1" w:rsidRDefault="000D3B94" w:rsidP="000D3B94">
            <w:pPr>
              <w:cnfStyle w:val="0000000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Andreassen et al. 2001</w:t>
            </w:r>
          </w:p>
        </w:tc>
      </w:tr>
      <w:tr w:rsidR="000D3B94" w:rsidRPr="003F7878" w:rsidTr="001A4C6C">
        <w:trPr>
          <w:cnfStyle w:val="000000100000"/>
          <w:trHeight w:val="300"/>
        </w:trPr>
        <w:tc>
          <w:tcPr>
            <w:cnfStyle w:val="001000000000"/>
            <w:tcW w:w="2093" w:type="dxa"/>
            <w:tcBorders>
              <w:left w:val="single" w:sz="4" w:space="0" w:color="auto"/>
              <w:bottom w:val="none" w:sz="0" w:space="0" w:color="auto"/>
              <w:right w:val="none" w:sz="0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0D3B94" w:rsidRPr="00117AB1" w:rsidRDefault="000D3B94" w:rsidP="000D3B94">
            <w:pPr>
              <w:rPr>
                <w:b w:val="0"/>
                <w:color w:val="auto"/>
                <w:sz w:val="18"/>
                <w:szCs w:val="18"/>
                <w:lang w:val="en-US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  <w:noWrap/>
            <w:vAlign w:val="center"/>
          </w:tcPr>
          <w:p w:rsidR="000D3B94" w:rsidRPr="00117AB1" w:rsidRDefault="000D3B94" w:rsidP="000D3B94">
            <w:pPr>
              <w:cnfStyle w:val="0000001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Lipoic acid</w:t>
            </w:r>
          </w:p>
        </w:tc>
        <w:tc>
          <w:tcPr>
            <w:tcW w:w="2410" w:type="dxa"/>
            <w:shd w:val="clear" w:color="auto" w:fill="F2F2F2" w:themeFill="background1" w:themeFillShade="F2"/>
            <w:noWrap/>
            <w:vAlign w:val="center"/>
          </w:tcPr>
          <w:p w:rsidR="000D3B94" w:rsidRPr="00117AB1" w:rsidRDefault="000D3B94" w:rsidP="000D3B94">
            <w:pPr>
              <w:cnfStyle w:val="000000100000"/>
              <w:rPr>
                <w:bCs/>
                <w:sz w:val="18"/>
                <w:szCs w:val="18"/>
                <w:lang w:val="en-US"/>
              </w:rPr>
            </w:pPr>
            <w:r w:rsidRPr="00117AB1">
              <w:rPr>
                <w:bCs/>
                <w:sz w:val="18"/>
                <w:szCs w:val="18"/>
                <w:lang w:val="en-US"/>
              </w:rPr>
              <w:t xml:space="preserve">Free-radical scavenger, </w:t>
            </w:r>
            <w:proofErr w:type="spellStart"/>
            <w:r w:rsidRPr="00117AB1">
              <w:rPr>
                <w:bCs/>
                <w:sz w:val="18"/>
                <w:szCs w:val="18"/>
                <w:lang w:val="en-US"/>
              </w:rPr>
              <w:t>Pyruvate</w:t>
            </w:r>
            <w:proofErr w:type="spellEnd"/>
            <w:r w:rsidRPr="00117AB1">
              <w:rPr>
                <w:bCs/>
                <w:sz w:val="18"/>
                <w:szCs w:val="18"/>
                <w:lang w:val="en-US"/>
              </w:rPr>
              <w:t xml:space="preserve"> and a-</w:t>
            </w:r>
            <w:proofErr w:type="spellStart"/>
            <w:r w:rsidRPr="00117AB1">
              <w:rPr>
                <w:bCs/>
                <w:sz w:val="18"/>
                <w:szCs w:val="18"/>
                <w:lang w:val="en-US"/>
              </w:rPr>
              <w:t>ketoglutarate</w:t>
            </w:r>
            <w:proofErr w:type="spellEnd"/>
            <w:r w:rsidRPr="00117AB1">
              <w:rPr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17AB1">
              <w:rPr>
                <w:bCs/>
                <w:sz w:val="18"/>
                <w:szCs w:val="18"/>
                <w:lang w:val="en-US"/>
              </w:rPr>
              <w:t>dehygrogenaze</w:t>
            </w:r>
            <w:proofErr w:type="spellEnd"/>
            <w:r w:rsidRPr="00117AB1">
              <w:rPr>
                <w:bCs/>
                <w:sz w:val="18"/>
                <w:szCs w:val="18"/>
                <w:lang w:val="en-US"/>
              </w:rPr>
              <w:t xml:space="preserve"> co-factor</w:t>
            </w:r>
          </w:p>
        </w:tc>
        <w:tc>
          <w:tcPr>
            <w:tcW w:w="1418" w:type="dxa"/>
            <w:shd w:val="clear" w:color="auto" w:fill="F2F2F2" w:themeFill="background1" w:themeFillShade="F2"/>
            <w:noWrap/>
            <w:vAlign w:val="center"/>
          </w:tcPr>
          <w:p w:rsidR="000D3B94" w:rsidRPr="00117AB1" w:rsidRDefault="000D3B94" w:rsidP="000D3B94">
            <w:pPr>
              <w:cnfStyle w:val="0000001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R6/2; N171-82Q</w:t>
            </w:r>
          </w:p>
        </w:tc>
        <w:tc>
          <w:tcPr>
            <w:tcW w:w="2018" w:type="dxa"/>
            <w:tcBorders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0D3B94" w:rsidRPr="00117AB1" w:rsidRDefault="000D3B94" w:rsidP="000D3B94">
            <w:pPr>
              <w:cnfStyle w:val="0000001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Andreassen et al. 2001</w:t>
            </w:r>
          </w:p>
        </w:tc>
      </w:tr>
      <w:tr w:rsidR="000D3B94" w:rsidRPr="003F7878" w:rsidTr="001A4C6C">
        <w:trPr>
          <w:trHeight w:val="300"/>
        </w:trPr>
        <w:tc>
          <w:tcPr>
            <w:cnfStyle w:val="001000000000"/>
            <w:tcW w:w="2093" w:type="dxa"/>
            <w:tcBorders>
              <w:left w:val="single" w:sz="4" w:space="0" w:color="auto"/>
              <w:bottom w:val="none" w:sz="0" w:space="0" w:color="auto"/>
              <w:right w:val="none" w:sz="0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0D3B94" w:rsidRPr="00117AB1" w:rsidRDefault="000D3B94" w:rsidP="000D3B94">
            <w:pPr>
              <w:rPr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  <w:noWrap/>
            <w:vAlign w:val="center"/>
          </w:tcPr>
          <w:p w:rsidR="000D3B94" w:rsidRPr="00117AB1" w:rsidRDefault="000D3B94" w:rsidP="000D3B94">
            <w:pPr>
              <w:cnfStyle w:val="0000000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Dietary restriction</w:t>
            </w:r>
          </w:p>
        </w:tc>
        <w:tc>
          <w:tcPr>
            <w:tcW w:w="2410" w:type="dxa"/>
            <w:shd w:val="clear" w:color="auto" w:fill="D9D9D9" w:themeFill="background1" w:themeFillShade="D9"/>
            <w:noWrap/>
            <w:vAlign w:val="center"/>
          </w:tcPr>
          <w:p w:rsidR="000D3B94" w:rsidRPr="00117AB1" w:rsidRDefault="000D3B94" w:rsidP="000D3B94">
            <w:pPr>
              <w:cnfStyle w:val="0000000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Intermittent fasting</w:t>
            </w:r>
          </w:p>
        </w:tc>
        <w:tc>
          <w:tcPr>
            <w:tcW w:w="1418" w:type="dxa"/>
            <w:shd w:val="clear" w:color="auto" w:fill="D9D9D9" w:themeFill="background1" w:themeFillShade="D9"/>
            <w:noWrap/>
            <w:vAlign w:val="center"/>
          </w:tcPr>
          <w:p w:rsidR="000D3B94" w:rsidRPr="00117AB1" w:rsidRDefault="000D3B94" w:rsidP="000D3B94">
            <w:pPr>
              <w:cnfStyle w:val="0000000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N171-82Q</w:t>
            </w:r>
          </w:p>
        </w:tc>
        <w:tc>
          <w:tcPr>
            <w:tcW w:w="2018" w:type="dxa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0D3B94" w:rsidRPr="00117AB1" w:rsidRDefault="000D3B94" w:rsidP="000D3B94">
            <w:pPr>
              <w:cnfStyle w:val="0000000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Duan et al. 2003</w:t>
            </w:r>
          </w:p>
        </w:tc>
      </w:tr>
      <w:tr w:rsidR="000D3B94" w:rsidRPr="003F7878" w:rsidTr="001A4C6C">
        <w:trPr>
          <w:cnfStyle w:val="000000100000"/>
          <w:trHeight w:val="300"/>
        </w:trPr>
        <w:tc>
          <w:tcPr>
            <w:cnfStyle w:val="001000000000"/>
            <w:tcW w:w="2093" w:type="dxa"/>
            <w:tcBorders>
              <w:left w:val="single" w:sz="4" w:space="0" w:color="auto"/>
              <w:bottom w:val="none" w:sz="0" w:space="0" w:color="auto"/>
              <w:right w:val="none" w:sz="0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0D3B94" w:rsidRPr="00117AB1" w:rsidRDefault="000D3B94" w:rsidP="000D3B94">
            <w:pPr>
              <w:rPr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  <w:noWrap/>
            <w:vAlign w:val="center"/>
          </w:tcPr>
          <w:p w:rsidR="000D3B94" w:rsidRPr="00117AB1" w:rsidRDefault="000D3B94" w:rsidP="000D3B94">
            <w:pPr>
              <w:cnfStyle w:val="0000001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Optimization of Feeding Regimes</w:t>
            </w:r>
          </w:p>
        </w:tc>
        <w:tc>
          <w:tcPr>
            <w:tcW w:w="2410" w:type="dxa"/>
            <w:shd w:val="clear" w:color="auto" w:fill="F2F2F2" w:themeFill="background1" w:themeFillShade="F2"/>
            <w:noWrap/>
            <w:vAlign w:val="center"/>
          </w:tcPr>
          <w:p w:rsidR="000D3B94" w:rsidRPr="00117AB1" w:rsidRDefault="000D3B94" w:rsidP="000D3B94">
            <w:pPr>
              <w:cnfStyle w:val="0000001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enhanced diet</w:t>
            </w:r>
          </w:p>
        </w:tc>
        <w:tc>
          <w:tcPr>
            <w:tcW w:w="1418" w:type="dxa"/>
            <w:shd w:val="clear" w:color="auto" w:fill="F2F2F2" w:themeFill="background1" w:themeFillShade="F2"/>
            <w:noWrap/>
            <w:vAlign w:val="center"/>
          </w:tcPr>
          <w:p w:rsidR="000D3B94" w:rsidRPr="00117AB1" w:rsidRDefault="000D3B94" w:rsidP="000D3B94">
            <w:pPr>
              <w:cnfStyle w:val="0000001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R6/2</w:t>
            </w:r>
          </w:p>
        </w:tc>
        <w:tc>
          <w:tcPr>
            <w:tcW w:w="2018" w:type="dxa"/>
            <w:tcBorders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0D3B94" w:rsidRPr="00117AB1" w:rsidRDefault="000D3B94" w:rsidP="000D3B94">
            <w:pPr>
              <w:cnfStyle w:val="0000001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Carter et al. 2000</w:t>
            </w:r>
          </w:p>
        </w:tc>
      </w:tr>
      <w:tr w:rsidR="000D3B94" w:rsidRPr="003F7878" w:rsidTr="001A4C6C">
        <w:trPr>
          <w:trHeight w:val="300"/>
        </w:trPr>
        <w:tc>
          <w:tcPr>
            <w:cnfStyle w:val="001000000000"/>
            <w:tcW w:w="2093" w:type="dxa"/>
            <w:tcBorders>
              <w:left w:val="single" w:sz="4" w:space="0" w:color="auto"/>
              <w:bottom w:val="none" w:sz="0" w:space="0" w:color="auto"/>
              <w:right w:val="none" w:sz="0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0D3B94" w:rsidRPr="00117AB1" w:rsidRDefault="000D3B94" w:rsidP="000D3B94">
            <w:pPr>
              <w:rPr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  <w:noWrap/>
            <w:vAlign w:val="center"/>
          </w:tcPr>
          <w:p w:rsidR="000D3B94" w:rsidRPr="00117AB1" w:rsidRDefault="000D3B94" w:rsidP="000D3B94">
            <w:pPr>
              <w:cnfStyle w:val="0000000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thiazolidinedione (TZD)</w:t>
            </w:r>
          </w:p>
        </w:tc>
        <w:tc>
          <w:tcPr>
            <w:tcW w:w="2410" w:type="dxa"/>
            <w:shd w:val="clear" w:color="auto" w:fill="D9D9D9" w:themeFill="background1" w:themeFillShade="D9"/>
            <w:noWrap/>
            <w:vAlign w:val="center"/>
          </w:tcPr>
          <w:p w:rsidR="000D3B94" w:rsidRPr="00117AB1" w:rsidRDefault="000D3B94" w:rsidP="000D3B94">
            <w:pPr>
              <w:cnfStyle w:val="0000000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PPARgamma agonist</w:t>
            </w:r>
          </w:p>
        </w:tc>
        <w:tc>
          <w:tcPr>
            <w:tcW w:w="1418" w:type="dxa"/>
            <w:shd w:val="clear" w:color="auto" w:fill="D9D9D9" w:themeFill="background1" w:themeFillShade="D9"/>
            <w:noWrap/>
            <w:vAlign w:val="center"/>
          </w:tcPr>
          <w:p w:rsidR="000D3B94" w:rsidRPr="00117AB1" w:rsidRDefault="000D3B94" w:rsidP="000D3B94">
            <w:pPr>
              <w:cnfStyle w:val="0000000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R6/2</w:t>
            </w:r>
          </w:p>
        </w:tc>
        <w:tc>
          <w:tcPr>
            <w:tcW w:w="2018" w:type="dxa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0D3B94" w:rsidRPr="00117AB1" w:rsidRDefault="000D3B94" w:rsidP="000D3B94">
            <w:pPr>
              <w:cnfStyle w:val="0000000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Chiang et al. 2010</w:t>
            </w:r>
          </w:p>
        </w:tc>
      </w:tr>
      <w:tr w:rsidR="000D3B94" w:rsidRPr="003F7878" w:rsidTr="001A4C6C">
        <w:trPr>
          <w:cnfStyle w:val="000000100000"/>
          <w:trHeight w:val="300"/>
        </w:trPr>
        <w:tc>
          <w:tcPr>
            <w:cnfStyle w:val="001000000000"/>
            <w:tcW w:w="2093" w:type="dxa"/>
            <w:tcBorders>
              <w:left w:val="single" w:sz="4" w:space="0" w:color="auto"/>
              <w:bottom w:val="none" w:sz="0" w:space="0" w:color="auto"/>
              <w:right w:val="none" w:sz="0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0D3B94" w:rsidRPr="00117AB1" w:rsidRDefault="000D3B94" w:rsidP="000D3B94">
            <w:pPr>
              <w:rPr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  <w:noWrap/>
            <w:vAlign w:val="center"/>
          </w:tcPr>
          <w:p w:rsidR="000D3B94" w:rsidRPr="00117AB1" w:rsidRDefault="000D3B94" w:rsidP="000D3B94">
            <w:pPr>
              <w:cnfStyle w:val="0000001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PN401</w:t>
            </w:r>
          </w:p>
        </w:tc>
        <w:tc>
          <w:tcPr>
            <w:tcW w:w="2410" w:type="dxa"/>
            <w:shd w:val="clear" w:color="auto" w:fill="F2F2F2" w:themeFill="background1" w:themeFillShade="F2"/>
            <w:noWrap/>
            <w:vAlign w:val="center"/>
          </w:tcPr>
          <w:p w:rsidR="000D3B94" w:rsidRPr="00117AB1" w:rsidRDefault="000D3B94" w:rsidP="000D3B94">
            <w:pPr>
              <w:cnfStyle w:val="0000001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Uridine prodrug</w:t>
            </w:r>
          </w:p>
        </w:tc>
        <w:tc>
          <w:tcPr>
            <w:tcW w:w="1418" w:type="dxa"/>
            <w:shd w:val="clear" w:color="auto" w:fill="F2F2F2" w:themeFill="background1" w:themeFillShade="F2"/>
            <w:noWrap/>
            <w:vAlign w:val="center"/>
          </w:tcPr>
          <w:p w:rsidR="000D3B94" w:rsidRPr="00117AB1" w:rsidRDefault="000D3B94" w:rsidP="000D3B94">
            <w:pPr>
              <w:cnfStyle w:val="0000001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R6/2;</w:t>
            </w:r>
          </w:p>
          <w:p w:rsidR="000D3B94" w:rsidRPr="00117AB1" w:rsidRDefault="000D3B94" w:rsidP="000D3B94">
            <w:pPr>
              <w:cnfStyle w:val="0000001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N171-82Q</w:t>
            </w:r>
          </w:p>
        </w:tc>
        <w:tc>
          <w:tcPr>
            <w:tcW w:w="2018" w:type="dxa"/>
            <w:tcBorders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0D3B94" w:rsidRPr="00117AB1" w:rsidRDefault="000D3B94" w:rsidP="000D3B94">
            <w:pPr>
              <w:cnfStyle w:val="0000001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Saydoff et al. 2006</w:t>
            </w:r>
          </w:p>
        </w:tc>
      </w:tr>
      <w:tr w:rsidR="000D3B94" w:rsidRPr="003F7878" w:rsidTr="001A4C6C">
        <w:trPr>
          <w:trHeight w:val="300"/>
        </w:trPr>
        <w:tc>
          <w:tcPr>
            <w:cnfStyle w:val="001000000000"/>
            <w:tcW w:w="2093" w:type="dxa"/>
            <w:tcBorders>
              <w:left w:val="single" w:sz="4" w:space="0" w:color="auto"/>
              <w:bottom w:val="none" w:sz="0" w:space="0" w:color="auto"/>
              <w:right w:val="none" w:sz="0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0D3B94" w:rsidRPr="00117AB1" w:rsidRDefault="000D3B94" w:rsidP="000D3B94">
            <w:pPr>
              <w:rPr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  <w:noWrap/>
            <w:vAlign w:val="center"/>
          </w:tcPr>
          <w:p w:rsidR="000D3B94" w:rsidRPr="00117AB1" w:rsidRDefault="000D3B94" w:rsidP="000D3B94">
            <w:pPr>
              <w:cnfStyle w:val="0000000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SRT501-M</w:t>
            </w:r>
          </w:p>
        </w:tc>
        <w:tc>
          <w:tcPr>
            <w:tcW w:w="2410" w:type="dxa"/>
            <w:shd w:val="clear" w:color="auto" w:fill="D9D9D9" w:themeFill="background1" w:themeFillShade="D9"/>
            <w:noWrap/>
            <w:vAlign w:val="center"/>
          </w:tcPr>
          <w:p w:rsidR="000D3B94" w:rsidRPr="00117AB1" w:rsidRDefault="000D3B94" w:rsidP="000D3B94">
            <w:pPr>
              <w:cnfStyle w:val="0000000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SIRT1 activator</w:t>
            </w:r>
          </w:p>
        </w:tc>
        <w:tc>
          <w:tcPr>
            <w:tcW w:w="1418" w:type="dxa"/>
            <w:shd w:val="clear" w:color="auto" w:fill="D9D9D9" w:themeFill="background1" w:themeFillShade="D9"/>
            <w:noWrap/>
            <w:vAlign w:val="center"/>
          </w:tcPr>
          <w:p w:rsidR="000D3B94" w:rsidRPr="00117AB1" w:rsidRDefault="000D3B94" w:rsidP="000D3B94">
            <w:pPr>
              <w:cnfStyle w:val="0000000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N171-82Q</w:t>
            </w:r>
          </w:p>
        </w:tc>
        <w:tc>
          <w:tcPr>
            <w:tcW w:w="2018" w:type="dxa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0D3B94" w:rsidRPr="00117AB1" w:rsidRDefault="000D3B94" w:rsidP="000D3B94">
            <w:pPr>
              <w:cnfStyle w:val="0000000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Ho et al. 2010</w:t>
            </w:r>
          </w:p>
        </w:tc>
      </w:tr>
      <w:tr w:rsidR="000D3B94" w:rsidRPr="003F7878" w:rsidTr="001A4C6C">
        <w:trPr>
          <w:cnfStyle w:val="000000100000"/>
          <w:trHeight w:val="300"/>
        </w:trPr>
        <w:tc>
          <w:tcPr>
            <w:cnfStyle w:val="001000000000"/>
            <w:tcW w:w="2093" w:type="dxa"/>
            <w:tcBorders>
              <w:left w:val="single" w:sz="4" w:space="0" w:color="auto"/>
              <w:bottom w:val="none" w:sz="0" w:space="0" w:color="auto"/>
              <w:right w:val="none" w:sz="0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0D3B94" w:rsidRPr="00117AB1" w:rsidRDefault="000D3B94" w:rsidP="000D3B94">
            <w:pPr>
              <w:rPr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  <w:noWrap/>
            <w:vAlign w:val="center"/>
          </w:tcPr>
          <w:p w:rsidR="000D3B94" w:rsidRPr="00117AB1" w:rsidRDefault="000D3B94" w:rsidP="000D3B94">
            <w:pPr>
              <w:cnfStyle w:val="0000001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Nicotinamide (NAM)</w:t>
            </w:r>
          </w:p>
        </w:tc>
        <w:tc>
          <w:tcPr>
            <w:tcW w:w="2410" w:type="dxa"/>
            <w:shd w:val="clear" w:color="auto" w:fill="F2F2F2" w:themeFill="background1" w:themeFillShade="F2"/>
            <w:noWrap/>
            <w:vAlign w:val="center"/>
          </w:tcPr>
          <w:p w:rsidR="000D3B94" w:rsidRPr="00117AB1" w:rsidRDefault="000D3B94" w:rsidP="000D3B94">
            <w:pPr>
              <w:cnfStyle w:val="0000001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SIRT1 inhibitor</w:t>
            </w:r>
          </w:p>
        </w:tc>
        <w:tc>
          <w:tcPr>
            <w:tcW w:w="1418" w:type="dxa"/>
            <w:shd w:val="clear" w:color="auto" w:fill="F2F2F2" w:themeFill="background1" w:themeFillShade="F2"/>
            <w:noWrap/>
            <w:vAlign w:val="center"/>
          </w:tcPr>
          <w:p w:rsidR="000D3B94" w:rsidRPr="00117AB1" w:rsidRDefault="000D3B94" w:rsidP="000D3B94">
            <w:pPr>
              <w:cnfStyle w:val="0000001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R6/2</w:t>
            </w:r>
          </w:p>
        </w:tc>
        <w:tc>
          <w:tcPr>
            <w:tcW w:w="2018" w:type="dxa"/>
            <w:tcBorders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0D3B94" w:rsidRPr="00117AB1" w:rsidRDefault="000D3B94" w:rsidP="000D3B94">
            <w:pPr>
              <w:cnfStyle w:val="0000001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Hathorn et al. 2011</w:t>
            </w:r>
          </w:p>
        </w:tc>
      </w:tr>
      <w:tr w:rsidR="000D3B94" w:rsidRPr="003F7878" w:rsidTr="001A4C6C">
        <w:trPr>
          <w:trHeight w:val="300"/>
        </w:trPr>
        <w:tc>
          <w:tcPr>
            <w:cnfStyle w:val="001000000000"/>
            <w:tcW w:w="2093" w:type="dxa"/>
            <w:tcBorders>
              <w:left w:val="single" w:sz="4" w:space="0" w:color="auto"/>
              <w:bottom w:val="none" w:sz="0" w:space="0" w:color="auto"/>
              <w:right w:val="none" w:sz="0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0D3B94" w:rsidRPr="00117AB1" w:rsidRDefault="000D3B94" w:rsidP="000D3B94">
            <w:pPr>
              <w:rPr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  <w:noWrap/>
            <w:vAlign w:val="center"/>
          </w:tcPr>
          <w:p w:rsidR="000D3B94" w:rsidRPr="00117AB1" w:rsidRDefault="000D3B94" w:rsidP="000D3B94">
            <w:pPr>
              <w:cnfStyle w:val="0000000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ketogenic diet (KD)</w:t>
            </w:r>
          </w:p>
        </w:tc>
        <w:tc>
          <w:tcPr>
            <w:tcW w:w="2410" w:type="dxa"/>
            <w:shd w:val="clear" w:color="auto" w:fill="D9D9D9" w:themeFill="background1" w:themeFillShade="D9"/>
            <w:noWrap/>
            <w:vAlign w:val="center"/>
          </w:tcPr>
          <w:p w:rsidR="000D3B94" w:rsidRPr="00117AB1" w:rsidRDefault="000D3B94" w:rsidP="000D3B94">
            <w:pPr>
              <w:cnfStyle w:val="0000000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cellular energy level enhancer</w:t>
            </w:r>
          </w:p>
        </w:tc>
        <w:tc>
          <w:tcPr>
            <w:tcW w:w="1418" w:type="dxa"/>
            <w:shd w:val="clear" w:color="auto" w:fill="D9D9D9" w:themeFill="background1" w:themeFillShade="D9"/>
            <w:noWrap/>
            <w:vAlign w:val="center"/>
          </w:tcPr>
          <w:p w:rsidR="000D3B94" w:rsidRPr="00117AB1" w:rsidRDefault="000D3B94" w:rsidP="000D3B94">
            <w:pPr>
              <w:cnfStyle w:val="0000000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R6/2</w:t>
            </w:r>
          </w:p>
        </w:tc>
        <w:tc>
          <w:tcPr>
            <w:tcW w:w="2018" w:type="dxa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0D3B94" w:rsidRPr="00117AB1" w:rsidRDefault="000D3B94" w:rsidP="000D3B94">
            <w:pPr>
              <w:cnfStyle w:val="0000000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Ruskin et al. 2011</w:t>
            </w:r>
          </w:p>
        </w:tc>
      </w:tr>
      <w:tr w:rsidR="000D3B94" w:rsidRPr="003F7878" w:rsidTr="00976B6F">
        <w:trPr>
          <w:cnfStyle w:val="000000100000"/>
          <w:trHeight w:val="300"/>
        </w:trPr>
        <w:tc>
          <w:tcPr>
            <w:cnfStyle w:val="001000000000"/>
            <w:tcW w:w="2093" w:type="dxa"/>
            <w:tcBorders>
              <w:left w:val="single" w:sz="4" w:space="0" w:color="auto"/>
              <w:bottom w:val="none" w:sz="0" w:space="0" w:color="auto"/>
              <w:right w:val="none" w:sz="0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0D3B94" w:rsidRPr="00117AB1" w:rsidRDefault="000D3B94" w:rsidP="000D3B94">
            <w:pPr>
              <w:rPr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  <w:noWrap/>
            <w:vAlign w:val="center"/>
          </w:tcPr>
          <w:p w:rsidR="000D3B94" w:rsidRPr="00117AB1" w:rsidRDefault="000D3B94" w:rsidP="000D3B94">
            <w:pPr>
              <w:cnfStyle w:val="0000001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PGC-1a</w:t>
            </w:r>
          </w:p>
        </w:tc>
        <w:tc>
          <w:tcPr>
            <w:tcW w:w="2410" w:type="dxa"/>
            <w:shd w:val="clear" w:color="auto" w:fill="F2F2F2" w:themeFill="background1" w:themeFillShade="F2"/>
            <w:noWrap/>
            <w:vAlign w:val="center"/>
          </w:tcPr>
          <w:p w:rsidR="000D3B94" w:rsidRPr="00117AB1" w:rsidRDefault="000D3B94" w:rsidP="000D3B94">
            <w:pPr>
              <w:cnfStyle w:val="0000001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transcriptional coactivator</w:t>
            </w:r>
          </w:p>
        </w:tc>
        <w:tc>
          <w:tcPr>
            <w:tcW w:w="1418" w:type="dxa"/>
            <w:shd w:val="clear" w:color="auto" w:fill="F2F2F2" w:themeFill="background1" w:themeFillShade="F2"/>
            <w:noWrap/>
            <w:vAlign w:val="center"/>
          </w:tcPr>
          <w:p w:rsidR="000D3B94" w:rsidRPr="00117AB1" w:rsidRDefault="000D3B94" w:rsidP="000D3B94">
            <w:pPr>
              <w:cnfStyle w:val="0000001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NLS-N171-82Q</w:t>
            </w:r>
          </w:p>
        </w:tc>
        <w:tc>
          <w:tcPr>
            <w:tcW w:w="2018" w:type="dxa"/>
            <w:tcBorders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0D3B94" w:rsidRPr="00117AB1" w:rsidRDefault="000D3B94" w:rsidP="000D3B94">
            <w:pPr>
              <w:cnfStyle w:val="0000001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Chaturvedi et al. 2009</w:t>
            </w:r>
          </w:p>
        </w:tc>
      </w:tr>
      <w:tr w:rsidR="000D3B94" w:rsidRPr="00EA6EA1" w:rsidTr="00496BFE">
        <w:trPr>
          <w:trHeight w:val="300"/>
        </w:trPr>
        <w:tc>
          <w:tcPr>
            <w:cnfStyle w:val="001000000000"/>
            <w:tcW w:w="2093" w:type="dxa"/>
            <w:tcBorders>
              <w:left w:val="single" w:sz="4" w:space="0" w:color="auto"/>
              <w:bottom w:val="none" w:sz="0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0D3B94" w:rsidRPr="00117AB1" w:rsidRDefault="000D3B94" w:rsidP="000D3B94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  <w:noWrap/>
            <w:vAlign w:val="center"/>
          </w:tcPr>
          <w:p w:rsidR="000D3B94" w:rsidRPr="00117AB1" w:rsidRDefault="000D3B94" w:rsidP="000D3B94">
            <w:pPr>
              <w:cnfStyle w:val="00000000000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Sirt1</w:t>
            </w:r>
          </w:p>
        </w:tc>
        <w:tc>
          <w:tcPr>
            <w:tcW w:w="2410" w:type="dxa"/>
            <w:shd w:val="clear" w:color="auto" w:fill="D9D9D9" w:themeFill="background1" w:themeFillShade="D9"/>
            <w:noWrap/>
            <w:vAlign w:val="center"/>
          </w:tcPr>
          <w:p w:rsidR="000D3B94" w:rsidRPr="00117AB1" w:rsidRDefault="000D3B94" w:rsidP="000D3B94">
            <w:pPr>
              <w:cnfStyle w:val="0000000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Transcriptional</w:t>
            </w:r>
            <w:r>
              <w:rPr>
                <w:bCs/>
                <w:sz w:val="18"/>
                <w:szCs w:val="18"/>
              </w:rPr>
              <w:t xml:space="preserve"> regulator</w:t>
            </w:r>
          </w:p>
        </w:tc>
        <w:tc>
          <w:tcPr>
            <w:tcW w:w="1418" w:type="dxa"/>
            <w:shd w:val="clear" w:color="auto" w:fill="D9D9D9" w:themeFill="background1" w:themeFillShade="D9"/>
            <w:noWrap/>
            <w:vAlign w:val="center"/>
          </w:tcPr>
          <w:p w:rsidR="000D3B94" w:rsidRPr="00117AB1" w:rsidRDefault="000D3B94" w:rsidP="000D3B94">
            <w:pPr>
              <w:cnfStyle w:val="0000000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N171-82Q</w:t>
            </w:r>
            <w:r>
              <w:rPr>
                <w:bCs/>
                <w:sz w:val="18"/>
                <w:szCs w:val="18"/>
              </w:rPr>
              <w:t>; BACHD</w:t>
            </w:r>
          </w:p>
        </w:tc>
        <w:tc>
          <w:tcPr>
            <w:tcW w:w="2018" w:type="dxa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0D3B94" w:rsidRDefault="000D3B94" w:rsidP="000D3B94">
            <w:pPr>
              <w:cnfStyle w:val="000000000000"/>
              <w:rPr>
                <w:bCs/>
                <w:sz w:val="18"/>
                <w:szCs w:val="18"/>
                <w:lang w:val="en-US"/>
              </w:rPr>
            </w:pPr>
            <w:proofErr w:type="spellStart"/>
            <w:r>
              <w:rPr>
                <w:bCs/>
                <w:sz w:val="18"/>
                <w:szCs w:val="18"/>
                <w:lang w:val="en-US"/>
              </w:rPr>
              <w:t>Jeong</w:t>
            </w:r>
            <w:proofErr w:type="spellEnd"/>
            <w:r>
              <w:rPr>
                <w:bCs/>
                <w:sz w:val="18"/>
                <w:szCs w:val="18"/>
                <w:lang w:val="en-US"/>
              </w:rPr>
              <w:t xml:space="preserve"> </w:t>
            </w:r>
            <w:r w:rsidRPr="00D23352">
              <w:rPr>
                <w:bCs/>
                <w:sz w:val="18"/>
                <w:szCs w:val="18"/>
                <w:lang w:val="en-US"/>
              </w:rPr>
              <w:t xml:space="preserve"> et al. </w:t>
            </w:r>
            <w:r>
              <w:rPr>
                <w:bCs/>
                <w:sz w:val="18"/>
                <w:szCs w:val="18"/>
                <w:lang w:val="en-US"/>
              </w:rPr>
              <w:t>2012</w:t>
            </w:r>
          </w:p>
          <w:p w:rsidR="000D3B94" w:rsidRPr="00D23352" w:rsidRDefault="000D3B94" w:rsidP="000D3B94">
            <w:pPr>
              <w:cnfStyle w:val="000000000000"/>
              <w:rPr>
                <w:bCs/>
                <w:sz w:val="18"/>
                <w:szCs w:val="18"/>
                <w:lang w:val="en-US"/>
              </w:rPr>
            </w:pPr>
            <w:r w:rsidRPr="00D23352">
              <w:rPr>
                <w:bCs/>
                <w:sz w:val="18"/>
                <w:szCs w:val="18"/>
                <w:lang w:val="en-US"/>
              </w:rPr>
              <w:t>Jiang</w:t>
            </w:r>
            <w:r>
              <w:rPr>
                <w:bCs/>
                <w:sz w:val="18"/>
                <w:szCs w:val="18"/>
                <w:lang w:val="en-US"/>
              </w:rPr>
              <w:t xml:space="preserve"> et al. 2012</w:t>
            </w:r>
          </w:p>
        </w:tc>
      </w:tr>
      <w:tr w:rsidR="000D3B94" w:rsidRPr="00D23352" w:rsidTr="00496BFE">
        <w:trPr>
          <w:cnfStyle w:val="000000100000"/>
          <w:trHeight w:val="300"/>
        </w:trPr>
        <w:tc>
          <w:tcPr>
            <w:cnfStyle w:val="001000000000"/>
            <w:tcW w:w="2093" w:type="dxa"/>
            <w:tcBorders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0D3B94" w:rsidRPr="003D058D" w:rsidRDefault="000D3B94" w:rsidP="000D3B94">
            <w:pPr>
              <w:rPr>
                <w:b w:val="0"/>
                <w:sz w:val="18"/>
                <w:szCs w:val="18"/>
                <w:lang w:val="en-US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0D3B94" w:rsidRDefault="000D3B94" w:rsidP="000D3B94">
            <w:pPr>
              <w:cnfStyle w:val="000000100000"/>
              <w:rPr>
                <w:bCs/>
                <w:sz w:val="18"/>
                <w:szCs w:val="18"/>
              </w:rPr>
            </w:pPr>
            <w:r w:rsidRPr="00496BFE">
              <w:rPr>
                <w:bCs/>
                <w:sz w:val="18"/>
                <w:szCs w:val="18"/>
              </w:rPr>
              <w:t>D-b-Hydroxybutyrate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0D3B94" w:rsidRPr="00117AB1" w:rsidRDefault="000D3B94" w:rsidP="000D3B94">
            <w:pPr>
              <w:cnfStyle w:val="000000100000"/>
              <w:rPr>
                <w:bCs/>
                <w:sz w:val="18"/>
                <w:szCs w:val="18"/>
              </w:rPr>
            </w:pPr>
            <w:r w:rsidRPr="00F54D16">
              <w:rPr>
                <w:bCs/>
                <w:sz w:val="18"/>
                <w:szCs w:val="18"/>
              </w:rPr>
              <w:t>Mitochondrial energizing ketone body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0D3B94" w:rsidRPr="00117AB1" w:rsidRDefault="000D3B94" w:rsidP="000D3B94">
            <w:pPr>
              <w:cnfStyle w:val="000000100000"/>
              <w:rPr>
                <w:bCs/>
                <w:sz w:val="18"/>
                <w:szCs w:val="18"/>
              </w:rPr>
            </w:pPr>
            <w:r w:rsidRPr="00117AB1">
              <w:rPr>
                <w:bCs/>
                <w:sz w:val="18"/>
                <w:szCs w:val="18"/>
              </w:rPr>
              <w:t>R6/2</w:t>
            </w:r>
          </w:p>
        </w:tc>
        <w:tc>
          <w:tcPr>
            <w:tcW w:w="201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0D3B94" w:rsidRDefault="000D3B94" w:rsidP="000D3B94">
            <w:pPr>
              <w:cnfStyle w:val="000000100000"/>
              <w:rPr>
                <w:bCs/>
                <w:sz w:val="18"/>
                <w:szCs w:val="18"/>
                <w:lang w:val="en-US"/>
              </w:rPr>
            </w:pPr>
            <w:r w:rsidRPr="00F54D16">
              <w:rPr>
                <w:bCs/>
                <w:sz w:val="18"/>
                <w:szCs w:val="18"/>
                <w:lang w:val="en-US"/>
              </w:rPr>
              <w:t>Lim</w:t>
            </w:r>
            <w:r>
              <w:rPr>
                <w:bCs/>
                <w:sz w:val="18"/>
                <w:szCs w:val="18"/>
                <w:lang w:val="en-US"/>
              </w:rPr>
              <w:t xml:space="preserve"> et al. 2011</w:t>
            </w:r>
          </w:p>
        </w:tc>
      </w:tr>
    </w:tbl>
    <w:p w:rsidR="00276343" w:rsidRDefault="00276343" w:rsidP="003F7878">
      <w:pPr>
        <w:spacing w:after="0" w:line="240" w:lineRule="auto"/>
        <w:rPr>
          <w:b/>
          <w:bCs/>
          <w:sz w:val="18"/>
          <w:szCs w:val="18"/>
          <w:lang w:val="en-US"/>
        </w:rPr>
      </w:pPr>
    </w:p>
    <w:sectPr w:rsidR="00276343" w:rsidSect="009309C9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17A81"/>
    <w:rsid w:val="00014773"/>
    <w:rsid w:val="000D3B94"/>
    <w:rsid w:val="000E7F3D"/>
    <w:rsid w:val="000F488F"/>
    <w:rsid w:val="00117AB1"/>
    <w:rsid w:val="0016290E"/>
    <w:rsid w:val="001A2E75"/>
    <w:rsid w:val="001A4C6C"/>
    <w:rsid w:val="001D1824"/>
    <w:rsid w:val="001E455B"/>
    <w:rsid w:val="001F7E57"/>
    <w:rsid w:val="00214B3A"/>
    <w:rsid w:val="00276343"/>
    <w:rsid w:val="00283C70"/>
    <w:rsid w:val="00293089"/>
    <w:rsid w:val="0029776C"/>
    <w:rsid w:val="002B0D8F"/>
    <w:rsid w:val="002B798B"/>
    <w:rsid w:val="002C5197"/>
    <w:rsid w:val="002C5F85"/>
    <w:rsid w:val="002D25DC"/>
    <w:rsid w:val="003006EB"/>
    <w:rsid w:val="003340E7"/>
    <w:rsid w:val="003904CC"/>
    <w:rsid w:val="00390F3E"/>
    <w:rsid w:val="003D058D"/>
    <w:rsid w:val="003D4D7C"/>
    <w:rsid w:val="003F7878"/>
    <w:rsid w:val="004253B4"/>
    <w:rsid w:val="00426B90"/>
    <w:rsid w:val="00445D9E"/>
    <w:rsid w:val="00464863"/>
    <w:rsid w:val="00496BFE"/>
    <w:rsid w:val="004A0513"/>
    <w:rsid w:val="004C7F53"/>
    <w:rsid w:val="005177DE"/>
    <w:rsid w:val="00531857"/>
    <w:rsid w:val="005440B2"/>
    <w:rsid w:val="00551930"/>
    <w:rsid w:val="00582398"/>
    <w:rsid w:val="0059666E"/>
    <w:rsid w:val="005D56FE"/>
    <w:rsid w:val="005E173A"/>
    <w:rsid w:val="006107B6"/>
    <w:rsid w:val="00642D04"/>
    <w:rsid w:val="006715AF"/>
    <w:rsid w:val="006829FE"/>
    <w:rsid w:val="006B2A4C"/>
    <w:rsid w:val="006B5A53"/>
    <w:rsid w:val="006D22C3"/>
    <w:rsid w:val="006F0B78"/>
    <w:rsid w:val="007556B5"/>
    <w:rsid w:val="0075713B"/>
    <w:rsid w:val="007619C7"/>
    <w:rsid w:val="007677DD"/>
    <w:rsid w:val="007768A1"/>
    <w:rsid w:val="007C7263"/>
    <w:rsid w:val="008114F9"/>
    <w:rsid w:val="00816076"/>
    <w:rsid w:val="00816425"/>
    <w:rsid w:val="00817A81"/>
    <w:rsid w:val="0084313D"/>
    <w:rsid w:val="008B20F6"/>
    <w:rsid w:val="008B65B1"/>
    <w:rsid w:val="009265EB"/>
    <w:rsid w:val="009309C9"/>
    <w:rsid w:val="00931F8F"/>
    <w:rsid w:val="00950BFF"/>
    <w:rsid w:val="009517F3"/>
    <w:rsid w:val="00976B6F"/>
    <w:rsid w:val="00985EF7"/>
    <w:rsid w:val="00990857"/>
    <w:rsid w:val="00995F5E"/>
    <w:rsid w:val="009A7AB4"/>
    <w:rsid w:val="009E5A82"/>
    <w:rsid w:val="009F42EF"/>
    <w:rsid w:val="00A0085C"/>
    <w:rsid w:val="00A1100A"/>
    <w:rsid w:val="00A46699"/>
    <w:rsid w:val="00AC33DF"/>
    <w:rsid w:val="00AE54DA"/>
    <w:rsid w:val="00B0220B"/>
    <w:rsid w:val="00B26C55"/>
    <w:rsid w:val="00B6539A"/>
    <w:rsid w:val="00B8618F"/>
    <w:rsid w:val="00BC4C63"/>
    <w:rsid w:val="00BD2B1F"/>
    <w:rsid w:val="00C02D75"/>
    <w:rsid w:val="00C84402"/>
    <w:rsid w:val="00CB46E0"/>
    <w:rsid w:val="00CC102E"/>
    <w:rsid w:val="00CC3F0E"/>
    <w:rsid w:val="00CE0BF4"/>
    <w:rsid w:val="00CF2235"/>
    <w:rsid w:val="00D23352"/>
    <w:rsid w:val="00D579EB"/>
    <w:rsid w:val="00DF1809"/>
    <w:rsid w:val="00E359DB"/>
    <w:rsid w:val="00EA6EA1"/>
    <w:rsid w:val="00EC47CF"/>
    <w:rsid w:val="00F420D1"/>
    <w:rsid w:val="00F434BB"/>
    <w:rsid w:val="00F54D16"/>
    <w:rsid w:val="00F93D9D"/>
    <w:rsid w:val="00FA2AA5"/>
    <w:rsid w:val="00FE13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15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17A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Shading1-Accent1">
    <w:name w:val="Medium Shading 1 Accent 1"/>
    <w:basedOn w:val="TableNormal"/>
    <w:uiPriority w:val="63"/>
    <w:rsid w:val="00817A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3F787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2">
    <w:name w:val="Medium Shading 2"/>
    <w:basedOn w:val="TableNormal"/>
    <w:uiPriority w:val="64"/>
    <w:rsid w:val="003F787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ghtShading">
    <w:name w:val="Light Shading"/>
    <w:basedOn w:val="TableNormal"/>
    <w:uiPriority w:val="60"/>
    <w:rsid w:val="007619C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5440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40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715A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17A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redniecieniowanie1akcent1">
    <w:name w:val="Medium Shading 1 Accent 1"/>
    <w:basedOn w:val="Standardowy"/>
    <w:uiPriority w:val="63"/>
    <w:rsid w:val="00817A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3F787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ecieniowanie2">
    <w:name w:val="Medium Shading 2"/>
    <w:basedOn w:val="Standardowy"/>
    <w:uiPriority w:val="64"/>
    <w:rsid w:val="003F787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Jasnecieniowanie">
    <w:name w:val="Light Shading"/>
    <w:basedOn w:val="Standardowy"/>
    <w:uiPriority w:val="60"/>
    <w:rsid w:val="007619C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5440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40B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81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8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7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1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3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9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7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1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4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C56BAB-D8D1-4FE8-AC38-8C957BD530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414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Maciej Figiel</dc:creator>
  <cp:lastModifiedBy>apacion</cp:lastModifiedBy>
  <cp:revision>2</cp:revision>
  <cp:lastPrinted>2011-06-02T15:57:00Z</cp:lastPrinted>
  <dcterms:created xsi:type="dcterms:W3CDTF">2012-08-02T17:15:00Z</dcterms:created>
  <dcterms:modified xsi:type="dcterms:W3CDTF">2012-08-02T17:15:00Z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Citation Style_1">
    <vt:lpwstr>http://www.zotero.org/styles/apa</vt:lpwstr>
  </property>
</Properties>
</file>