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C34BAD" w14:textId="42FE7C62" w:rsidR="00FE7002" w:rsidRPr="00EF4B22" w:rsidRDefault="00336979" w:rsidP="003F53EE">
      <w:pPr>
        <w:pStyle w:val="Subtitle"/>
      </w:pPr>
      <w:r w:rsidRPr="00EF4B22">
        <w:t>Supplementary Material</w:t>
      </w:r>
      <w:r w:rsidR="00413346">
        <w:t xml:space="preserve"> for:</w:t>
      </w:r>
    </w:p>
    <w:p w14:paraId="7B24F725" w14:textId="77777777" w:rsidR="00413346" w:rsidRPr="00497C50" w:rsidRDefault="00413346" w:rsidP="00413346">
      <w:pPr>
        <w:spacing w:line="480" w:lineRule="auto"/>
        <w:rPr>
          <w:sz w:val="24"/>
          <w:szCs w:val="24"/>
        </w:rPr>
      </w:pPr>
      <w:r>
        <w:rPr>
          <w:sz w:val="24"/>
          <w:szCs w:val="24"/>
        </w:rPr>
        <w:t>Exploration of s</w:t>
      </w:r>
      <w:r w:rsidRPr="00497C50">
        <w:rPr>
          <w:sz w:val="24"/>
          <w:szCs w:val="24"/>
        </w:rPr>
        <w:t>hared genetic architecture between subcortical brain volumes and Anorexia Nervosa</w:t>
      </w:r>
    </w:p>
    <w:p w14:paraId="542A41D9" w14:textId="50982705" w:rsidR="00413346" w:rsidRPr="00497C50" w:rsidRDefault="00413346" w:rsidP="00413346">
      <w:pPr>
        <w:spacing w:line="480" w:lineRule="auto"/>
        <w:rPr>
          <w:sz w:val="24"/>
          <w:szCs w:val="24"/>
        </w:rPr>
      </w:pPr>
      <w:r w:rsidRPr="00497C50">
        <w:rPr>
          <w:sz w:val="24"/>
          <w:szCs w:val="24"/>
        </w:rPr>
        <w:t>Walton E,</w:t>
      </w:r>
      <w:r w:rsidRPr="005C5241">
        <w:rPr>
          <w:sz w:val="24"/>
          <w:szCs w:val="24"/>
          <w:vertAlign w:val="superscript"/>
        </w:rPr>
        <w:t>1,2</w:t>
      </w:r>
      <w:r w:rsidRPr="00497C50">
        <w:rPr>
          <w:sz w:val="24"/>
          <w:szCs w:val="24"/>
        </w:rPr>
        <w:t xml:space="preserve"> </w:t>
      </w:r>
      <w:r>
        <w:rPr>
          <w:sz w:val="24"/>
          <w:szCs w:val="24"/>
        </w:rPr>
        <w:t>Hibar D,</w:t>
      </w:r>
      <w:r w:rsidRPr="005C5241">
        <w:rPr>
          <w:sz w:val="24"/>
          <w:szCs w:val="24"/>
          <w:vertAlign w:val="superscript"/>
        </w:rPr>
        <w:t>3,4</w:t>
      </w:r>
      <w:r>
        <w:rPr>
          <w:sz w:val="24"/>
          <w:szCs w:val="24"/>
        </w:rPr>
        <w:t xml:space="preserve"> Yilmaz Z,</w:t>
      </w:r>
      <w:r w:rsidRPr="001836CB">
        <w:rPr>
          <w:sz w:val="24"/>
          <w:szCs w:val="24"/>
          <w:vertAlign w:val="superscript"/>
        </w:rPr>
        <w:t>5</w:t>
      </w:r>
      <w:r>
        <w:rPr>
          <w:sz w:val="24"/>
          <w:szCs w:val="24"/>
        </w:rPr>
        <w:t xml:space="preserve"> J</w:t>
      </w:r>
      <w:r w:rsidRPr="0024375E">
        <w:rPr>
          <w:sz w:val="24"/>
          <w:szCs w:val="24"/>
        </w:rPr>
        <w:t>ahanshad</w:t>
      </w:r>
      <w:r>
        <w:rPr>
          <w:sz w:val="24"/>
          <w:szCs w:val="24"/>
        </w:rPr>
        <w:t xml:space="preserve"> N,</w:t>
      </w:r>
      <w:r w:rsidRPr="005C5241">
        <w:rPr>
          <w:sz w:val="24"/>
          <w:szCs w:val="24"/>
          <w:vertAlign w:val="superscript"/>
        </w:rPr>
        <w:t>3</w:t>
      </w:r>
      <w:r>
        <w:rPr>
          <w:sz w:val="24"/>
          <w:szCs w:val="24"/>
        </w:rPr>
        <w:t xml:space="preserve"> Cheung J,</w:t>
      </w:r>
      <w:r w:rsidRPr="005C5241">
        <w:rPr>
          <w:sz w:val="24"/>
          <w:szCs w:val="24"/>
          <w:vertAlign w:val="superscript"/>
        </w:rPr>
        <w:t>3</w:t>
      </w:r>
      <w:r>
        <w:rPr>
          <w:sz w:val="24"/>
          <w:szCs w:val="24"/>
        </w:rPr>
        <w:t xml:space="preserve"> </w:t>
      </w:r>
      <w:r w:rsidR="003F53EE" w:rsidRPr="003F53EE">
        <w:rPr>
          <w:b/>
          <w:sz w:val="24"/>
          <w:szCs w:val="24"/>
        </w:rPr>
        <w:t>Batury</w:t>
      </w:r>
      <w:r w:rsidR="003F53EE">
        <w:rPr>
          <w:sz w:val="24"/>
          <w:szCs w:val="24"/>
        </w:rPr>
        <w:t xml:space="preserve"> </w:t>
      </w:r>
      <w:r>
        <w:rPr>
          <w:sz w:val="24"/>
          <w:szCs w:val="24"/>
        </w:rPr>
        <w:t>VL,</w:t>
      </w:r>
      <w:r w:rsidRPr="005C5241">
        <w:rPr>
          <w:sz w:val="24"/>
          <w:szCs w:val="24"/>
          <w:vertAlign w:val="superscript"/>
        </w:rPr>
        <w:t>2</w:t>
      </w:r>
      <w:r>
        <w:rPr>
          <w:sz w:val="24"/>
          <w:szCs w:val="24"/>
        </w:rPr>
        <w:t xml:space="preserve"> Seitz J,</w:t>
      </w:r>
      <w:r>
        <w:rPr>
          <w:sz w:val="24"/>
          <w:szCs w:val="24"/>
          <w:vertAlign w:val="superscript"/>
        </w:rPr>
        <w:t>6</w:t>
      </w:r>
      <w:r>
        <w:rPr>
          <w:sz w:val="24"/>
          <w:szCs w:val="24"/>
        </w:rPr>
        <w:t xml:space="preserve"> Bulik C,</w:t>
      </w:r>
      <w:r>
        <w:rPr>
          <w:sz w:val="24"/>
          <w:szCs w:val="24"/>
          <w:vertAlign w:val="superscript"/>
        </w:rPr>
        <w:t>5</w:t>
      </w:r>
      <w:r w:rsidRPr="005C5241">
        <w:rPr>
          <w:sz w:val="24"/>
          <w:szCs w:val="24"/>
          <w:vertAlign w:val="superscript"/>
        </w:rPr>
        <w:t>,7,8</w:t>
      </w:r>
      <w:r>
        <w:rPr>
          <w:sz w:val="24"/>
          <w:szCs w:val="24"/>
        </w:rPr>
        <w:t>, PGC-ED, ENIGMA Genetics Working Group, Thompson PM,</w:t>
      </w:r>
      <w:r w:rsidRPr="005C5241">
        <w:rPr>
          <w:sz w:val="24"/>
          <w:szCs w:val="24"/>
          <w:vertAlign w:val="superscript"/>
        </w:rPr>
        <w:t>3</w:t>
      </w:r>
      <w:r>
        <w:rPr>
          <w:sz w:val="24"/>
          <w:szCs w:val="24"/>
        </w:rPr>
        <w:t xml:space="preserve"> </w:t>
      </w:r>
      <w:r w:rsidRPr="00497C50">
        <w:rPr>
          <w:sz w:val="24"/>
          <w:szCs w:val="24"/>
        </w:rPr>
        <w:t>Ehrlich S</w:t>
      </w:r>
      <w:r w:rsidRPr="005C5241">
        <w:rPr>
          <w:sz w:val="24"/>
          <w:szCs w:val="24"/>
          <w:vertAlign w:val="superscript"/>
        </w:rPr>
        <w:t>2*</w:t>
      </w:r>
    </w:p>
    <w:p w14:paraId="742D01F6" w14:textId="77777777" w:rsidR="00413346" w:rsidRDefault="00413346" w:rsidP="00413346">
      <w:pPr>
        <w:spacing w:line="480" w:lineRule="auto"/>
        <w:rPr>
          <w:sz w:val="24"/>
          <w:szCs w:val="24"/>
        </w:rPr>
      </w:pPr>
    </w:p>
    <w:p w14:paraId="7DB13C4A" w14:textId="77777777" w:rsidR="00413346" w:rsidRDefault="00413346" w:rsidP="00413346">
      <w:pPr>
        <w:spacing w:line="480" w:lineRule="auto"/>
        <w:rPr>
          <w:sz w:val="24"/>
          <w:szCs w:val="24"/>
        </w:rPr>
      </w:pPr>
      <w:r w:rsidRPr="00670508">
        <w:rPr>
          <w:sz w:val="24"/>
          <w:szCs w:val="24"/>
          <w:vertAlign w:val="superscript"/>
        </w:rPr>
        <w:t>1</w:t>
      </w:r>
      <w:r>
        <w:rPr>
          <w:sz w:val="24"/>
          <w:szCs w:val="24"/>
        </w:rPr>
        <w:t xml:space="preserve"> </w:t>
      </w:r>
      <w:r w:rsidRPr="005C5241">
        <w:rPr>
          <w:sz w:val="24"/>
          <w:szCs w:val="24"/>
        </w:rPr>
        <w:t>MRC Integrative Epidemiology Unit, Population Health Sciences, Bristol Medical School, University of Bristol, Bristol, United Kingdom</w:t>
      </w:r>
    </w:p>
    <w:p w14:paraId="1362E1E4" w14:textId="77777777" w:rsidR="00413346" w:rsidRPr="00AA5B96" w:rsidRDefault="00413346" w:rsidP="00413346">
      <w:pPr>
        <w:spacing w:line="480" w:lineRule="auto"/>
        <w:rPr>
          <w:sz w:val="24"/>
          <w:szCs w:val="24"/>
        </w:rPr>
      </w:pPr>
      <w:r w:rsidRPr="00670508">
        <w:rPr>
          <w:sz w:val="24"/>
          <w:szCs w:val="24"/>
          <w:vertAlign w:val="superscript"/>
        </w:rPr>
        <w:t>2</w:t>
      </w:r>
      <w:r>
        <w:rPr>
          <w:sz w:val="24"/>
          <w:szCs w:val="24"/>
        </w:rPr>
        <w:t xml:space="preserve"> </w:t>
      </w:r>
      <w:r w:rsidRPr="00AA5B96">
        <w:rPr>
          <w:sz w:val="24"/>
          <w:szCs w:val="24"/>
        </w:rPr>
        <w:t>Division of Psychological and Social Medicine and Developmental Neurosciences, Faculty of</w:t>
      </w:r>
    </w:p>
    <w:p w14:paraId="538096CF" w14:textId="77777777" w:rsidR="00413346" w:rsidRDefault="00413346" w:rsidP="00413346">
      <w:pPr>
        <w:spacing w:line="480" w:lineRule="auto"/>
        <w:rPr>
          <w:sz w:val="24"/>
          <w:szCs w:val="24"/>
        </w:rPr>
      </w:pPr>
      <w:r w:rsidRPr="00AA5B96">
        <w:rPr>
          <w:sz w:val="24"/>
          <w:szCs w:val="24"/>
        </w:rPr>
        <w:t>Medicine, TU Dresden, Germany, Dresden, Germany</w:t>
      </w:r>
    </w:p>
    <w:p w14:paraId="072658C5" w14:textId="77777777" w:rsidR="00413346" w:rsidRPr="00AA5B96" w:rsidRDefault="00413346" w:rsidP="00413346">
      <w:pPr>
        <w:spacing w:line="480" w:lineRule="auto"/>
        <w:rPr>
          <w:sz w:val="24"/>
          <w:szCs w:val="24"/>
        </w:rPr>
      </w:pPr>
      <w:r w:rsidRPr="00670508">
        <w:rPr>
          <w:sz w:val="24"/>
          <w:szCs w:val="24"/>
          <w:vertAlign w:val="superscript"/>
        </w:rPr>
        <w:t>3</w:t>
      </w:r>
      <w:r>
        <w:rPr>
          <w:sz w:val="24"/>
          <w:szCs w:val="24"/>
        </w:rPr>
        <w:t xml:space="preserve"> </w:t>
      </w:r>
      <w:r w:rsidRPr="00AA5B96">
        <w:rPr>
          <w:sz w:val="24"/>
          <w:szCs w:val="24"/>
        </w:rPr>
        <w:t>Imaging Genetics Center, Mark and Mary Stevens Neuroimaging &amp; Informatics Institute, Keck</w:t>
      </w:r>
    </w:p>
    <w:p w14:paraId="652841AD" w14:textId="77777777" w:rsidR="00413346" w:rsidRPr="00AA5B96" w:rsidRDefault="00413346" w:rsidP="00413346">
      <w:pPr>
        <w:spacing w:line="480" w:lineRule="auto"/>
        <w:rPr>
          <w:sz w:val="24"/>
          <w:szCs w:val="24"/>
        </w:rPr>
      </w:pPr>
      <w:r w:rsidRPr="00AA5B96">
        <w:rPr>
          <w:sz w:val="24"/>
          <w:szCs w:val="24"/>
        </w:rPr>
        <w:t>School of Medicine of the University of Southern California, Marina del Rey, CA, USA</w:t>
      </w:r>
    </w:p>
    <w:p w14:paraId="546C67F5" w14:textId="77777777" w:rsidR="00413346" w:rsidRDefault="00413346" w:rsidP="00413346">
      <w:pPr>
        <w:spacing w:line="480" w:lineRule="auto"/>
        <w:rPr>
          <w:sz w:val="24"/>
          <w:szCs w:val="24"/>
        </w:rPr>
      </w:pPr>
      <w:r w:rsidRPr="00670508">
        <w:rPr>
          <w:sz w:val="24"/>
          <w:szCs w:val="24"/>
          <w:vertAlign w:val="superscript"/>
        </w:rPr>
        <w:t xml:space="preserve">4 </w:t>
      </w:r>
      <w:r w:rsidRPr="00AA5B96">
        <w:rPr>
          <w:sz w:val="24"/>
          <w:szCs w:val="24"/>
        </w:rPr>
        <w:t>Janssen Research &amp; Development, San Diego, CA, USA</w:t>
      </w:r>
    </w:p>
    <w:p w14:paraId="5DDD013C" w14:textId="77777777" w:rsidR="00413346" w:rsidRDefault="00413346" w:rsidP="00413346">
      <w:pPr>
        <w:spacing w:line="480" w:lineRule="auto"/>
        <w:rPr>
          <w:sz w:val="24"/>
          <w:szCs w:val="24"/>
        </w:rPr>
      </w:pPr>
      <w:r w:rsidRPr="00670508">
        <w:rPr>
          <w:sz w:val="24"/>
          <w:szCs w:val="24"/>
          <w:vertAlign w:val="superscript"/>
        </w:rPr>
        <w:t>5</w:t>
      </w:r>
      <w:r>
        <w:rPr>
          <w:sz w:val="24"/>
          <w:szCs w:val="24"/>
        </w:rPr>
        <w:t xml:space="preserve"> </w:t>
      </w:r>
      <w:r w:rsidRPr="005C5241">
        <w:rPr>
          <w:sz w:val="24"/>
          <w:szCs w:val="24"/>
        </w:rPr>
        <w:t>Department of Psychiatry, University of North Carolina at Chapel Hi</w:t>
      </w:r>
      <w:r>
        <w:rPr>
          <w:sz w:val="24"/>
          <w:szCs w:val="24"/>
        </w:rPr>
        <w:t>ll, Chapel Hill, North Carolina</w:t>
      </w:r>
    </w:p>
    <w:p w14:paraId="028555D5" w14:textId="77777777" w:rsidR="00413346" w:rsidRDefault="00413346" w:rsidP="00413346">
      <w:pPr>
        <w:spacing w:line="480" w:lineRule="auto"/>
        <w:rPr>
          <w:sz w:val="24"/>
          <w:szCs w:val="24"/>
        </w:rPr>
      </w:pPr>
      <w:r w:rsidRPr="00670508">
        <w:rPr>
          <w:sz w:val="24"/>
          <w:szCs w:val="24"/>
          <w:vertAlign w:val="superscript"/>
        </w:rPr>
        <w:t>6</w:t>
      </w:r>
      <w:r>
        <w:rPr>
          <w:sz w:val="24"/>
          <w:szCs w:val="24"/>
        </w:rPr>
        <w:t xml:space="preserve"> </w:t>
      </w:r>
      <w:r w:rsidRPr="005C5241">
        <w:rPr>
          <w:sz w:val="24"/>
          <w:szCs w:val="24"/>
        </w:rPr>
        <w:t xml:space="preserve">Department of Child and Adolescent Psychiatry, </w:t>
      </w:r>
      <w:r w:rsidRPr="000D2B4A">
        <w:rPr>
          <w:sz w:val="24"/>
          <w:szCs w:val="24"/>
        </w:rPr>
        <w:t>Psychotherapy and Psychosomatics</w:t>
      </w:r>
      <w:r>
        <w:rPr>
          <w:sz w:val="24"/>
          <w:szCs w:val="24"/>
        </w:rPr>
        <w:t xml:space="preserve">, </w:t>
      </w:r>
      <w:r w:rsidRPr="005C5241">
        <w:rPr>
          <w:sz w:val="24"/>
          <w:szCs w:val="24"/>
        </w:rPr>
        <w:t>University H</w:t>
      </w:r>
      <w:r>
        <w:rPr>
          <w:sz w:val="24"/>
          <w:szCs w:val="24"/>
        </w:rPr>
        <w:t>ospital RWTH University Aachen, Aachen, Germany</w:t>
      </w:r>
    </w:p>
    <w:p w14:paraId="503A8998" w14:textId="77777777" w:rsidR="00413346" w:rsidRPr="005C5241" w:rsidRDefault="00413346" w:rsidP="00413346">
      <w:pPr>
        <w:spacing w:line="480" w:lineRule="auto"/>
        <w:rPr>
          <w:sz w:val="24"/>
          <w:szCs w:val="24"/>
        </w:rPr>
      </w:pPr>
      <w:r w:rsidRPr="00670508">
        <w:rPr>
          <w:sz w:val="24"/>
          <w:szCs w:val="24"/>
          <w:vertAlign w:val="superscript"/>
        </w:rPr>
        <w:t>7</w:t>
      </w:r>
      <w:r>
        <w:rPr>
          <w:sz w:val="24"/>
          <w:szCs w:val="24"/>
        </w:rPr>
        <w:t xml:space="preserve"> </w:t>
      </w:r>
      <w:r w:rsidRPr="005C5241">
        <w:rPr>
          <w:sz w:val="24"/>
          <w:szCs w:val="24"/>
        </w:rPr>
        <w:t>Department of Medical Epidemiology and Biostatistics, Karolinsk</w:t>
      </w:r>
      <w:r>
        <w:rPr>
          <w:sz w:val="24"/>
          <w:szCs w:val="24"/>
        </w:rPr>
        <w:t xml:space="preserve">a </w:t>
      </w:r>
      <w:proofErr w:type="spellStart"/>
      <w:r>
        <w:rPr>
          <w:sz w:val="24"/>
          <w:szCs w:val="24"/>
        </w:rPr>
        <w:t>Institutet</w:t>
      </w:r>
      <w:proofErr w:type="spellEnd"/>
      <w:r>
        <w:rPr>
          <w:sz w:val="24"/>
          <w:szCs w:val="24"/>
        </w:rPr>
        <w:t>, Stockholm, Sweden</w:t>
      </w:r>
    </w:p>
    <w:p w14:paraId="70BD756B" w14:textId="77777777" w:rsidR="00413346" w:rsidRDefault="00413346" w:rsidP="00413346">
      <w:pPr>
        <w:spacing w:line="480" w:lineRule="auto"/>
        <w:rPr>
          <w:sz w:val="24"/>
          <w:szCs w:val="24"/>
        </w:rPr>
      </w:pPr>
      <w:r w:rsidRPr="00670508">
        <w:rPr>
          <w:sz w:val="24"/>
          <w:szCs w:val="24"/>
          <w:vertAlign w:val="superscript"/>
        </w:rPr>
        <w:lastRenderedPageBreak/>
        <w:t>8</w:t>
      </w:r>
      <w:r>
        <w:rPr>
          <w:sz w:val="24"/>
          <w:szCs w:val="24"/>
        </w:rPr>
        <w:t xml:space="preserve"> </w:t>
      </w:r>
      <w:r w:rsidRPr="005C5241">
        <w:rPr>
          <w:sz w:val="24"/>
          <w:szCs w:val="24"/>
        </w:rPr>
        <w:t>Department of Nutrition, University of North Carolina at Chapel Hi</w:t>
      </w:r>
      <w:r>
        <w:rPr>
          <w:sz w:val="24"/>
          <w:szCs w:val="24"/>
        </w:rPr>
        <w:t>ll, Chapel Hill, North Carolina</w:t>
      </w:r>
    </w:p>
    <w:p w14:paraId="562F999D" w14:textId="04905A0A" w:rsidR="00413346" w:rsidRDefault="00413346" w:rsidP="00336979">
      <w:pPr>
        <w:spacing w:line="480" w:lineRule="auto"/>
        <w:rPr>
          <w:sz w:val="24"/>
          <w:szCs w:val="24"/>
        </w:rPr>
      </w:pPr>
    </w:p>
    <w:p w14:paraId="30DAE123" w14:textId="74282FA6" w:rsidR="00413346" w:rsidRDefault="00413346" w:rsidP="00336979">
      <w:pPr>
        <w:spacing w:line="480" w:lineRule="auto"/>
        <w:rPr>
          <w:sz w:val="24"/>
          <w:szCs w:val="24"/>
        </w:rPr>
      </w:pPr>
      <w:r>
        <w:rPr>
          <w:sz w:val="24"/>
          <w:szCs w:val="24"/>
        </w:rPr>
        <w:t xml:space="preserve">Corresponding author: </w:t>
      </w:r>
      <w:r w:rsidRPr="009E5ED9">
        <w:rPr>
          <w:sz w:val="24"/>
          <w:szCs w:val="24"/>
        </w:rPr>
        <w:t xml:space="preserve">Stefan Ehrlich, Division of Psychological and Social Medicine and Developmental Neurosciences, Faculty of </w:t>
      </w:r>
      <w:r>
        <w:rPr>
          <w:sz w:val="24"/>
          <w:szCs w:val="24"/>
        </w:rPr>
        <w:t xml:space="preserve">Medicine, </w:t>
      </w:r>
      <w:proofErr w:type="spellStart"/>
      <w:r>
        <w:rPr>
          <w:sz w:val="24"/>
          <w:szCs w:val="24"/>
        </w:rPr>
        <w:t>Technische</w:t>
      </w:r>
      <w:proofErr w:type="spellEnd"/>
      <w:r>
        <w:rPr>
          <w:sz w:val="24"/>
          <w:szCs w:val="24"/>
        </w:rPr>
        <w:t xml:space="preserve"> Universität</w:t>
      </w:r>
      <w:r w:rsidRPr="009E5ED9">
        <w:rPr>
          <w:sz w:val="24"/>
          <w:szCs w:val="24"/>
        </w:rPr>
        <w:t xml:space="preserve"> </w:t>
      </w:r>
      <w:r>
        <w:rPr>
          <w:sz w:val="24"/>
          <w:szCs w:val="24"/>
        </w:rPr>
        <w:t xml:space="preserve">Dresden, </w:t>
      </w:r>
      <w:proofErr w:type="spellStart"/>
      <w:r>
        <w:rPr>
          <w:sz w:val="24"/>
          <w:szCs w:val="24"/>
        </w:rPr>
        <w:t>Fetscherstr</w:t>
      </w:r>
      <w:proofErr w:type="spellEnd"/>
      <w:r>
        <w:rPr>
          <w:sz w:val="24"/>
          <w:szCs w:val="24"/>
        </w:rPr>
        <w:t xml:space="preserve">. 74, 01307 </w:t>
      </w:r>
      <w:r w:rsidRPr="00772869">
        <w:rPr>
          <w:sz w:val="24"/>
          <w:szCs w:val="24"/>
        </w:rPr>
        <w:t>Dresden, Germany. E-mail: stefan.ehrlich@tu-dresden.de</w:t>
      </w:r>
    </w:p>
    <w:p w14:paraId="04AE603F" w14:textId="77777777" w:rsidR="00413346" w:rsidRDefault="00413346" w:rsidP="00336979">
      <w:pPr>
        <w:spacing w:line="480" w:lineRule="auto"/>
        <w:rPr>
          <w:sz w:val="24"/>
          <w:szCs w:val="24"/>
        </w:rPr>
      </w:pPr>
    </w:p>
    <w:p w14:paraId="38C43447" w14:textId="77777777" w:rsidR="00E70D39" w:rsidRDefault="00E70D39">
      <w:pPr>
        <w:rPr>
          <w:sz w:val="24"/>
          <w:szCs w:val="24"/>
        </w:rPr>
      </w:pPr>
      <w:r>
        <w:rPr>
          <w:sz w:val="24"/>
          <w:szCs w:val="24"/>
        </w:rPr>
        <w:br w:type="page"/>
      </w:r>
    </w:p>
    <w:p w14:paraId="1E3AFB59" w14:textId="6C955AAB" w:rsidR="00336979" w:rsidRPr="00EF4B22" w:rsidRDefault="00336979" w:rsidP="00336979">
      <w:pPr>
        <w:spacing w:line="480" w:lineRule="auto"/>
        <w:rPr>
          <w:sz w:val="24"/>
          <w:szCs w:val="24"/>
        </w:rPr>
      </w:pPr>
      <w:r w:rsidRPr="00EF4B22">
        <w:rPr>
          <w:sz w:val="24"/>
          <w:szCs w:val="24"/>
        </w:rPr>
        <w:lastRenderedPageBreak/>
        <w:t>SM 1 Methods</w:t>
      </w:r>
    </w:p>
    <w:p w14:paraId="57C95475" w14:textId="77777777" w:rsidR="000D5024" w:rsidRPr="00EF4B22" w:rsidRDefault="000D5024" w:rsidP="005C675F">
      <w:pPr>
        <w:spacing w:line="480" w:lineRule="auto"/>
        <w:rPr>
          <w:sz w:val="24"/>
          <w:szCs w:val="24"/>
        </w:rPr>
      </w:pPr>
      <w:r w:rsidRPr="00EF4B22">
        <w:rPr>
          <w:sz w:val="24"/>
          <w:szCs w:val="24"/>
        </w:rPr>
        <w:t>SM 1.1 ENIGMA</w:t>
      </w:r>
    </w:p>
    <w:p w14:paraId="61B9DF26" w14:textId="7DC60B60" w:rsidR="000D5024" w:rsidRPr="00EF4B22" w:rsidRDefault="000D5024" w:rsidP="005C675F">
      <w:pPr>
        <w:spacing w:line="480" w:lineRule="auto"/>
        <w:rPr>
          <w:i/>
          <w:sz w:val="24"/>
          <w:szCs w:val="24"/>
        </w:rPr>
      </w:pPr>
      <w:r w:rsidRPr="00EF4B22">
        <w:rPr>
          <w:i/>
          <w:sz w:val="24"/>
          <w:szCs w:val="24"/>
        </w:rPr>
        <w:t>Cohort description</w:t>
      </w:r>
    </w:p>
    <w:p w14:paraId="32B29C0F" w14:textId="24826021" w:rsidR="000D5024" w:rsidRPr="00EF4B22" w:rsidRDefault="00EF4B22" w:rsidP="00272A25">
      <w:pPr>
        <w:spacing w:line="480" w:lineRule="auto"/>
        <w:ind w:firstLine="720"/>
        <w:rPr>
          <w:sz w:val="24"/>
          <w:szCs w:val="24"/>
        </w:rPr>
      </w:pPr>
      <w:r>
        <w:rPr>
          <w:sz w:val="24"/>
          <w:szCs w:val="24"/>
        </w:rPr>
        <w:t xml:space="preserve">All participants </w:t>
      </w:r>
      <w:r w:rsidR="000D5024" w:rsidRPr="00EF4B22">
        <w:rPr>
          <w:sz w:val="24"/>
          <w:szCs w:val="24"/>
        </w:rPr>
        <w:t>in all cohorts in this study gave written informed consent and sites involved obtained approval from local research ethics committees or Institutional Review Boards. The ENIGMA consortium follows a rolling meta-analysis framework for incorporating sites into the analysis. The discovery sample comprises studies of European ancestry that contributed GWAS summary statistics for the purpose of this analysis on or before 1 October 2013. The deadline for discovery samples to upload their data was made before inspecting the data and was not influenced by the results of the analyses. The meta-analysis results from discovery cohorts were carried forward for secondary analyses and functional validation studies.</w:t>
      </w:r>
    </w:p>
    <w:p w14:paraId="0919AA78" w14:textId="368B5D71" w:rsidR="000D5024" w:rsidRPr="00EF4B22" w:rsidRDefault="001A33A1" w:rsidP="005C675F">
      <w:pPr>
        <w:spacing w:line="480" w:lineRule="auto"/>
        <w:rPr>
          <w:sz w:val="24"/>
          <w:szCs w:val="24"/>
        </w:rPr>
      </w:pPr>
      <w:r w:rsidRPr="00EF4B22">
        <w:rPr>
          <w:noProof/>
          <w:sz w:val="24"/>
          <w:szCs w:val="24"/>
          <w:lang w:val="de-DE" w:eastAsia="de-DE"/>
        </w:rPr>
        <w:lastRenderedPageBreak/>
        <w:drawing>
          <wp:inline distT="0" distB="0" distL="0" distR="0" wp14:anchorId="61918268" wp14:editId="327B12C2">
            <wp:extent cx="5943600" cy="4320726"/>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320726"/>
                    </a:xfrm>
                    <a:prstGeom prst="rect">
                      <a:avLst/>
                    </a:prstGeom>
                    <a:noFill/>
                    <a:ln>
                      <a:noFill/>
                    </a:ln>
                  </pic:spPr>
                </pic:pic>
              </a:graphicData>
            </a:graphic>
          </wp:inline>
        </w:drawing>
      </w:r>
    </w:p>
    <w:p w14:paraId="1B8C7E09" w14:textId="06938D91" w:rsidR="001A33A1" w:rsidRPr="00EF4B22" w:rsidRDefault="001A33A1" w:rsidP="005C675F">
      <w:pPr>
        <w:spacing w:line="480" w:lineRule="auto"/>
        <w:rPr>
          <w:sz w:val="24"/>
          <w:szCs w:val="24"/>
        </w:rPr>
      </w:pPr>
      <w:r w:rsidRPr="00EF4B22">
        <w:rPr>
          <w:sz w:val="24"/>
          <w:szCs w:val="24"/>
        </w:rPr>
        <w:t>Supplementary Table S1: Demographic description of cohorts included in the ENIGMA analysis. Table adapted from Hibar et al.</w:t>
      </w:r>
      <w:r w:rsidR="00913BC2">
        <w:rPr>
          <w:sz w:val="24"/>
          <w:szCs w:val="24"/>
        </w:rPr>
        <w:t xml:space="preserve"> </w:t>
      </w:r>
      <w:r w:rsidRPr="00EF4B22">
        <w:rPr>
          <w:sz w:val="24"/>
          <w:szCs w:val="24"/>
        </w:rPr>
        <w:fldChar w:fldCharType="begin"/>
      </w:r>
      <w:r w:rsidR="000B5937">
        <w:rPr>
          <w:sz w:val="24"/>
          <w:szCs w:val="24"/>
        </w:rPr>
        <w:instrText xml:space="preserve"> ADDIN ZOTERO_ITEM CSL_CITATION {"citationID":"a1q0oneo4jb","properties":{"formattedCitation":"[1]","plainCitation":"[1]","noteIndex":0},"citationItems":[{"id":"XktMMXBT/cP1ujbma","uris":["http://zotero.org/users/local/mY0JhLU1/items/E2U4KHX2"],"uri":["http://zotero.org/users/local/mY0JhLU1/items/E2U4KHX2"],"itemData":{"id":"wg1khTra/JrTTEjvv","type":"article-journal","title":"Common genetic variants influence human subcortical brain structures","container-title":"Nature","page":"224-229","volume":"520","issue":"7546","source":"PubMed Central","abstract":"The highly complex structure of the human brain is strongly shaped by genetic influences. Subcortical brain regions form circuits with cortical areas to coordinate movement, learning, memory and motivation, and altered circuits can lead to abnormal behaviour and disease. To investigate how common genetic variants affect the structure of these brain regions, here we conduct genome-wide association studies of the volumes of seven subcortical regions and the intracranial volume derived from magnetic resonance images of 30,717 individuals from 50 cohorts. We identify five novel genetic variants influencing the volumes of the putamen and caudate nucleus. We also find stronger evidence for three loci with previously established influences on hippocampal volume and intracranial volume. These variants show specific volumetric effects on brain structures rather than global effects across structures. The strongest effects were found for the putamen, where a novel intergenic locus with replicable influence on volume (rs945270; P = 1.08 × 10−33; 0.52% variance explained) showed evidence of altering the expression of the KTN1 gene in both brain and blood tissue. Variants influencing putamen volume clustered near developmental genes that regulate apoptosis, axon guidance and vesicle transport. Identification of these genetic variants provides insight into the causes of variability inhuman brain development, and may help to determine mechanisms of neuropsychiatric dysfunction.","DOI":"10.1038/nature14101","ISSN":"0028-0836","note":"PMID: 25607358\nPMCID: PMC4393366","journalAbbreviation":"Nature","author":[{"family":"Hibar","given":"Derrek P."},{"family":"Stein","given":"Jason L."},{"family":"Renteria","given":"Miguel E."},{"family":"Arias-Vasquez","given":"Alejandro"},{"family":"Desrivières","given":"Sylvane"},{"family":"Jahanshad","given":"Neda"},{"family":"Toro","given":"Roberto"},{"family":"Wittfeld","given":"Katharina"},{"family":"Abramovic","given":"Lucija"},{"family":"Andersson","given":"Micael"},{"family":"Aribisala","given":"Benjamin S."},{"family":"Armstrong","given":"Nicola J."},{"family":"Bernard","given":"Manon"},{"family":"Bohlken","given":"Marc M."},{"family":"Boks","given":"Marco P."},{"family":"Bralten","given":"Janita"},{"family":"Brown","given":"Andrew A."},{"family":"Chakravarty","given":"M. Mallar"},{"family":"Chen","given":"Qiang"},{"family":"Ching","given":"Christopher R. K."},{"family":"Cuellar-Partida","given":"Gabriel"},{"family":"Braber","given":"Anouk","non-dropping-particle":"den"},{"family":"Giddaluru","given":"Sudheer"},{"family":"Goldman","given":"Aaron L."},{"family":"Grimm","given":"Oliver"},{"family":"Guadalupe","given":"Tulio"},{"family":"Hass","given":"Johanna"},{"family":"Woldehawariat","given":"Girma"},{"family":"Holmes","given":"Avram J."},{"family":"Hoogman","given":"Martine"},{"family":"Janowitz","given":"Deborah"},{"family":"Jia","given":"Tianye"},{"family":"Kim","given":"Sungeun"},{"family":"Klein","given":"Marieke"},{"family":"Kraemer","given":"Bernd"},{"family":"Lee","given":"Phil H."},{"family":"Olde Loohuis","given":"Loes M."},{"family":"Luciano","given":"Michelle"},{"family":"Macare","given":"Christine"},{"family":"Mather","given":"Karen A."},{"family":"Mattheisen","given":"Manuel"},{"family":"Milaneschi","given":"Yuri"},{"family":"Nho","given":"Kwangsik"},{"family":"Papmeyer","given":"Martina"},{"family":"Ramasamy","given":"Adaikalavan"},{"family":"Risacher","given":"Shannon L."},{"family":"Roiz-Santiañez","given":"Roberto"},{"family":"Rose","given":"Emma J."},{"family":"Salami","given":"Alireza"},{"family":"Sämann","given":"Philipp G."},{"family":"Schmaal","given":"Lianne"},{"family":"Schork","given":"Andrew J."},{"family":"Shin","given":"Jean"},{"family":"Strike","given":"Lachlan T."},{"family":"Teumer","given":"Alexander"},{"family":"Donkelaar","given":"Marjolein M. J.","non-dropping-particle":"van"},{"family":"Eijk","given":"Kristel R.","non-dropping-particle":"van"},{"family":"Walters","given":"Raymond K."},{"family":"Westlye","given":"Lars T."},{"family":"Whelan","given":"Christopher D."},{"family":"Winkler","given":"Anderson M."},{"family":"Zwiers","given":"Marcel P."},{"family":"Alhusaini","given":"Saud"},{"family":"Athanasiu","given":"Lavinia"},{"family":"Ehrlich","given":"Stefan"},{"family":"Hakobjan","given":"Marina M. H."},{"family":"Hartberg","given":"Cecilie B."},{"family":"Haukvik","given":"Unn K."},{"family":"Heister","given":"Angelien J. G. A. M."},{"family":"Hoehn","given":"David"},{"family":"Kasperaviciute","given":"Dalia"},{"family":"Liewald","given":"David C. M."},{"family":"Lopez","given":"Lorna M."},{"family":"Makkinje","given":"Remco R. R."},{"family":"Matarin","given":"Mar"},{"family":"Naber","given":"Marlies A. M."},{"family":"McKay","given":"D. Reese"},{"family":"Needham","given":"Margaret"},{"family":"Nugent","given":"Allison C."},{"family":"Pütz","given":"Benno"},{"family":"Royle","given":"Natalie A."},{"family":"Shen","given":"Li"},{"family":"Sprooten","given":"Emma"},{"family":"Trabzuni","given":"Daniah"},{"family":"Marel","given":"Saskia S. L.","non-dropping-particle":"van der"},{"family":"Hulzen","given":"Kimm J. E.","non-dropping-particle":"van"},{"family":"Walton","given":"Esther"},{"family":"Wolf","given":"Christiane"},{"family":"Almasy","given":"Laura"},{"family":"Ames","given":"David"},{"family":"Arepalli","given":"Sampath"},{"family":"Assareh","given":"Amelia A."},{"family":"Bastin","given":"Mark E."},{"family":"Brodaty","given":"Henry"},{"family":"Bulayeva","given":"Kazima B."},{"family":"Carless","given":"Melanie A."},{"family":"Cichon","given":"Sven"},{"family":"Corvin","given":"Aiden"},{"family":"Curran","given":"Joanne E."},{"family":"Czisch","given":"Michael"},{"family":"Zubicaray","given":"Greig I.","non-dropping-particle":"de"},{"family":"Dillman","given":"Allissa"},{"family":"Duggirala","given":"Ravi"},{"family":"Dyer","given":"Thomas D."},{"family":"Erk","given":"Susanne"},{"family":"Fedko","given":"Iryna O."},{"family":"Ferrucci","given":"Luigi"},{"family":"Foroud","given":"Tatiana M."},{"family":"Fox","given":"Peter T."},{"family":"Fukunaga","given":"Masaki"},{"family":"Gibbs","given":"J. Raphael"},{"family":"Göring","given":"Harald H. H."},{"family":"Green","given":"Robert C."},{"family":"Guelfi","given":"Sebastian"},{"family":"Hansell","given":"Narelle K."},{"family":"Hartman","given":"Catharina A."},{"family":"Hegenscheid","given":"Katrin"},{"family":"Heinz","given":"Andreas"},{"family":"Hernandez","given":"Dena G."},{"family":"Heslenfeld","given":"Dirk J."},{"family":"Hoekstra","given":"Pieter J."},{"family":"Holsboer","given":"Florian"},{"family":"Homuth","given":"Georg"},{"family":"Hottenga","given":"Jouke-Jan"},{"family":"Ikeda","given":"Masashi"},{"family":"Jack","given":"Clifford R."},{"family":"Jenkinson","given":"Mark"},{"family":"Johnson","given":"Robert"},{"family":"Kanai","given":"Ryota"},{"family":"Keil","given":"Maria"},{"family":"Kent","given":"Jack W."},{"family":"Kochunov","given":"Peter"},{"family":"Kwok","given":"John B."},{"family":"Lawrie","given":"Stephen M."},{"family":"Liu","given":"Xinmin"},{"family":"Longo","given":"Dan L."},{"family":"McMahon","given":"Katie L."},{"family":"Meisenzahl","given":"Eva"},{"family":"Melle","given":"Ingrid"},{"family":"Mohnke","given":"Sebastian"},{"family":"Montgomery","given":"Grant W."},{"family":"Mostert","given":"Jeanette C."},{"family":"Mühleisen","given":"Thomas W."},{"family":"Nalls","given":"Michael A."},{"family":"Nichols","given":"Thomas E."},{"family":"Nilsson","given":"Lars G."},{"family":"Nöthen","given":"Markus M."},{"family":"Ohi","given":"Kazutaka"},{"family":"Olvera","given":"Rene L."},{"family":"Perez-Iglesias","given":"Rocio"},{"family":"Pike","given":"G. Bruce"},{"family":"Potkin","given":"Steven G."},{"family":"Reinvang","given":"Ivar"},{"family":"Reppermund","given":"Simone"},{"family":"Rietschel","given":"Marcella"},{"family":"Romanczuk-Seiferth","given":"Nina"},{"family":"Rosen","given":"Glenn D."},{"family":"Rujescu","given":"Dan"},{"family":"Schnell","given":"Knut"},{"family":"Schofield","given":"Peter R."},{"family":"Smith","given":"Colin"},{"family":"Steen","given":"Vidar M."},{"family":"Sussmann","given":"Jessika E."},{"family":"Thalamuthu","given":"Anbupalam"},{"family":"Toga","given":"Arthur W."},{"family":"Traynor","given":"Bryan J."},{"family":"Troncoso","given":"Juan"},{"family":"Turner","given":"Jessica A."},{"family":"Valdés Hernández","given":"Maria C."},{"family":"Ent","given":"Dennis","non-dropping-particle":"van ’t"},{"family":"Brug","given":"Marcel","non-dropping-particle":"van der"},{"family":"Wee","given":"Nic J. A.","non-dropping-particle":"van der"},{"family":"Tol","given":"Marie-Jose","non-dropping-particle":"van"},{"family":"Veltman","given":"Dick J."},{"family":"Wassink","given":"Thomas H."},{"family":"Westman","given":"Eric"},{"family":"Zielke","given":"Ronald H."},{"family":"Zonderman","given":"Alan B."},{"family":"Ashbrook","given":"David G."},{"family":"Hager","given":"Reinmar"},{"family":"Lu","given":"Lu"},{"family":"McMahon","given":"Francis J."},{"family":"Morris","given":"Derek W."},{"family":"Williams","given":"Robert W."},{"family":"Brunner","given":"Han G."},{"family":"Buckner","given":"Randy L."},{"family":"Buitelaar","given":"Jan K."},{"family":"Cahn","given":"Wiepke"},{"family":"Calhoun","given":"Vince D."},{"family":"Cavalleri","given":"Gianpiero L."},{"family":"Crespo-Facorro","given":"Benedicto"},{"family":"Dale","given":"Anders M."},{"family":"Davies","given":"Gareth E."},{"family":"Delanty","given":"Norman"},{"family":"Depondt","given":"Chantal"},{"family":"Djurovic","given":"Srdjan"},{"family":"Drevets","given":"Wayne C."},{"family":"Espeseth","given":"Thomas"},{"family":"Gollub","given":"Randy L."},{"family":"Ho","given":"Beng-Choon"},{"family":"Hoffmann","given":"Wolfgang"},{"family":"Hosten","given":"Norbert"},{"family":"Kahn","given":"René S."},{"family":"Le Hellard","given":"Stephanie"},{"family":"Meyer-Lindenberg","given":"Andreas"},{"family":"Müller-Myhsok","given":"Bertram"},{"family":"Nauck","given":"Matthias"},{"family":"Nyberg","given":"Lars"},{"family":"Pandolfo","given":"Massimo"},{"family":"Penninx","given":"Brenda W. J. H."},{"family":"Roffman","given":"Joshua L."},{"family":"Sisodiya","given":"Sanjay M."},{"family":"Smoller","given":"Jordan W."},{"family":"Bokhoven","given":"Hans","non-dropping-particle":"van"},{"family":"Haren","given":"Neeltje E. M.","non-dropping-particle":"van"},{"family":"Völzke","given":"Henry"},{"family":"Walter","given":"Henrik"},{"family":"Weiner","given":"Michael W."},{"family":"Wen","given":"Wei"},{"family":"White","given":"Tonya"},{"family":"Agartz","given":"Ingrid"},{"family":"Andreassen","given":"Ole A."},{"family":"Blangero","given":"John"},{"family":"Boomsma","given":"Dorret I."},{"family":"Brouwer","given":"Rachel M."},{"family":"Cannon","given":"Dara M."},{"family":"Cookson","given":"Mark R."},{"family":"Geus","given":"Eco J. C.","non-dropping-particle":"de"},{"family":"Deary","given":"Ian J."},{"family":"Donohoe","given":"Gary"},{"family":"Fernández","given":"Guillén"},{"family":"Fisher","given":"Simon E."},{"family":"Francks","given":"Clyde"},{"family":"Glahn","given":"David C."},{"family":"Grabe","given":"Hans J."},{"family":"Gruber","given":"Oliver"},{"family":"Hardy","given":"John"},{"family":"Hashimoto","given":"Ryota"},{"family":"Hulshoff Pol","given":"Hilleke E."},{"family":"Jönsson","given":"Erik G."},{"family":"Kloszewska","given":"Iwona"},{"family":"Lovestone","given":"Simon"},{"family":"Mattay","given":"Venkata S."},{"family":"Mecocci","given":"Patrizia"},{"family":"McDonald","given":"Colm"},{"family":"McIntosh","given":"Andrew M."},{"family":"Ophoff","given":"Roel A."},{"family":"Paus","given":"Tomas"},{"family":"Pausova","given":"Zdenka"},{"family":"Ryten","given":"Mina"},{"family":"Sachdev","given":"Perminder S."},{"family":"Saykin","given":"Andrew J."},{"family":"Simmons","given":"Andy"},{"family":"Singleton","given":"Andrew"},{"family":"Soininen","given":"Hilkka"},{"family":"Wardlaw","given":"Joanna M."},{"family":"Weale","given":"Michael E."},{"family":"Weinberger","given":"Daniel R."},{"family":"Adams","given":"Hieab H. H."},{"family":"Launer","given":"Lenore J."},{"family":"Seiler","given":"Stephan"},{"family":"Schmidt","given":"Reinhold"},{"family":"Chauhan","given":"Ganesh"},{"family":"Satizabal","given":"Claudia L."},{"family":"Becker","given":"James T."},{"family":"Yanek","given":"Lisa"},{"family":"Lee","given":"Sven J.","non-dropping-particle":"van der"},{"family":"Ebling","given":"Maritza"},{"family":"Fischl","given":"Bruce"},{"family":"Longstreth","given":"W. T."},{"family":"Greve","given":"Douglas"},{"family":"Schmidt","given":"Helena"},{"family":"Nyquist","given":"Paul"},{"family":"Vinke","given":"Louis N."},{"family":"Duijn","given":"Cornelia M.","non-dropping-particle":"van"},{"family":"Xue","given":"Luting"},{"family":"Mazoyer","given":"Bernard"},{"family":"Bis","given":"Joshua C."},{"family":"Gudnason","given":"Vilmundur"},{"family":"Seshadri","given":"Sudha"},{"family":"Ikram","given":"M. Arfan"},{"family":"Martin","given":"Nicholas G."},{"family":"Wright","given":"Margaret J."},{"family":"Schumann","given":"Gunter"},{"family":"Franke","given":"Barbara"},{"family":"Thompson","given":"Paul M."},{"family":"Medland","given":"Sarah E."}],"issued":{"year":2015,"month":4,"day":9},"PMID":"25607358","PMCID":"PMC4393366","page-first":"224","container-title-short":"Nature"},"suppress-author":true}],"schema":"https://github.com/citation-style-language/schema/raw/master/csl-citation.json"} </w:instrText>
      </w:r>
      <w:r w:rsidRPr="00EF4B22">
        <w:rPr>
          <w:sz w:val="24"/>
          <w:szCs w:val="24"/>
        </w:rPr>
        <w:fldChar w:fldCharType="separate"/>
      </w:r>
      <w:r w:rsidR="000B5937" w:rsidRPr="000B5937">
        <w:rPr>
          <w:rFonts w:ascii="Calibri" w:hAnsi="Calibri"/>
          <w:sz w:val="24"/>
        </w:rPr>
        <w:t>[1]</w:t>
      </w:r>
      <w:r w:rsidRPr="00EF4B22">
        <w:rPr>
          <w:sz w:val="24"/>
          <w:szCs w:val="24"/>
        </w:rPr>
        <w:fldChar w:fldCharType="end"/>
      </w:r>
      <w:r w:rsidRPr="00EF4B22">
        <w:rPr>
          <w:sz w:val="24"/>
          <w:szCs w:val="24"/>
        </w:rPr>
        <w:t>.</w:t>
      </w:r>
    </w:p>
    <w:p w14:paraId="1BCFA60F" w14:textId="77777777" w:rsidR="00EF4B22" w:rsidRDefault="00EF4B22" w:rsidP="005C675F">
      <w:pPr>
        <w:spacing w:line="480" w:lineRule="auto"/>
        <w:rPr>
          <w:i/>
          <w:sz w:val="24"/>
          <w:szCs w:val="24"/>
        </w:rPr>
      </w:pPr>
    </w:p>
    <w:p w14:paraId="38AD67DB" w14:textId="38AE8FCE" w:rsidR="000D5024" w:rsidRPr="00EF4B22" w:rsidRDefault="000D5024" w:rsidP="005C675F">
      <w:pPr>
        <w:spacing w:line="480" w:lineRule="auto"/>
        <w:rPr>
          <w:i/>
          <w:sz w:val="24"/>
          <w:szCs w:val="24"/>
        </w:rPr>
      </w:pPr>
      <w:r w:rsidRPr="00EF4B22">
        <w:rPr>
          <w:i/>
          <w:sz w:val="24"/>
          <w:szCs w:val="24"/>
        </w:rPr>
        <w:t>Imaging measures</w:t>
      </w:r>
    </w:p>
    <w:p w14:paraId="6F76011E" w14:textId="47422999" w:rsidR="000D5024" w:rsidRPr="00EF4B22" w:rsidRDefault="00272A25" w:rsidP="00272A25">
      <w:pPr>
        <w:spacing w:line="480" w:lineRule="auto"/>
        <w:ind w:firstLine="720"/>
        <w:rPr>
          <w:sz w:val="24"/>
          <w:szCs w:val="24"/>
        </w:rPr>
      </w:pPr>
      <w:r w:rsidRPr="00EF4B22">
        <w:rPr>
          <w:sz w:val="24"/>
          <w:szCs w:val="24"/>
        </w:rPr>
        <w:t>The brain measures examined in this study were obtained from structural MRI data collected at participating sites around the world. Brain scans were processed and examined at each site locally, following a standardized protocol procedure to harmonize the analysis across sites. The standardized protocols for image analysis and quality assurance are openly available online (</w:t>
      </w:r>
      <w:hyperlink r:id="rId8" w:history="1">
        <w:r w:rsidRPr="00EF4B22">
          <w:rPr>
            <w:rStyle w:val="Hyperlink"/>
            <w:sz w:val="24"/>
            <w:szCs w:val="24"/>
          </w:rPr>
          <w:t>http://enigma.ini.usc.edu/protocols/imagingprotocols/</w:t>
        </w:r>
      </w:hyperlink>
      <w:r w:rsidRPr="00EF4B22">
        <w:rPr>
          <w:sz w:val="24"/>
          <w:szCs w:val="24"/>
        </w:rPr>
        <w:t xml:space="preserve">). The subcortical brain measures </w:t>
      </w:r>
      <w:r w:rsidRPr="00EF4B22">
        <w:rPr>
          <w:sz w:val="24"/>
          <w:szCs w:val="24"/>
        </w:rPr>
        <w:lastRenderedPageBreak/>
        <w:t xml:space="preserve">(nucleus </w:t>
      </w:r>
      <w:proofErr w:type="spellStart"/>
      <w:r w:rsidRPr="00EF4B22">
        <w:rPr>
          <w:sz w:val="24"/>
          <w:szCs w:val="24"/>
        </w:rPr>
        <w:t>accumbens</w:t>
      </w:r>
      <w:proofErr w:type="spellEnd"/>
      <w:r w:rsidRPr="00EF4B22">
        <w:rPr>
          <w:sz w:val="24"/>
          <w:szCs w:val="24"/>
        </w:rPr>
        <w:t xml:space="preserve">, amygdala, caudate, hippocampus, pallidum, putamen, and thalamus) were delineated in the brain using well-validated, freely available brain segmentation software packages: </w:t>
      </w:r>
      <w:r w:rsidR="00C619E3" w:rsidRPr="00EF4B22">
        <w:rPr>
          <w:sz w:val="24"/>
          <w:szCs w:val="24"/>
        </w:rPr>
        <w:t>FIRST</w:t>
      </w:r>
      <w:r w:rsidR="00913BC2">
        <w:rPr>
          <w:sz w:val="24"/>
          <w:szCs w:val="24"/>
        </w:rPr>
        <w:t xml:space="preserve"> </w:t>
      </w:r>
      <w:r w:rsidR="00C619E3" w:rsidRPr="00EF4B22">
        <w:rPr>
          <w:sz w:val="24"/>
          <w:szCs w:val="24"/>
        </w:rPr>
        <w:fldChar w:fldCharType="begin"/>
      </w:r>
      <w:r w:rsidR="000B5937">
        <w:rPr>
          <w:sz w:val="24"/>
          <w:szCs w:val="24"/>
        </w:rPr>
        <w:instrText xml:space="preserve"> ADDIN ZOTERO_ITEM CSL_CITATION {"citationID":"1qu0a2sonn","properties":{"formattedCitation":"[2]","plainCitation":"[2]","noteIndex":0},"citationItems":[{"id":"XktMMXBT/As8VECMO","uris":["http://zotero.org/users/788477/items/U26ZPHFI"],"uri":["http://zotero.org/users/788477/items/U26ZPHFI"],"itemData":{"id":3462,"type":"article-journal","title":"A Bayesian model of shape and appearance for subcortical brain segmentation","container-title":"NeuroImage","page":"907-922","volume":"56","issue":"3","source":"PubMed Central","abstract":"Automatic segmentation of subcortical structures in human brain MR images is an important but difficult task due to poor and variable intensity contrast. Clear, well-defined intensity features are absent in many places along typical structure boundaries and so extra information is required to achieve successful segmentation. A method is proposed here that uses manually labelled image data to provide anatomical training information. It utilises the principles of the Active Shape and Appearance Models but places them within a Bayesian framework, allowing probabilistic relationships between shape and intensity to be fully exploited. The model is trained for 15 different subcortical structures using 336 manually-labelled T1-weighted MR images. Using the Bayesian approach, conditional probabilities can be calculated easily and efficiently, avoiding technical problems of ill-conditioned covariance matrices, even with weak priors, and eliminating the need for fitting extra empirical scaling parameters, as is required in standard Active Appearance Models. Furthermore, differences in boundary vertex locations provide a direct, purely local measure of geometric change in structure between groups that, unlike voxel-based morphometry, is not dependent on tissue classification methods or arbitrary smoothing. In this paper the fully-automated segmentation method is presented and assessed both quantitatively, using Leave-One-Out testing on the 336 training images, and qualitatively, using an independent clinical dataset involving Alzheimer’s disease. Median Dice overlaps between 0.7 and 0.9 are obtained with this method, which is comparable or better than other automated methods. An implementation of this method, called FIRST, is currently distributed with the freely-available FSL package.","DOI":"10.1016/j.neuroimage.2011.02.046","ISSN":"1053-8119","note":"PMID: 21352927\nPMCID: PMC3417233","journalAbbreviation":"Neuroimage","author":[{"family":"Patenaude","given":"Brian"},{"family":"Smith","given":"Stephen M."},{"family":"Kennedy","given":"David N."},{"family":"Jenkinson","given":"Mark"}],"issued":{"date-parts":[["2011",6,1]]}}}],"schema":"https://github.com/citation-style-language/schema/raw/master/csl-citation.json"} </w:instrText>
      </w:r>
      <w:r w:rsidR="00C619E3" w:rsidRPr="00EF4B22">
        <w:rPr>
          <w:sz w:val="24"/>
          <w:szCs w:val="24"/>
        </w:rPr>
        <w:fldChar w:fldCharType="separate"/>
      </w:r>
      <w:r w:rsidR="000B5937" w:rsidRPr="000B5937">
        <w:rPr>
          <w:rFonts w:ascii="Calibri" w:hAnsi="Calibri"/>
          <w:sz w:val="24"/>
        </w:rPr>
        <w:t>[2]</w:t>
      </w:r>
      <w:r w:rsidR="00C619E3" w:rsidRPr="00EF4B22">
        <w:rPr>
          <w:sz w:val="24"/>
          <w:szCs w:val="24"/>
        </w:rPr>
        <w:fldChar w:fldCharType="end"/>
      </w:r>
      <w:r w:rsidRPr="00EF4B22">
        <w:rPr>
          <w:sz w:val="24"/>
          <w:szCs w:val="24"/>
        </w:rPr>
        <w:t xml:space="preserve">, part of the FMRIB Software Library (FSL), or </w:t>
      </w:r>
      <w:proofErr w:type="spellStart"/>
      <w:r w:rsidR="00C619E3" w:rsidRPr="00EF4B22">
        <w:rPr>
          <w:sz w:val="24"/>
          <w:szCs w:val="24"/>
        </w:rPr>
        <w:t>FreeSurfer</w:t>
      </w:r>
      <w:proofErr w:type="spellEnd"/>
      <w:r w:rsidR="00913BC2">
        <w:rPr>
          <w:sz w:val="24"/>
          <w:szCs w:val="24"/>
        </w:rPr>
        <w:t xml:space="preserve"> </w:t>
      </w:r>
      <w:r w:rsidR="00C619E3" w:rsidRPr="00EF4B22">
        <w:rPr>
          <w:sz w:val="24"/>
          <w:szCs w:val="24"/>
        </w:rPr>
        <w:fldChar w:fldCharType="begin"/>
      </w:r>
      <w:r w:rsidR="000B5937">
        <w:rPr>
          <w:sz w:val="24"/>
          <w:szCs w:val="24"/>
        </w:rPr>
        <w:instrText xml:space="preserve"> ADDIN ZOTERO_ITEM CSL_CITATION {"citationID":"kkjos4o9m","properties":{"formattedCitation":"[3]","plainCitation":"[3]","noteIndex":0},"citationItems":[{"id":"XktMMXBT/M4THuyMA","uris":["http://zotero.org/users/788477/items/GWCG2FK6"],"uri":["http://zotero.org/users/788477/items/GWCG2FK6"],"itemData":{"id":3290,"type":"article-journal","title":"Whole Brain Segmentation: Automated Labeling of Neuroanatomical Structures in the Human Brain","container-title":"Neuron","page":"341-355","volume":"33","issue":"3","source":"ScienceDirect","abstract":"We present a technique for automatically assigning a neuroanatomical label to each voxel in an MRI volume based on probabilistic information automatically estimated from a manually labeled training set. In contrast to existing segmentation procedures that only label a small number of tissue classes, the current method assigns one of 37 labels to each voxel, including left and right caudate, putamen, pallidum, thalamus, lateral ventricles, hippocampus, and amygdala. The classification technique employs a registration procedure that is robust to anatomical variability, including the ventricular enlargement typically associated with neurological diseases and aging. The technique is shown to be comparable in accuracy to manual labeling, and of sufficient sensitivity to robustly detect changes in the volume of noncortical structures that presage the onset of probable Alzheimer's disease.","DOI":"10.1016/S0896-6273(02)00569-X","ISSN":"0896-6273","shortTitle":"Whole Brain Segmentation","journalAbbreviation":"Neuron","author":[{"family":"Fischl","given":"Bruce"},{"family":"Salat","given":"David H."},{"family":"Busa","given":"Evelina"},{"family":"Albert","given":"Marilyn"},{"family":"Dieterich","given":"Megan"},{"family":"Haselgrove","given":"Christian"},{"family":"Kouwe","given":"Andre","non-dropping-particle":"van der"},{"family":"Killiany","given":"Ron"},{"family":"Kennedy","given":"David"},{"family":"Klaveness","given":"Shuna"},{"family":"Montillo","given":"Albert"},{"family":"Makris","given":"Nikos"},{"family":"Rosen","given":"Bruce"},{"family":"Dale","given":"Anders M."}],"issued":{"date-parts":[["2002",1,31]]}}}],"schema":"https://github.com/citation-style-language/schema/raw/master/csl-citation.json"} </w:instrText>
      </w:r>
      <w:r w:rsidR="00C619E3" w:rsidRPr="00EF4B22">
        <w:rPr>
          <w:sz w:val="24"/>
          <w:szCs w:val="24"/>
        </w:rPr>
        <w:fldChar w:fldCharType="separate"/>
      </w:r>
      <w:r w:rsidR="000B5937" w:rsidRPr="000B5937">
        <w:rPr>
          <w:rFonts w:ascii="Calibri" w:hAnsi="Calibri"/>
          <w:sz w:val="24"/>
        </w:rPr>
        <w:t>[3]</w:t>
      </w:r>
      <w:r w:rsidR="00C619E3" w:rsidRPr="00EF4B22">
        <w:rPr>
          <w:sz w:val="24"/>
          <w:szCs w:val="24"/>
        </w:rPr>
        <w:fldChar w:fldCharType="end"/>
      </w:r>
      <w:r w:rsidRPr="00EF4B22">
        <w:rPr>
          <w:sz w:val="24"/>
          <w:szCs w:val="24"/>
        </w:rPr>
        <w:t xml:space="preserve">. In addition to the subcortical structures of the brain, we examined the genetic effects of a measure of global head size, intracranial volume (ICV). After image processing, each image was inspected individually to identify poorly segmented structures. Each site contributed histograms of the distribution of volumes </w:t>
      </w:r>
      <w:bookmarkStart w:id="0" w:name="_GoBack"/>
      <w:bookmarkEnd w:id="0"/>
      <w:r w:rsidRPr="00EF4B22">
        <w:rPr>
          <w:sz w:val="24"/>
          <w:szCs w:val="24"/>
        </w:rPr>
        <w:t>for the left and right hemisphere structures (and a measure of asymmetry) of each subcortical region used in the analysis. Scans marked as outliers (&gt;3 standard deviations from the mean) based on the histogram plots were re-checked at each site to locate any errors. If a scan had an outlier for a given structure, but was segmented properly, it was retained in the analysis. Site-specific phenotype histograms, Manhattan plots, and QQ plots from each participating site are available on the ENIGMA website (</w:t>
      </w:r>
      <w:hyperlink r:id="rId9" w:history="1">
        <w:r w:rsidRPr="00EF4B22">
          <w:rPr>
            <w:rStyle w:val="Hyperlink"/>
            <w:sz w:val="24"/>
            <w:szCs w:val="24"/>
          </w:rPr>
          <w:t>http://enigma.ini.usc.edu/publications/enigma-2/</w:t>
        </w:r>
      </w:hyperlink>
      <w:r w:rsidRPr="00EF4B22">
        <w:rPr>
          <w:sz w:val="24"/>
          <w:szCs w:val="24"/>
        </w:rPr>
        <w:t>).</w:t>
      </w:r>
    </w:p>
    <w:p w14:paraId="1D15BD75" w14:textId="77777777" w:rsidR="005C3F4B" w:rsidRPr="00EF4B22" w:rsidRDefault="005C3F4B" w:rsidP="005C3F4B">
      <w:pPr>
        <w:spacing w:line="480" w:lineRule="auto"/>
        <w:rPr>
          <w:sz w:val="24"/>
          <w:szCs w:val="24"/>
        </w:rPr>
      </w:pPr>
    </w:p>
    <w:p w14:paraId="6611F829" w14:textId="77777777" w:rsidR="005C3F4B" w:rsidRPr="00EF4B22" w:rsidRDefault="005C3F4B" w:rsidP="005C3F4B">
      <w:pPr>
        <w:spacing w:line="480" w:lineRule="auto"/>
        <w:rPr>
          <w:i/>
          <w:sz w:val="24"/>
          <w:szCs w:val="24"/>
        </w:rPr>
      </w:pPr>
      <w:r w:rsidRPr="00EF4B22">
        <w:rPr>
          <w:i/>
          <w:sz w:val="24"/>
          <w:szCs w:val="24"/>
        </w:rPr>
        <w:t>Genetic quality control (QC)</w:t>
      </w:r>
    </w:p>
    <w:p w14:paraId="5A6A21BF" w14:textId="2A6AA8C5" w:rsidR="005C3F4B" w:rsidRPr="00EF4B22" w:rsidRDefault="005C3F4B" w:rsidP="005C3F4B">
      <w:pPr>
        <w:spacing w:line="480" w:lineRule="auto"/>
        <w:ind w:firstLine="720"/>
        <w:rPr>
          <w:sz w:val="24"/>
          <w:szCs w:val="24"/>
        </w:rPr>
      </w:pPr>
      <w:r w:rsidRPr="00EF4B22">
        <w:rPr>
          <w:sz w:val="24"/>
          <w:szCs w:val="24"/>
        </w:rPr>
        <w:t xml:space="preserve">Each study in the discovery sample was genotyped using commercially available platforms. Prior to imputation, genetic homogeneity was assessed in each sample using multi-dimensional scaling (MDS) analysis. Ancestry outliers were excluded through visual inspection of the first two components. Quality control filtering was applied to remove genotyped SNPs with low minor allele frequency (MAF &lt; 0.01), poor genotype call rate </w:t>
      </w:r>
      <w:proofErr w:type="gramStart"/>
      <w:r w:rsidRPr="00EF4B22">
        <w:rPr>
          <w:sz w:val="24"/>
          <w:szCs w:val="24"/>
        </w:rPr>
        <w:t>(</w:t>
      </w:r>
      <w:r w:rsidR="002C0698">
        <w:rPr>
          <w:sz w:val="24"/>
          <w:szCs w:val="24"/>
        </w:rPr>
        <w:t xml:space="preserve"> </w:t>
      </w:r>
      <w:r w:rsidRPr="00EF4B22">
        <w:rPr>
          <w:sz w:val="24"/>
          <w:szCs w:val="24"/>
        </w:rPr>
        <w:t>&lt;</w:t>
      </w:r>
      <w:proofErr w:type="gramEnd"/>
      <w:r w:rsidR="002C0698">
        <w:rPr>
          <w:sz w:val="24"/>
          <w:szCs w:val="24"/>
        </w:rPr>
        <w:t xml:space="preserve"> </w:t>
      </w:r>
      <w:r w:rsidRPr="00EF4B22">
        <w:rPr>
          <w:sz w:val="24"/>
          <w:szCs w:val="24"/>
        </w:rPr>
        <w:t>95%), and deviations from Hardy-</w:t>
      </w:r>
      <w:r w:rsidR="002C0698">
        <w:rPr>
          <w:sz w:val="24"/>
          <w:szCs w:val="24"/>
        </w:rPr>
        <w:t>Weinberg Equilibrium (HWE p &lt; 1*</w:t>
      </w:r>
      <w:r w:rsidRPr="00EF4B22">
        <w:rPr>
          <w:sz w:val="24"/>
          <w:szCs w:val="24"/>
        </w:rPr>
        <w:t xml:space="preserve">10-6) before imputation. </w:t>
      </w:r>
      <w:r w:rsidR="003B270E" w:rsidRPr="00EF4B22">
        <w:rPr>
          <w:sz w:val="24"/>
          <w:szCs w:val="24"/>
        </w:rPr>
        <w:t xml:space="preserve">Genomic data were </w:t>
      </w:r>
      <w:r w:rsidR="003B270E" w:rsidRPr="00EF4B22">
        <w:rPr>
          <w:sz w:val="24"/>
          <w:szCs w:val="24"/>
        </w:rPr>
        <w:lastRenderedPageBreak/>
        <w:t xml:space="preserve">imputed to a reference panel (1000 Genomes, v3 phase1) comprising only European samples and with monomorphic SNPs removed. </w:t>
      </w:r>
      <w:r w:rsidRPr="00EF4B22">
        <w:rPr>
          <w:sz w:val="24"/>
          <w:szCs w:val="24"/>
        </w:rPr>
        <w:t xml:space="preserve">The imputation protocols used </w:t>
      </w:r>
      <w:proofErr w:type="spellStart"/>
      <w:r w:rsidRPr="00EF4B22">
        <w:rPr>
          <w:sz w:val="24"/>
          <w:szCs w:val="24"/>
        </w:rPr>
        <w:t>MaCH</w:t>
      </w:r>
      <w:proofErr w:type="spellEnd"/>
      <w:r w:rsidR="00913BC2">
        <w:rPr>
          <w:sz w:val="24"/>
          <w:szCs w:val="24"/>
        </w:rPr>
        <w:t xml:space="preserve"> </w:t>
      </w:r>
      <w:r w:rsidR="00C619E3" w:rsidRPr="00EF4B22">
        <w:rPr>
          <w:sz w:val="24"/>
          <w:szCs w:val="24"/>
        </w:rPr>
        <w:fldChar w:fldCharType="begin"/>
      </w:r>
      <w:r w:rsidR="000B5937">
        <w:rPr>
          <w:sz w:val="24"/>
          <w:szCs w:val="24"/>
        </w:rPr>
        <w:instrText xml:space="preserve"> ADDIN ZOTERO_ITEM CSL_CITATION {"citationID":"1gmksnp915","properties":{"formattedCitation":"[4]","plainCitation":"[4]","noteIndex":0},"citationItems":[{"id":"XktMMXBT/UKAg8oDD","uris":["http://zotero.org/users/788477/items/WXIZFQWF"],"uri":["http://zotero.org/users/788477/items/WXIZFQWF"],"itemData":{"id":3465,"type":"article-journal","title":"MaCH: Using Sequence and Genotype Data to Estimate Haplotypes and Unobserved Genotypes","container-title":"Genetic epidemiology","page":"816-834","volume":"34","issue":"8","source":"PubMed Central","abstract":"Genome-wide association studies (GWAS) can identify common alleles that contribute to complex disease susceptibility. Despite the large number of SNPs assessed in each study, the effects of most common SNPs must be evaluated indirectly using either genotyped markers or haplotypes thereof as proxies. We have previously implemented a computationally efficient Markov Chain framework for genotype imputation and haplotyping in the freely available MaCH software package. The approach describes sampled chromosomes as mosaics of each other and uses available genotype and shotgun sequence data to estimate unobserved genotypes and haplotypes, together with useful measures of the quality of these estimates. Our approach is already widely used to facilitate comparison of results across studies as well as meta-analyses of GWAS. Here, we use simulations and experimental genotypes to evaluate its accuracy and utility, considering choices of genotyping panels, reference panel configurations, and designs where genotyping is replaced with shotgun sequencing. Importantly, we show that genotype imputation not only facilitates cross study analyses but also increases power of genetic association studies. We show that genotype imputation of common variants using HapMap haplotypes as a reference is very accurate using either genome-wide SNP data or smaller amounts of data typical in fine-mapping studies. Furthermore, we show the approach is applicable in a variety of populations. Finally, we illustrate how association analyses of unobserved variants will benefit from ongoing advances such as larger HapMap reference panels and whole genome shotgun sequencing technologies.","DOI":"10.1002/gepi.20533","ISSN":"0741-0395","note":"PMID: 21058334\nPMCID: PMC3175618","shortTitle":"MaCH","journalAbbreviation":"Genet Epidemiol","author":[{"family":"Li","given":"Yun"},{"family":"Willer","given":"Cristen J."},{"family":"Ding","given":"Jun"},{"family":"Scheet","given":"Paul"},{"family":"Abecasis","given":"Gonçalo R."}],"issued":{"date-parts":[["2010",12]]}}}],"schema":"https://github.com/citation-style-language/schema/raw/master/csl-citation.json"} </w:instrText>
      </w:r>
      <w:r w:rsidR="00C619E3" w:rsidRPr="00EF4B22">
        <w:rPr>
          <w:sz w:val="24"/>
          <w:szCs w:val="24"/>
        </w:rPr>
        <w:fldChar w:fldCharType="separate"/>
      </w:r>
      <w:r w:rsidR="000B5937" w:rsidRPr="000B5937">
        <w:rPr>
          <w:rFonts w:ascii="Calibri" w:hAnsi="Calibri"/>
          <w:sz w:val="24"/>
        </w:rPr>
        <w:t>[4]</w:t>
      </w:r>
      <w:r w:rsidR="00C619E3" w:rsidRPr="00EF4B22">
        <w:rPr>
          <w:sz w:val="24"/>
          <w:szCs w:val="24"/>
        </w:rPr>
        <w:fldChar w:fldCharType="end"/>
      </w:r>
      <w:r w:rsidRPr="00EF4B22">
        <w:rPr>
          <w:sz w:val="24"/>
          <w:szCs w:val="24"/>
        </w:rPr>
        <w:t xml:space="preserve"> for</w:t>
      </w:r>
      <w:r w:rsidR="00C619E3" w:rsidRPr="00EF4B22">
        <w:rPr>
          <w:sz w:val="24"/>
          <w:szCs w:val="24"/>
        </w:rPr>
        <w:t xml:space="preserve"> haplotype phasing and </w:t>
      </w:r>
      <w:proofErr w:type="spellStart"/>
      <w:r w:rsidR="00C619E3" w:rsidRPr="00EF4B22">
        <w:rPr>
          <w:sz w:val="24"/>
          <w:szCs w:val="24"/>
        </w:rPr>
        <w:t>minimac</w:t>
      </w:r>
      <w:proofErr w:type="spellEnd"/>
      <w:r w:rsidR="00913BC2">
        <w:rPr>
          <w:sz w:val="24"/>
          <w:szCs w:val="24"/>
        </w:rPr>
        <w:t xml:space="preserve"> </w:t>
      </w:r>
      <w:r w:rsidR="00C619E3" w:rsidRPr="00EF4B22">
        <w:rPr>
          <w:sz w:val="24"/>
          <w:szCs w:val="24"/>
        </w:rPr>
        <w:fldChar w:fldCharType="begin"/>
      </w:r>
      <w:r w:rsidR="000B5937">
        <w:rPr>
          <w:sz w:val="24"/>
          <w:szCs w:val="24"/>
        </w:rPr>
        <w:instrText xml:space="preserve"> ADDIN ZOTERO_ITEM CSL_CITATION {"citationID":"1leshj19gu","properties":{"formattedCitation":"[5]","plainCitation":"[5]","noteIndex":0},"citationItems":[{"id":"XktMMXBT/b35JWaC7","uris":["http://zotero.org/users/788477/items/Q5N8UW24"],"uri":["http://zotero.org/users/788477/items/Q5N8UW24"],"itemData":{"id":3461,"type":"article-journal","title":"Fast and accurate genotype imputation in genome-wide association studies through pre-phasing","container-title":"Nature genetics","page":"955-959","volume":"44","issue":"8","source":"PubMed Central","abstract":"Sequencing efforts, including the 1000 Genomes Project and disease-specific efforts, are producing large collections of haplotypes that can be used for genotype imputation in genome-wide association studies (GWAS). Imputing from these reference panels can help identify new risk alleles, but the use of large panels with existing methods imposes a high computational burden. To keep imputation broadly accessible, we introduce a strategy called “pre-phasing” that maintains the accuracy of leading methods while cutting computational costs by orders of magnitude. In brief, we first statistically estimate the haplotypes for each GWAS individual (“pre-phasing”) and then impute missing genotypes into these estimated haplotypes. This reduces the computational cost because: (i) the GWAS samples must be phased only once, whereas standard methods would implicitly re-phase with each reference panel update; (ii) it is much faster to match a phased GWAS haplotype to one reference haplotype than to match unphased GWAS genotypes to a pair of reference haplotypes. This strategy will be particularly valuable for repeated imputation as reference panels evolve.","DOI":"10.1038/ng.2354","ISSN":"1061-4036","note":"PMID: 22820512\nPMCID: PMC3696580","journalAbbreviation":"Nat Genet","author":[{"family":"Howie","given":"Bryan"},{"family":"Fuchsberger","given":"Christian"},{"family":"Stephens","given":"Matthew"},{"family":"Marchini","given":"Jonathan"},{"family":"Abecasis","given":"Gonçalo R."}],"issued":{"date-parts":[["2012",7,22]]}}}],"schema":"https://github.com/citation-style-language/schema/raw/master/csl-citation.json"} </w:instrText>
      </w:r>
      <w:r w:rsidR="00C619E3" w:rsidRPr="00EF4B22">
        <w:rPr>
          <w:sz w:val="24"/>
          <w:szCs w:val="24"/>
        </w:rPr>
        <w:fldChar w:fldCharType="separate"/>
      </w:r>
      <w:r w:rsidR="000B5937" w:rsidRPr="000B5937">
        <w:rPr>
          <w:rFonts w:ascii="Calibri" w:hAnsi="Calibri"/>
          <w:sz w:val="24"/>
        </w:rPr>
        <w:t>[5]</w:t>
      </w:r>
      <w:r w:rsidR="00C619E3" w:rsidRPr="00EF4B22">
        <w:rPr>
          <w:sz w:val="24"/>
          <w:szCs w:val="24"/>
        </w:rPr>
        <w:fldChar w:fldCharType="end"/>
      </w:r>
      <w:r w:rsidRPr="00EF4B22">
        <w:rPr>
          <w:sz w:val="24"/>
          <w:szCs w:val="24"/>
        </w:rPr>
        <w:t xml:space="preserve"> for imputation and are freely available online (</w:t>
      </w:r>
      <w:hyperlink r:id="rId10" w:history="1">
        <w:r w:rsidRPr="00EF4B22">
          <w:rPr>
            <w:rStyle w:val="Hyperlink"/>
            <w:sz w:val="24"/>
            <w:szCs w:val="24"/>
          </w:rPr>
          <w:t>http://enigma.ini.usc.edu/protocols/genetics-protocols/</w:t>
        </w:r>
      </w:hyperlink>
      <w:r w:rsidRPr="00EF4B22">
        <w:rPr>
          <w:sz w:val="24"/>
          <w:szCs w:val="24"/>
        </w:rPr>
        <w:t xml:space="preserve">). </w:t>
      </w:r>
      <w:r w:rsidR="003B270E" w:rsidRPr="00EF4B22">
        <w:rPr>
          <w:sz w:val="24"/>
          <w:szCs w:val="24"/>
        </w:rPr>
        <w:t xml:space="preserve">Only SNPs with an imputation score of RSQ &gt; 0.5 and minor allele counts &gt; 10 within each site were included. Tests of association were conducted separately for eight MRI volumetric phenotypes (amygdala, caudate, hippocampus, nucleus </w:t>
      </w:r>
      <w:proofErr w:type="spellStart"/>
      <w:r w:rsidR="003B270E" w:rsidRPr="00EF4B22">
        <w:rPr>
          <w:sz w:val="24"/>
          <w:szCs w:val="24"/>
        </w:rPr>
        <w:t>accumbens</w:t>
      </w:r>
      <w:proofErr w:type="spellEnd"/>
      <w:r w:rsidR="003B270E" w:rsidRPr="00EF4B22">
        <w:rPr>
          <w:sz w:val="24"/>
          <w:szCs w:val="24"/>
        </w:rPr>
        <w:t>, pallidum, putamen, thalamus and intracranial volume (ICV)) with the following covariates in a multiple linear regression framework: age, age</w:t>
      </w:r>
      <w:r w:rsidR="003B270E" w:rsidRPr="00EF4B22">
        <w:rPr>
          <w:sz w:val="24"/>
          <w:szCs w:val="24"/>
          <w:vertAlign w:val="superscript"/>
        </w:rPr>
        <w:t>2</w:t>
      </w:r>
      <w:r w:rsidR="003B270E" w:rsidRPr="00EF4B22">
        <w:rPr>
          <w:sz w:val="24"/>
          <w:szCs w:val="24"/>
        </w:rPr>
        <w:t>, sex, four MDS components (to account for population structure), ICV (for analyses including subcortical brain phenotypes) and diagnosis (when applicable to case/control cohorts including patients with  anxiety, Alzheimer’s disease, attention-deficit/hyperactivity disorder, bipolar disorder, epilepsy, major depressive disorder or schizophrenia).</w:t>
      </w:r>
    </w:p>
    <w:p w14:paraId="349D88F5" w14:textId="77777777" w:rsidR="005C3F4B" w:rsidRPr="00EF4B22" w:rsidRDefault="005C3F4B" w:rsidP="005C3F4B">
      <w:pPr>
        <w:spacing w:line="480" w:lineRule="auto"/>
        <w:rPr>
          <w:sz w:val="24"/>
          <w:szCs w:val="24"/>
        </w:rPr>
      </w:pPr>
    </w:p>
    <w:p w14:paraId="1A9C006A" w14:textId="77777777" w:rsidR="005C3F4B" w:rsidRPr="00EF4B22" w:rsidRDefault="004E6E0C" w:rsidP="005C3F4B">
      <w:pPr>
        <w:spacing w:line="480" w:lineRule="auto"/>
        <w:rPr>
          <w:i/>
          <w:sz w:val="24"/>
          <w:szCs w:val="24"/>
        </w:rPr>
      </w:pPr>
      <w:r w:rsidRPr="00EF4B22">
        <w:rPr>
          <w:i/>
          <w:sz w:val="24"/>
          <w:szCs w:val="24"/>
        </w:rPr>
        <w:t>Statistical analysis</w:t>
      </w:r>
    </w:p>
    <w:p w14:paraId="6DC89B14" w14:textId="5042B20A" w:rsidR="005C3F4B" w:rsidRPr="00EF4B22" w:rsidRDefault="005C3F4B" w:rsidP="004E6E0C">
      <w:pPr>
        <w:spacing w:line="480" w:lineRule="auto"/>
        <w:ind w:firstLine="720"/>
        <w:rPr>
          <w:sz w:val="24"/>
          <w:szCs w:val="24"/>
        </w:rPr>
      </w:pPr>
      <w:r w:rsidRPr="00EF4B22">
        <w:rPr>
          <w:sz w:val="24"/>
          <w:szCs w:val="24"/>
        </w:rPr>
        <w:t xml:space="preserve">Genome-wide association scans were conducted at each site for all eight traits of interest including ICV and bilateral volumes of the nucleus </w:t>
      </w:r>
      <w:proofErr w:type="spellStart"/>
      <w:r w:rsidRPr="00EF4B22">
        <w:rPr>
          <w:sz w:val="24"/>
          <w:szCs w:val="24"/>
        </w:rPr>
        <w:t>accumbens</w:t>
      </w:r>
      <w:proofErr w:type="spellEnd"/>
      <w:r w:rsidRPr="00EF4B22">
        <w:rPr>
          <w:sz w:val="24"/>
          <w:szCs w:val="24"/>
        </w:rPr>
        <w:t>, amygdala, caudate, hippocampus, pallidum, putamen, and thalamus. For each SNP in the genome, the additive dosage value was regressed against the trait of interest separately using a multiple linear regression framework controlling for age, age</w:t>
      </w:r>
      <w:r w:rsidRPr="002C0698">
        <w:rPr>
          <w:sz w:val="24"/>
          <w:szCs w:val="24"/>
          <w:vertAlign w:val="superscript"/>
        </w:rPr>
        <w:t>2</w:t>
      </w:r>
      <w:r w:rsidRPr="00EF4B22">
        <w:rPr>
          <w:sz w:val="24"/>
          <w:szCs w:val="24"/>
        </w:rPr>
        <w:t xml:space="preserve">, sex, 4 MDS components, ICV (for non-ICV phenotypes), and diagnosis (when applicable). For studies with data collected from multiple centers or scanners, dummy-coded covariates were also included in the model. </w:t>
      </w:r>
      <w:r w:rsidR="004E6E0C" w:rsidRPr="00EF4B22">
        <w:rPr>
          <w:sz w:val="24"/>
          <w:szCs w:val="24"/>
        </w:rPr>
        <w:t xml:space="preserve">The resulting </w:t>
      </w:r>
      <w:r w:rsidR="004E6E0C" w:rsidRPr="00EF4B22">
        <w:rPr>
          <w:sz w:val="24"/>
          <w:szCs w:val="24"/>
        </w:rPr>
        <w:lastRenderedPageBreak/>
        <w:t xml:space="preserve">files were combined meta-analytically using a fixed-effect, inverse variance-weighted model as implemented in the software </w:t>
      </w:r>
      <w:r w:rsidR="00C619E3" w:rsidRPr="00EF4B22">
        <w:rPr>
          <w:sz w:val="24"/>
          <w:szCs w:val="24"/>
        </w:rPr>
        <w:t>package METAL</w:t>
      </w:r>
      <w:r w:rsidR="00913BC2">
        <w:rPr>
          <w:sz w:val="24"/>
          <w:szCs w:val="24"/>
        </w:rPr>
        <w:t xml:space="preserve"> </w:t>
      </w:r>
      <w:r w:rsidR="00C619E3" w:rsidRPr="00EF4B22">
        <w:rPr>
          <w:sz w:val="24"/>
          <w:szCs w:val="24"/>
        </w:rPr>
        <w:fldChar w:fldCharType="begin"/>
      </w:r>
      <w:r w:rsidR="000B5937">
        <w:rPr>
          <w:sz w:val="24"/>
          <w:szCs w:val="24"/>
        </w:rPr>
        <w:instrText xml:space="preserve"> ADDIN ZOTERO_ITEM CSL_CITATION {"citationID":"1g25o52gkv","properties":{"formattedCitation":"[6]","plainCitation":"[6]","noteIndex":0},"citationItems":[{"id":"XktMMXBT/C3rfYmX7","uris":["http://zotero.org/users/788477/items/WW43RR7J"],"uri":["http://zotero.org/users/788477/items/WW43RR7J"],"itemData":{"id":3464,"type":"article-journal","title":"METAL: fast and efficient meta-analysis of genomewide association scans","container-title":"Bioinformatics","page":"2190-2191","volume":"26","issue":"17","source":"PubMed Central","abstract":"Summary: METAL provides a computationally efficient tool for meta-analysis of genome-wide association scans, which is a commonly used approach for improving power complex traits gene mapping studies. METAL provides a rich scripting interface and implements efficient memory management to allow analyses of very large data sets and to support a variety of input file formats., Availability and implementation: METAL, including source code, documentation, examples, and executables, is available at http://www.sph.umich.edu/csg/abecasis/metal/, Contact: goncalo@umich.edu","DOI":"10.1093/bioinformatics/btq340","ISSN":"1367-4803","note":"PMID: 20616382\nPMCID: PMC2922887","shortTitle":"METAL","journalAbbreviation":"Bioinformatics","author":[{"family":"Willer","given":"Cristen J."},{"family":"Li","given":"Yun"},{"family":"Abecasis","given":"Gonçalo R."}],"issued":{"date-parts":[["2010",9,1]]}}}],"schema":"https://github.com/citation-style-language/schema/raw/master/csl-citation.json"} </w:instrText>
      </w:r>
      <w:r w:rsidR="00C619E3" w:rsidRPr="00EF4B22">
        <w:rPr>
          <w:sz w:val="24"/>
          <w:szCs w:val="24"/>
        </w:rPr>
        <w:fldChar w:fldCharType="separate"/>
      </w:r>
      <w:r w:rsidR="000B5937" w:rsidRPr="000B5937">
        <w:rPr>
          <w:rFonts w:ascii="Calibri" w:hAnsi="Calibri"/>
          <w:sz w:val="24"/>
        </w:rPr>
        <w:t>[6]</w:t>
      </w:r>
      <w:r w:rsidR="00C619E3" w:rsidRPr="00EF4B22">
        <w:rPr>
          <w:sz w:val="24"/>
          <w:szCs w:val="24"/>
        </w:rPr>
        <w:fldChar w:fldCharType="end"/>
      </w:r>
      <w:r w:rsidR="004E6E0C" w:rsidRPr="00EF4B22">
        <w:rPr>
          <w:sz w:val="24"/>
          <w:szCs w:val="24"/>
        </w:rPr>
        <w:t>.</w:t>
      </w:r>
    </w:p>
    <w:p w14:paraId="43F22D6D" w14:textId="77777777" w:rsidR="005C3F4B" w:rsidRPr="00EF4B22" w:rsidRDefault="005C3F4B" w:rsidP="005C3F4B">
      <w:pPr>
        <w:spacing w:line="480" w:lineRule="auto"/>
        <w:rPr>
          <w:sz w:val="24"/>
          <w:szCs w:val="24"/>
        </w:rPr>
      </w:pPr>
    </w:p>
    <w:p w14:paraId="3CC57C73" w14:textId="77777777" w:rsidR="005C675F" w:rsidRPr="00EF4B22" w:rsidRDefault="00336979" w:rsidP="005C675F">
      <w:pPr>
        <w:spacing w:line="480" w:lineRule="auto"/>
        <w:rPr>
          <w:sz w:val="24"/>
          <w:szCs w:val="24"/>
        </w:rPr>
      </w:pPr>
      <w:r w:rsidRPr="00EF4B22">
        <w:rPr>
          <w:sz w:val="24"/>
          <w:szCs w:val="24"/>
        </w:rPr>
        <w:t>SM</w:t>
      </w:r>
      <w:r w:rsidR="000D5024" w:rsidRPr="00EF4B22">
        <w:rPr>
          <w:sz w:val="24"/>
          <w:szCs w:val="24"/>
        </w:rPr>
        <w:t xml:space="preserve"> 1.2</w:t>
      </w:r>
      <w:r w:rsidRPr="00EF4B22">
        <w:rPr>
          <w:sz w:val="24"/>
          <w:szCs w:val="24"/>
        </w:rPr>
        <w:t xml:space="preserve"> </w:t>
      </w:r>
      <w:r w:rsidR="00A10199" w:rsidRPr="00EF4B22">
        <w:rPr>
          <w:sz w:val="24"/>
          <w:szCs w:val="24"/>
        </w:rPr>
        <w:t xml:space="preserve">Eating Disorder </w:t>
      </w:r>
      <w:r w:rsidR="005C675F" w:rsidRPr="00EF4B22">
        <w:rPr>
          <w:sz w:val="24"/>
          <w:szCs w:val="24"/>
        </w:rPr>
        <w:t>Working Group of the Psychiatric Genomics Consortium (PGC-</w:t>
      </w:r>
      <w:r w:rsidR="00A10199" w:rsidRPr="00EF4B22">
        <w:rPr>
          <w:sz w:val="24"/>
          <w:szCs w:val="24"/>
        </w:rPr>
        <w:t>ED</w:t>
      </w:r>
      <w:r w:rsidR="005C675F" w:rsidRPr="00EF4B22">
        <w:rPr>
          <w:sz w:val="24"/>
          <w:szCs w:val="24"/>
        </w:rPr>
        <w:t>)</w:t>
      </w:r>
    </w:p>
    <w:p w14:paraId="7F44170C" w14:textId="77777777" w:rsidR="00A64100" w:rsidRPr="00EF4B22" w:rsidRDefault="00A64100" w:rsidP="005C675F">
      <w:pPr>
        <w:spacing w:line="480" w:lineRule="auto"/>
        <w:rPr>
          <w:i/>
          <w:sz w:val="24"/>
          <w:szCs w:val="24"/>
        </w:rPr>
      </w:pPr>
      <w:r w:rsidRPr="00EF4B22">
        <w:rPr>
          <w:i/>
          <w:sz w:val="24"/>
          <w:szCs w:val="24"/>
        </w:rPr>
        <w:t>Cohort description</w:t>
      </w:r>
    </w:p>
    <w:p w14:paraId="72352E4D" w14:textId="5473088C" w:rsidR="00A64100" w:rsidRPr="00EF4B22" w:rsidRDefault="00A10199" w:rsidP="00A64100">
      <w:pPr>
        <w:spacing w:line="480" w:lineRule="auto"/>
        <w:ind w:firstLine="720"/>
        <w:rPr>
          <w:sz w:val="24"/>
          <w:szCs w:val="24"/>
        </w:rPr>
      </w:pPr>
      <w:r w:rsidRPr="00EF4B22">
        <w:rPr>
          <w:sz w:val="24"/>
          <w:szCs w:val="24"/>
        </w:rPr>
        <w:t>PGC-ED</w:t>
      </w:r>
      <w:r w:rsidR="005C675F" w:rsidRPr="00EF4B22">
        <w:rPr>
          <w:sz w:val="24"/>
          <w:szCs w:val="24"/>
        </w:rPr>
        <w:t xml:space="preserve"> is a collaboration representing researchers and clinicians from around the world, founded with the goal of identifying the genetic risk factors involved in the etiology of anorexia nervosa (AN). The Freeze 1 sample (2016) comprises 3,495 individuals with AN and 10,982 controls from 12 separate cohorts. Cases met DSM-IV criteria for either lifetime AN (restricting or binge-purge subtype) or lifetime eating disorders ‘not otherwise specified’ AN-subtype (i.e., exhibiting the core </w:t>
      </w:r>
      <w:r w:rsidR="00A64100" w:rsidRPr="00EF4B22">
        <w:rPr>
          <w:sz w:val="24"/>
          <w:szCs w:val="24"/>
        </w:rPr>
        <w:t>features of AN</w:t>
      </w:r>
      <w:r w:rsidR="00200093">
        <w:rPr>
          <w:sz w:val="24"/>
          <w:szCs w:val="24"/>
        </w:rPr>
        <w:t xml:space="preserve">, also referred to as “atypical AN” </w:t>
      </w:r>
      <w:r w:rsidR="00DD5E88" w:rsidRPr="00EF4B22">
        <w:rPr>
          <w:sz w:val="24"/>
          <w:szCs w:val="24"/>
        </w:rPr>
        <w:t xml:space="preserve">; </w:t>
      </w:r>
      <w:r w:rsidR="00516350" w:rsidRPr="00EF4B22">
        <w:rPr>
          <w:sz w:val="24"/>
          <w:szCs w:val="24"/>
        </w:rPr>
        <w:t>ref</w:t>
      </w:r>
      <w:r w:rsidR="00913BC2">
        <w:rPr>
          <w:sz w:val="24"/>
          <w:szCs w:val="24"/>
        </w:rPr>
        <w:t xml:space="preserve"> </w:t>
      </w:r>
      <w:r w:rsidR="00DD5E88" w:rsidRPr="00EF4B22">
        <w:rPr>
          <w:sz w:val="24"/>
          <w:szCs w:val="24"/>
        </w:rPr>
        <w:fldChar w:fldCharType="begin"/>
      </w:r>
      <w:r w:rsidR="000B5937">
        <w:rPr>
          <w:sz w:val="24"/>
          <w:szCs w:val="24"/>
        </w:rPr>
        <w:instrText xml:space="preserve"> ADDIN ZOTERO_ITEM CSL_CITATION {"citationID":"2oohkhu28u","properties":{"formattedCitation":"[7]","plainCitation":"[7]","noteIndex":0},"citationItems":[{"id":"XktMMXBT/mWmuEG1V","uris":["http://zotero.org/users/788477/items/E7RXCXEM"],"uri":["http://zotero.org/users/788477/items/E7RXCXEM"],"itemData":{"id":3053,"type":"book","title":"Diagnostic and statistical manual of mental disorders / DSM-IV","publisher":"American Psychiatric Association","number-of-pages":"886","edition":"4. ed., 4. pr.","source":"Primo","abstract":"LSTO: 22","ISBN":"0-89042-061-0","language":"eng","author":[{"literal":"American Psychiatric Association"}],"issued":{"date-parts":[["1995"]]}}}],"schema":"https://github.com/citation-style-language/schema/raw/master/csl-citation.json"} </w:instrText>
      </w:r>
      <w:r w:rsidR="00DD5E88" w:rsidRPr="00EF4B22">
        <w:rPr>
          <w:sz w:val="24"/>
          <w:szCs w:val="24"/>
        </w:rPr>
        <w:fldChar w:fldCharType="separate"/>
      </w:r>
      <w:r w:rsidR="000B5937" w:rsidRPr="000B5937">
        <w:rPr>
          <w:rFonts w:ascii="Calibri" w:hAnsi="Calibri"/>
          <w:sz w:val="24"/>
        </w:rPr>
        <w:t>[7]</w:t>
      </w:r>
      <w:r w:rsidR="00DD5E88" w:rsidRPr="00EF4B22">
        <w:rPr>
          <w:sz w:val="24"/>
          <w:szCs w:val="24"/>
        </w:rPr>
        <w:fldChar w:fldCharType="end"/>
      </w:r>
      <w:r w:rsidR="00A64100" w:rsidRPr="00EF4B22">
        <w:rPr>
          <w:sz w:val="24"/>
          <w:szCs w:val="24"/>
        </w:rPr>
        <w:t>).</w:t>
      </w:r>
      <w:r w:rsidR="005C675F" w:rsidRPr="00EF4B22">
        <w:rPr>
          <w:sz w:val="24"/>
          <w:szCs w:val="24"/>
        </w:rPr>
        <w:t xml:space="preserve"> Detailed information on recruitment and case ascertainment can be found </w:t>
      </w:r>
      <w:r w:rsidR="00A64100" w:rsidRPr="00EF4B22">
        <w:rPr>
          <w:sz w:val="24"/>
          <w:szCs w:val="24"/>
        </w:rPr>
        <w:t>elsewhere</w:t>
      </w:r>
      <w:r w:rsidR="00913BC2">
        <w:rPr>
          <w:sz w:val="24"/>
          <w:szCs w:val="24"/>
        </w:rPr>
        <w:t xml:space="preserve"> </w:t>
      </w:r>
      <w:r w:rsidR="00DD5E88" w:rsidRPr="00EF4B22">
        <w:rPr>
          <w:sz w:val="24"/>
          <w:szCs w:val="24"/>
        </w:rPr>
        <w:fldChar w:fldCharType="begin"/>
      </w:r>
      <w:r w:rsidR="000B5937">
        <w:rPr>
          <w:sz w:val="24"/>
          <w:szCs w:val="24"/>
        </w:rPr>
        <w:instrText xml:space="preserve"> ADDIN ZOTERO_ITEM CSL_CITATION {"citationID":"2km2o05t8k","properties":{"formattedCitation":"[8, 9]","plainCitation":"[8, 9]","noteIndex":0},"citationItems":[{"id":"XktMMXBT/9GqaFseM","uris":["http://zotero.org/users/788477/items/ANVD396F"],"uri":["http://zotero.org/users/788477/items/ANVD396F"],"itemData":{"id":3453,"type":"article-journal","title":"A genome-wide association study of anorexia nervosa","container-title":"Molecular Psychiatry","page":"1085-1094","volume":"19","issue":"10","source":"PubMed","abstract":"Anorexia nervosa (AN) is a complex and heritable eating disorder characterized by dangerously low body weight. Neither candidate gene studies nor an initial genome-wide association study (GWAS) have yielded significant and replicated results. We performed a GWAS in 2907 cases with AN from 14 countries (15 sites) and 14 860 ancestrally matched controls as part of the Genetic Consortium for AN (GCAN) and the Wellcome Trust Case Control Consortium 3 (WTCCC3). Individual association analyses were conducted in each stratum and meta-analyzed across all 15 discovery data sets. Seventy-six (72 independent) single nucleotide polymorphisms were taken forward for in silico (two data sets) or de novo (13 data sets) replication genotyping in 2677 independent AN cases and 8629 European ancestry controls along with 458 AN cases and 421 controls from Japan. The final global meta-analysis across discovery and replication data sets comprised 5551 AN cases and 21 080 controls. AN subtype analyses (1606 AN restricting; 1445 AN binge-purge) were performed. No findings reached genome-wide significance. Two intronic variants were suggestively associated: rs9839776 (P=3.01 × 10(-7)) in SOX2OT and rs17030795 (P=5.84 × 10(-6)) in PPP3CA. Two additional signals were specific to Europeans: rs1523921 (P=5.76 × 10(-)(6)) between CUL3 and FAM124B and rs1886797 (P=8.05 × 10(-)(6)) near SPATA13. Comparing discovery with replication results, 76% of the effects were in the same direction, an observation highly unlikely to be due to chance (P=4 × 10(-6)), strongly suggesting that true findings exist but our sample, the largest yet reported, was underpowered for their detection. The accrual of large genotyped AN case-control samples should be an immediate priority for the field.","DOI":"10.1038/mp.2013.187","ISSN":"1476-5578","note":"PMID: 24514567\nPMCID: PMC4325090","journalAbbreviation":"Mol. Psychiatry","language":"eng","author":[{"family":"Boraska","given":"V."},{"family":"Franklin","given":"C. S."},{"family":"Floyd","given":"J. a. B."},{"family":"Thornton","given":"L. M."},{"family":"Huckins","given":"L. M."},{"family":"Southam","given":"L."},{"family":"Rayner","given":"N. W."},{"family":"Tachmazidou","given":"I."},{"family":"Klump","given":"K. L."},{"family":"Treasure","given":"J."},{"family":"Lewis","given":"C. M."},{"family":"Schmidt","given":"U."},{"family":"Tozzi","given":"F."},{"family":"Kiezebrink","given":"K."},{"family":"Hebebrand","given":"J."},{"family":"Gorwood","given":"P."},{"family":"Adan","given":"R. a. H."},{"family":"Kas","given":"M. J. H."},{"family":"Favaro","given":"A."},{"family":"Santonastaso","given":"P."},{"family":"Fernández-Aranda","given":"F."},{"family":"Gratacos","given":"M."},{"family":"Rybakowski","given":"F."},{"family":"Dmitrzak-Weglarz","given":"M."},{"family":"Kaprio","given":"J."},{"family":"Keski-Rahkonen","given":"A."},{"family":"Raevuori","given":"A."},{"family":"Van Furth","given":"E. F."},{"family":"Slof-Op 't Landt","given":"M. C. T."},{"family":"Hudson","given":"J. I."},{"family":"Reichborn-Kjennerud","given":"T."},{"family":"Knudsen","given":"G. P. S."},{"family":"Monteleone","given":"P."},{"family":"Kaplan","given":"A. S."},{"family":"Karwautz","given":"A."},{"family":"Hakonarson","given":"H."},{"family":"Berrettini","given":"W. H."},{"family":"Guo","given":"Y."},{"family":"Li","given":"D."},{"family":"Schork","given":"N. J."},{"family":"Komaki","given":"G."},{"family":"Ando","given":"T."},{"family":"Inoko","given":"H."},{"family":"Esko","given":"T."},{"family":"Fischer","given":"K."},{"family":"Männik","given":"K."},{"family":"Metspalu","given":"A."},{"family":"Baker","given":"J. H."},{"family":"Cone","given":"R. D."},{"family":"Dackor","given":"J."},{"family":"DeSocio","given":"J. E."},{"family":"Hilliard","given":"C. E."},{"family":"O'Toole","given":"J. K."},{"family":"Pantel","given":"J."},{"family":"Szatkiewicz","given":"J. P."},{"family":"Taico","given":"C."},{"family":"Zerwas","given":"S."},{"family":"Trace","given":"S. E."},{"family":"Davis","given":"O. S. P."},{"family":"Helder","given":"S."},{"family":"Bühren","given":"K."},{"family":"Burghardt","given":"R."},{"family":"Zwaan","given":"M.","non-dropping-particle":"de"},{"family":"Egberts","given":"K."},{"family":"Ehrlich","given":"S."},{"family":"Herpertz-Dahlmann","given":"B."},{"family":"Herzog","given":"W."},{"family":"Imgart","given":"H."},{"family":"Scherag","given":"A."},{"family":"Scherag","given":"S."},{"family":"Zipfel","given":"S."},{"family":"Boni","given":"C."},{"family":"Ramoz","given":"N."},{"family":"Versini","given":"A."},{"family":"Brandys","given":"M. K."},{"family":"Danner","given":"U. N."},{"family":"Kovel","given":"C.","non-dropping-particle":"de"},{"family":"Hendriks","given":"J."},{"family":"Koeleman","given":"B. P. C."},{"family":"Ophoff","given":"R. A."},{"family":"Strengman","given":"E."},{"family":"Elburg","given":"A. A.","non-dropping-particle":"van"},{"family":"Bruson","given":"A."},{"family":"Clementi","given":"M."},{"family":"Degortes","given":"D."},{"family":"Forzan","given":"M."},{"family":"Tenconi","given":"E."},{"family":"Docampo","given":"E."},{"family":"Escaramís","given":"G."},{"family":"Jiménez-Murcia","given":"S."},{"family":"Lissowska","given":"J."},{"family":"Rajewski","given":"A."},{"family":"Szeszenia-Dabrowska","given":"N."},{"family":"Slopien","given":"A."},{"family":"Hauser","given":"J."},{"family":"Karhunen","given":"L."},{"family":"Meulenbelt","given":"I."},{"family":"Slagboom","given":"P. E."},{"family":"Tortorella","given":"A."},{"family":"Maj","given":"M."},{"family":"Dedoussis","given":"G."},{"family":"Dikeos","given":"D."},{"family":"Gonidakis","given":"F."},{"family":"Tziouvas","given":"K."},{"family":"Tsitsika","given":"A."},{"family":"Papezova","given":"H."},{"family":"Slachtova","given":"L."},{"family":"Martaskova","given":"D."},{"family":"Kennedy","given":"J. L."},{"family":"Levitan","given":"R. D."},{"family":"Yilmaz","given":"Z."},{"family":"Huemer","given":"J."},{"family":"Koubek","given":"D."},{"family":"Merl","given":"E."},{"family":"Wagner","given":"G."},{"family":"Lichtenstein","given":"P."},{"family":"Breen","given":"G."},{"family":"Cohen-Woods","given":"S."},{"family":"Farmer","given":"A."},{"family":"McGuffin","given":"P."},{"family":"Cichon","given":"S."},{"family":"Giegling","given":"I."},{"family":"Herms","given":"S."},{"family":"Rujescu","given":"D."},{"family":"Schreiber","given":"S."},{"family":"Wichmann","given":"H.-E."},{"family":"Dina","given":"C."},{"family":"Sladek","given":"R."},{"family":"Gambaro","given":"G."},{"family":"Soranzo","given":"N."},{"family":"Julia","given":"A."},{"family":"Marsal","given":"S."},{"family":"Rabionet","given":"R."},{"family":"Gaborieau","given":"V."},{"family":"Dick","given":"D. M."},{"family":"Palotie","given":"A."},{"family":"Ripatti","given":"S."},{"family":"Widén","given":"E."},{"family":"Andreassen","given":"O. A."},{"family":"Espeseth","given":"T."},{"family":"Lundervold","given":"A."},{"family":"Reinvang","given":"I."},{"family":"Steen","given":"V. M."},{"family":"Le Hellard","given":"S."},{"family":"Mattingsdal","given":"M."},{"family":"Ntalla","given":"I."},{"family":"Bencko","given":"V."},{"family":"Foretova","given":"L."},{"family":"Janout","given":"V."},{"family":"Navratilova","given":"M."},{"family":"Gallinger","given":"S."},{"family":"Pinto","given":"D."},{"family":"Scherer","given":"S. W."},{"family":"Aschauer","given":"H."},{"family":"Carlberg","given":"L."},{"family":"Schosser","given":"A."},{"family":"Alfredsson","given":"L."},{"family":"Ding","given":"B."},{"family":"Klareskog","given":"L."},{"family":"Padyukov","given":"L."},{"family":"Courtet","given":"P."},{"family":"Guillaume","given":"S."},{"family":"Jaussent","given":"I."},{"family":"Finan","given":"C."},{"family":"Kalsi","given":"G."},{"family":"Roberts","given":"M."},{"family":"Logan","given":"D. W."},{"family":"Peltonen","given":"L."},{"family":"Ritchie","given":"G. R. S."},{"family":"Barrett","given":"J. C."},{"literal":"Wellcome Trust Case Control Consortium 3"},{"family":"Estivill","given":"X."},{"family":"Hinney","given":"A."},{"family":"Sullivan","given":"P. F."},{"family":"Collier","given":"D. A."},{"family":"Zeggini","given":"E."},{"family":"Bulik","given":"C. M."}],"issued":{"date-parts":[["2014",10]]}}},{"id":"XktMMXBT/1oCR2vfB","uris":["http://zotero.org/users/788477/items/WFDU5KND"],"uri":["http://zotero.org/users/788477/items/WFDU5KND"],"itemData":{"id":3463,"type":"article-journal","title":"A genome-wide association study on common SNPs and rare CNVs in anorexia nervosa","container-title":"Molecular Psychiatry","page":"949-959","volume":"16","issue":"9","source":"PubMed","abstract":"Anorexia nervosa (AN) is a mental illness with high mortality that most commonly afflicts adolescent female individuals. Clinical symptoms include chronic food refusal, weight loss and body image distortions. We carried out a genome-wide association study on 1033 AN cases and 3733 pediatric control subjects, all of whom were of European ancestry and were genotyped on the Illumina HumanHap610 platform (Illumina, San Diego, CA, USA). We confirmed that common single-nucleotide polymorphisms (SNPs) within OPRD1 (rs533123, P=0.0015) confer risk for AN, and obtained suggestive evidence that common SNPs near HTR1D (rs7532266, P=0.04) confer risk for restricting-type AN specifically. However, no SNPs reached genome-wide significance in our data, whereas top association signals were detected near ZNF804B, CSRP2BP, NTNG1, AKAP6 and CDH9. In parallel, we performed genome-wide analysis on copy number variations (CNVs) using the signal intensity data from the SNP arrays. We did not find evidence that AN cases have more CNVs than control subjects, nor do they have over-representation of rare or large CNVs. However, we identified several regions with rare CNVs that were only observed in AN cases, including a recurrent 13q12 deletion (1.5 Mb) disrupting SCAS in two cases, and CNVs disrupting the CNTN6/CNTN4 region in several AN cases. In conclusion, our study suggests that both common SNPs and rare CNVs may confer genetic risk to AN. These results point to intriguing genes that await further validation in independent cohorts for confirmatory roles in AN.","DOI":"10.1038/mp.2010.107","ISSN":"1476-5578","note":"PMID: 21079607\nPMCID: PMC3859494","journalAbbreviation":"Mol. Psychiatry","language":"eng","author":[{"family":"Wang","given":"K."},{"family":"Zhang","given":"H."},{"family":"Bloss","given":"C. S."},{"family":"Duvvuri","given":"V."},{"family":"Kaye","given":"W."},{"family":"Schork","given":"N. J."},{"family":"Berrettini","given":"W."},{"family":"Hakonarson","given":"H."},{"literal":"Price Foundation Collaborative Group"}],"issued":{"date-parts":[["2011",9]]}}}],"schema":"https://github.com/citation-style-language/schema/raw/master/csl-citation.json"} </w:instrText>
      </w:r>
      <w:r w:rsidR="00DD5E88" w:rsidRPr="00EF4B22">
        <w:rPr>
          <w:sz w:val="24"/>
          <w:szCs w:val="24"/>
        </w:rPr>
        <w:fldChar w:fldCharType="separate"/>
      </w:r>
      <w:r w:rsidR="000B5937" w:rsidRPr="000B5937">
        <w:rPr>
          <w:rFonts w:ascii="Calibri" w:hAnsi="Calibri"/>
          <w:sz w:val="24"/>
        </w:rPr>
        <w:t>[8, 9]</w:t>
      </w:r>
      <w:r w:rsidR="00DD5E88" w:rsidRPr="00EF4B22">
        <w:rPr>
          <w:sz w:val="24"/>
          <w:szCs w:val="24"/>
        </w:rPr>
        <w:fldChar w:fldCharType="end"/>
      </w:r>
      <w:r w:rsidR="00A64100" w:rsidRPr="00EF4B22">
        <w:rPr>
          <w:sz w:val="24"/>
          <w:szCs w:val="24"/>
        </w:rPr>
        <w:t>.</w:t>
      </w:r>
      <w:r w:rsidR="005C675F" w:rsidRPr="00EF4B22">
        <w:rPr>
          <w:sz w:val="24"/>
          <w:szCs w:val="24"/>
        </w:rPr>
        <w:t xml:space="preserve"> Out of the 12 cohorts, the largest single contributor (1,031 cases and 3,627 controls post- QC) was the Children’s Hospital of Philadelphia/Price Foundation collection, and these samples were included in a pr</w:t>
      </w:r>
      <w:r w:rsidR="00A64100" w:rsidRPr="00EF4B22">
        <w:rPr>
          <w:sz w:val="24"/>
          <w:szCs w:val="24"/>
        </w:rPr>
        <w:t>evious AN GWAS publication</w:t>
      </w:r>
      <w:r w:rsidR="00913BC2">
        <w:rPr>
          <w:sz w:val="24"/>
          <w:szCs w:val="24"/>
        </w:rPr>
        <w:t xml:space="preserve"> </w:t>
      </w:r>
      <w:r w:rsidR="00DD5E88" w:rsidRPr="00EF4B22">
        <w:rPr>
          <w:sz w:val="24"/>
          <w:szCs w:val="24"/>
        </w:rPr>
        <w:fldChar w:fldCharType="begin"/>
      </w:r>
      <w:r w:rsidR="000B5937">
        <w:rPr>
          <w:sz w:val="24"/>
          <w:szCs w:val="24"/>
        </w:rPr>
        <w:instrText xml:space="preserve"> ADDIN ZOTERO_ITEM CSL_CITATION {"citationID":"19d9mpr3rf","properties":{"formattedCitation":"[9]","plainCitation":"[9]","noteIndex":0},"citationItems":[{"id":"XktMMXBT/1oCR2vfB","uris":["http://zotero.org/users/788477/items/WFDU5KND"],"uri":["http://zotero.org/users/788477/items/WFDU5KND"],"itemData":{"id":3463,"type":"article-journal","title":"A genome-wide association study on common SNPs and rare CNVs in anorexia nervosa","container-title":"Molecular Psychiatry","page":"949-959","volume":"16","issue":"9","source":"PubMed","abstract":"Anorexia nervosa (AN) is a mental illness with high mortality that most commonly afflicts adolescent female individuals. Clinical symptoms include chronic food refusal, weight loss and body image distortions. We carried out a genome-wide association study on 1033 AN cases and 3733 pediatric control subjects, all of whom were of European ancestry and were genotyped on the Illumina HumanHap610 platform (Illumina, San Diego, CA, USA). We confirmed that common single-nucleotide polymorphisms (SNPs) within OPRD1 (rs533123, P=0.0015) confer risk for AN, and obtained suggestive evidence that common SNPs near HTR1D (rs7532266, P=0.04) confer risk for restricting-type AN specifically. However, no SNPs reached genome-wide significance in our data, whereas top association signals were detected near ZNF804B, CSRP2BP, NTNG1, AKAP6 and CDH9. In parallel, we performed genome-wide analysis on copy number variations (CNVs) using the signal intensity data from the SNP arrays. We did not find evidence that AN cases have more CNVs than control subjects, nor do they have over-representation of rare or large CNVs. However, we identified several regions with rare CNVs that were only observed in AN cases, including a recurrent 13q12 deletion (1.5 Mb) disrupting SCAS in two cases, and CNVs disrupting the CNTN6/CNTN4 region in several AN cases. In conclusion, our study suggests that both common SNPs and rare CNVs may confer genetic risk to AN. These results point to intriguing genes that await further validation in independent cohorts for confirmatory roles in AN.","DOI":"10.1038/mp.2010.107","ISSN":"1476-5578","note":"PMID: 21079607\nPMCID: PMC3859494","journalAbbreviation":"Mol. Psychiatry","language":"eng","author":[{"family":"Wang","given":"K."},{"family":"Zhang","given":"H."},{"family":"Bloss","given":"C. S."},{"family":"Duvvuri","given":"V."},{"family":"Kaye","given":"W."},{"family":"Schork","given":"N. J."},{"family":"Berrettini","given":"W."},{"family":"Hakonarson","given":"H."},{"literal":"Price Foundation Collaborative Group"}],"issued":{"date-parts":[["2011",9]]}}}],"schema":"https://github.com/citation-style-language/schema/raw/master/csl-citation.json"} </w:instrText>
      </w:r>
      <w:r w:rsidR="00DD5E88" w:rsidRPr="00EF4B22">
        <w:rPr>
          <w:sz w:val="24"/>
          <w:szCs w:val="24"/>
        </w:rPr>
        <w:fldChar w:fldCharType="separate"/>
      </w:r>
      <w:r w:rsidR="000B5937" w:rsidRPr="000B5937">
        <w:rPr>
          <w:rFonts w:ascii="Calibri" w:hAnsi="Calibri"/>
          <w:sz w:val="24"/>
        </w:rPr>
        <w:t>[9]</w:t>
      </w:r>
      <w:r w:rsidR="00DD5E88" w:rsidRPr="00EF4B22">
        <w:rPr>
          <w:sz w:val="24"/>
          <w:szCs w:val="24"/>
        </w:rPr>
        <w:fldChar w:fldCharType="end"/>
      </w:r>
      <w:r w:rsidR="00A64100" w:rsidRPr="00EF4B22">
        <w:rPr>
          <w:sz w:val="24"/>
          <w:szCs w:val="24"/>
        </w:rPr>
        <w:t>.</w:t>
      </w:r>
      <w:r w:rsidR="005C675F" w:rsidRPr="00EF4B22">
        <w:rPr>
          <w:sz w:val="24"/>
          <w:szCs w:val="24"/>
        </w:rPr>
        <w:t xml:space="preserve"> The remaining 11 cohorts were wholly or in part from the Welcome Trust Case Control Consortium 3 (WTCCC3). The Welcome Trust Sanger Institute genotyped cases for all WTCCC3 AN samples as well as controls for two of the samples, and these cases and controls were included in a </w:t>
      </w:r>
      <w:r w:rsidR="00A64100" w:rsidRPr="00EF4B22">
        <w:rPr>
          <w:sz w:val="24"/>
          <w:szCs w:val="24"/>
        </w:rPr>
        <w:t>previous AN GWAS meta-analysis</w:t>
      </w:r>
      <w:r w:rsidR="00913BC2">
        <w:rPr>
          <w:sz w:val="24"/>
          <w:szCs w:val="24"/>
        </w:rPr>
        <w:t xml:space="preserve"> </w:t>
      </w:r>
      <w:r w:rsidR="00DD5E88" w:rsidRPr="00EF4B22">
        <w:rPr>
          <w:sz w:val="24"/>
          <w:szCs w:val="24"/>
        </w:rPr>
        <w:fldChar w:fldCharType="begin"/>
      </w:r>
      <w:r w:rsidR="000B5937">
        <w:rPr>
          <w:sz w:val="24"/>
          <w:szCs w:val="24"/>
        </w:rPr>
        <w:instrText xml:space="preserve"> ADDIN ZOTERO_ITEM CSL_CITATION {"citationID":"19i2lt23ms","properties":{"formattedCitation":"[8]","plainCitation":"[8]","noteIndex":0},"citationItems":[{"id":"XktMMXBT/9GqaFseM","uris":["http://zotero.org/users/788477/items/ANVD396F"],"uri":["http://zotero.org/users/788477/items/ANVD396F"],"itemData":{"id":3453,"type":"article-journal","title":"A genome-wide association study of anorexia nervosa","container-title":"Molecular Psychiatry","page":"1085-1094","volume":"19","issue":"10","source":"PubMed","abstract":"Anorexia nervosa (AN) is a complex and heritable eating disorder characterized by dangerously low body weight. Neither candidate gene studies nor an initial genome-wide association study (GWAS) have yielded significant and replicated results. We performed a GWAS in 2907 cases with AN from 14 countries (15 sites) and 14 860 ancestrally matched controls as part of the Genetic Consortium for AN (GCAN) and the Wellcome Trust Case Control Consortium 3 (WTCCC3). Individual association analyses were conducted in each stratum and meta-analyzed across all 15 discovery data sets. Seventy-six (72 independent) single nucleotide polymorphisms were taken forward for in silico (two data sets) or de novo (13 data sets) replication genotyping in 2677 independent AN cases and 8629 European ancestry controls along with 458 AN cases and 421 controls from Japan. The final global meta-analysis across discovery and replication data sets comprised 5551 AN cases and 21 080 controls. AN subtype analyses (1606 AN restricting; 1445 AN binge-purge) were performed. No findings reached genome-wide significance. Two intronic variants were suggestively associated: rs9839776 (P=3.01 × 10(-7)) in SOX2OT and rs17030795 (P=5.84 × 10(-6)) in PPP3CA. Two additional signals were specific to Europeans: rs1523921 (P=5.76 × 10(-)(6)) between CUL3 and FAM124B and rs1886797 (P=8.05 × 10(-)(6)) near SPATA13. Comparing discovery with replication results, 76% of the effects were in the same direction, an observation highly unlikely to be due to chance (P=4 × 10(-6)), strongly suggesting that true findings exist but our sample, the largest yet reported, was underpowered for their detection. The accrual of large genotyped AN case-control samples should be an immediate priority for the field.","DOI":"10.1038/mp.2013.187","ISSN":"1476-5578","note":"PMID: 24514567\nPMCID: PMC4325090","journalAbbreviation":"Mol. Psychiatry","language":"eng","author":[{"family":"Boraska","given":"V."},{"family":"Franklin","given":"C. S."},{"family":"Floyd","given":"J. a. B."},{"family":"Thornton","given":"L. M."},{"family":"Huckins","given":"L. M."},{"family":"Southam","given":"L."},{"family":"Rayner","given":"N. W."},{"family":"Tachmazidou","given":"I."},{"family":"Klump","given":"K. L."},{"family":"Treasure","given":"J."},{"family":"Lewis","given":"C. M."},{"family":"Schmidt","given":"U."},{"family":"Tozzi","given":"F."},{"family":"Kiezebrink","given":"K."},{"family":"Hebebrand","given":"J."},{"family":"Gorwood","given":"P."},{"family":"Adan","given":"R. a. H."},{"family":"Kas","given":"M. J. H."},{"family":"Favaro","given":"A."},{"family":"Santonastaso","given":"P."},{"family":"Fernández-Aranda","given":"F."},{"family":"Gratacos","given":"M."},{"family":"Rybakowski","given":"F."},{"family":"Dmitrzak-Weglarz","given":"M."},{"family":"Kaprio","given":"J."},{"family":"Keski-Rahkonen","given":"A."},{"family":"Raevuori","given":"A."},{"family":"Van Furth","given":"E. F."},{"family":"Slof-Op 't Landt","given":"M. C. T."},{"family":"Hudson","given":"J. I."},{"family":"Reichborn-Kjennerud","given":"T."},{"family":"Knudsen","given":"G. P. S."},{"family":"Monteleone","given":"P."},{"family":"Kaplan","given":"A. S."},{"family":"Karwautz","given":"A."},{"family":"Hakonarson","given":"H."},{"family":"Berrettini","given":"W. H."},{"family":"Guo","given":"Y."},{"family":"Li","given":"D."},{"family":"Schork","given":"N. J."},{"family":"Komaki","given":"G."},{"family":"Ando","given":"T."},{"family":"Inoko","given":"H."},{"family":"Esko","given":"T."},{"family":"Fischer","given":"K."},{"family":"Männik","given":"K."},{"family":"Metspalu","given":"A."},{"family":"Baker","given":"J. H."},{"family":"Cone","given":"R. D."},{"family":"Dackor","given":"J."},{"family":"DeSocio","given":"J. E."},{"family":"Hilliard","given":"C. E."},{"family":"O'Toole","given":"J. K."},{"family":"Pantel","given":"J."},{"family":"Szatkiewicz","given":"J. P."},{"family":"Taico","given":"C."},{"family":"Zerwas","given":"S."},{"family":"Trace","given":"S. E."},{"family":"Davis","given":"O. S. P."},{"family":"Helder","given":"S."},{"family":"Bühren","given":"K."},{"family":"Burghardt","given":"R."},{"family":"Zwaan","given":"M.","non-dropping-particle":"de"},{"family":"Egberts","given":"K."},{"family":"Ehrlich","given":"S."},{"family":"Herpertz-Dahlmann","given":"B."},{"family":"Herzog","given":"W."},{"family":"Imgart","given":"H."},{"family":"Scherag","given":"A."},{"family":"Scherag","given":"S."},{"family":"Zipfel","given":"S."},{"family":"Boni","given":"C."},{"family":"Ramoz","given":"N."},{"family":"Versini","given":"A."},{"family":"Brandys","given":"M. K."},{"family":"Danner","given":"U. N."},{"family":"Kovel","given":"C.","non-dropping-particle":"de"},{"family":"Hendriks","given":"J."},{"family":"Koeleman","given":"B. P. C."},{"family":"Ophoff","given":"R. A."},{"family":"Strengman","given":"E."},{"family":"Elburg","given":"A. A.","non-dropping-particle":"van"},{"family":"Bruson","given":"A."},{"family":"Clementi","given":"M."},{"family":"Degortes","given":"D."},{"family":"Forzan","given":"M."},{"family":"Tenconi","given":"E."},{"family":"Docampo","given":"E."},{"family":"Escaramís","given":"G."},{"family":"Jiménez-Murcia","given":"S."},{"family":"Lissowska","given":"J."},{"family":"Rajewski","given":"A."},{"family":"Szeszenia-Dabrowska","given":"N."},{"family":"Slopien","given":"A."},{"family":"Hauser","given":"J."},{"family":"Karhunen","given":"L."},{"family":"Meulenbelt","given":"I."},{"family":"Slagboom","given":"P. E."},{"family":"Tortorella","given":"A."},{"family":"Maj","given":"M."},{"family":"Dedoussis","given":"G."},{"family":"Dikeos","given":"D."},{"family":"Gonidakis","given":"F."},{"family":"Tziouvas","given":"K."},{"family":"Tsitsika","given":"A."},{"family":"Papezova","given":"H."},{"family":"Slachtova","given":"L."},{"family":"Martaskova","given":"D."},{"family":"Kennedy","given":"J. L."},{"family":"Levitan","given":"R. D."},{"family":"Yilmaz","given":"Z."},{"family":"Huemer","given":"J."},{"family":"Koubek","given":"D."},{"family":"Merl","given":"E."},{"family":"Wagner","given":"G."},{"family":"Lichtenstein","given":"P."},{"family":"Breen","given":"G."},{"family":"Cohen-Woods","given":"S."},{"family":"Farmer","given":"A."},{"family":"McGuffin","given":"P."},{"family":"Cichon","given":"S."},{"family":"Giegling","given":"I."},{"family":"Herms","given":"S."},{"family":"Rujescu","given":"D."},{"family":"Schreiber","given":"S."},{"family":"Wichmann","given":"H.-E."},{"family":"Dina","given":"C."},{"family":"Sladek","given":"R."},{"family":"Gambaro","given":"G."},{"family":"Soranzo","given":"N."},{"family":"Julia","given":"A."},{"family":"Marsal","given":"S."},{"family":"Rabionet","given":"R."},{"family":"Gaborieau","given":"V."},{"family":"Dick","given":"D. M."},{"family":"Palotie","given":"A."},{"family":"Ripatti","given":"S."},{"family":"Widén","given":"E."},{"family":"Andreassen","given":"O. A."},{"family":"Espeseth","given":"T."},{"family":"Lundervold","given":"A."},{"family":"Reinvang","given":"I."},{"family":"Steen","given":"V. M."},{"family":"Le Hellard","given":"S."},{"family":"Mattingsdal","given":"M."},{"family":"Ntalla","given":"I."},{"family":"Bencko","given":"V."},{"family":"Foretova","given":"L."},{"family":"Janout","given":"V."},{"family":"Navratilova","given":"M."},{"family":"Gallinger","given":"S."},{"family":"Pinto","given":"D."},{"family":"Scherer","given":"S. W."},{"family":"Aschauer","given":"H."},{"family":"Carlberg","given":"L."},{"family":"Schosser","given":"A."},{"family":"Alfredsson","given":"L."},{"family":"Ding","given":"B."},{"family":"Klareskog","given":"L."},{"family":"Padyukov","given":"L."},{"family":"Courtet","given":"P."},{"family":"Guillaume","given":"S."},{"family":"Jaussent","given":"I."},{"family":"Finan","given":"C."},{"family":"Kalsi","given":"G."},{"family":"Roberts","given":"M."},{"family":"Logan","given":"D. W."},{"family":"Peltonen","given":"L."},{"family":"Ritchie","given":"G. R. S."},{"family":"Barrett","given":"J. C."},{"literal":"Wellcome Trust Case Control Consortium 3"},{"family":"Estivill","given":"X."},{"family":"Hinney","given":"A."},{"family":"Sullivan","given":"P. F."},{"family":"Collier","given":"D. A."},{"family":"Zeggini","given":"E."},{"family":"Bulik","given":"C. M."}],"issued":{"date-parts":[["2014",10]]}}}],"schema":"https://github.com/citation-style-language/schema/raw/master/csl-citation.json"} </w:instrText>
      </w:r>
      <w:r w:rsidR="00DD5E88" w:rsidRPr="00EF4B22">
        <w:rPr>
          <w:sz w:val="24"/>
          <w:szCs w:val="24"/>
        </w:rPr>
        <w:fldChar w:fldCharType="separate"/>
      </w:r>
      <w:r w:rsidR="000B5937" w:rsidRPr="000B5937">
        <w:rPr>
          <w:rFonts w:ascii="Calibri" w:hAnsi="Calibri"/>
          <w:sz w:val="24"/>
        </w:rPr>
        <w:t>[8]</w:t>
      </w:r>
      <w:r w:rsidR="00DD5E88" w:rsidRPr="00EF4B22">
        <w:rPr>
          <w:sz w:val="24"/>
          <w:szCs w:val="24"/>
        </w:rPr>
        <w:fldChar w:fldCharType="end"/>
      </w:r>
      <w:r w:rsidR="00A64100" w:rsidRPr="00EF4B22">
        <w:rPr>
          <w:sz w:val="24"/>
          <w:szCs w:val="24"/>
        </w:rPr>
        <w:t>.</w:t>
      </w:r>
      <w:r w:rsidR="005C675F" w:rsidRPr="00EF4B22">
        <w:rPr>
          <w:sz w:val="24"/>
          <w:szCs w:val="24"/>
        </w:rPr>
        <w:t xml:space="preserve"> As the WTCCC3 did not fund genotyping of controls, ancestrally matched controls for 9 out of 11 WTCCC3 AN samples were sourced from multiple independent and overlapping research groups, consortia (including PGC), and funding bo</w:t>
      </w:r>
      <w:r w:rsidR="00A64100" w:rsidRPr="00EF4B22">
        <w:rPr>
          <w:sz w:val="24"/>
          <w:szCs w:val="24"/>
        </w:rPr>
        <w:t>dies.</w:t>
      </w:r>
    </w:p>
    <w:p w14:paraId="7D3E456B" w14:textId="57EC2D00" w:rsidR="00A64100" w:rsidRPr="00EF4B22" w:rsidRDefault="001A33A1" w:rsidP="005C675F">
      <w:pPr>
        <w:spacing w:line="480" w:lineRule="auto"/>
        <w:rPr>
          <w:sz w:val="24"/>
          <w:szCs w:val="24"/>
        </w:rPr>
      </w:pPr>
      <w:r w:rsidRPr="00EF4B22">
        <w:rPr>
          <w:noProof/>
          <w:sz w:val="24"/>
          <w:szCs w:val="24"/>
          <w:lang w:val="de-DE" w:eastAsia="de-DE"/>
        </w:rPr>
        <w:lastRenderedPageBreak/>
        <w:drawing>
          <wp:inline distT="0" distB="0" distL="0" distR="0" wp14:anchorId="7A8F0B16" wp14:editId="008A625D">
            <wp:extent cx="5943600" cy="25378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537820"/>
                    </a:xfrm>
                    <a:prstGeom prst="rect">
                      <a:avLst/>
                    </a:prstGeom>
                    <a:noFill/>
                    <a:ln>
                      <a:noFill/>
                    </a:ln>
                  </pic:spPr>
                </pic:pic>
              </a:graphicData>
            </a:graphic>
          </wp:inline>
        </w:drawing>
      </w:r>
    </w:p>
    <w:p w14:paraId="1A874114" w14:textId="39653A98" w:rsidR="001A33A1" w:rsidRPr="00EF4B22" w:rsidRDefault="001A33A1" w:rsidP="005C675F">
      <w:pPr>
        <w:spacing w:line="480" w:lineRule="auto"/>
        <w:rPr>
          <w:sz w:val="24"/>
          <w:szCs w:val="24"/>
        </w:rPr>
      </w:pPr>
      <w:r w:rsidRPr="00EF4B22">
        <w:rPr>
          <w:sz w:val="24"/>
          <w:szCs w:val="24"/>
        </w:rPr>
        <w:t>Supplementary Table S2: Descriptive info</w:t>
      </w:r>
      <w:r w:rsidR="002C0698">
        <w:rPr>
          <w:sz w:val="24"/>
          <w:szCs w:val="24"/>
        </w:rPr>
        <w:t>rmation for 12 contributing PGC-</w:t>
      </w:r>
      <w:r w:rsidRPr="00EF4B22">
        <w:rPr>
          <w:sz w:val="24"/>
          <w:szCs w:val="24"/>
        </w:rPr>
        <w:t xml:space="preserve">ED studies. Case, control, and SNP numbers reflect final QC. Other than CHOP, all cases, plus cases and controls from Greece and Italy-South were from the </w:t>
      </w:r>
      <w:proofErr w:type="spellStart"/>
      <w:r w:rsidRPr="00EF4B22">
        <w:rPr>
          <w:sz w:val="24"/>
          <w:szCs w:val="24"/>
        </w:rPr>
        <w:t>Wellcome</w:t>
      </w:r>
      <w:proofErr w:type="spellEnd"/>
      <w:r w:rsidRPr="00EF4B22">
        <w:rPr>
          <w:sz w:val="24"/>
          <w:szCs w:val="24"/>
        </w:rPr>
        <w:t xml:space="preserve"> Trust Case Control Consortium 3 (WTCCC3). SNPs=single nucleotide polymorphisms, same=same chip as cases, CHOP=Children’s Hospital of Philadelphia, Czech Rep.=Czech Republic, Ill. Hum.660W=Illumina Human 660W-Quad, Ill.=Illumina. Table adapted from Duncan et al.</w:t>
      </w:r>
      <w:r w:rsidR="00913BC2">
        <w:rPr>
          <w:sz w:val="24"/>
          <w:szCs w:val="24"/>
        </w:rPr>
        <w:t xml:space="preserve"> </w:t>
      </w:r>
      <w:r w:rsidRPr="00EF4B22">
        <w:rPr>
          <w:sz w:val="24"/>
          <w:szCs w:val="24"/>
        </w:rPr>
        <w:fldChar w:fldCharType="begin"/>
      </w:r>
      <w:r w:rsidR="000B5937">
        <w:rPr>
          <w:sz w:val="24"/>
          <w:szCs w:val="24"/>
        </w:rPr>
        <w:instrText xml:space="preserve"> ADDIN ZOTERO_ITEM CSL_CITATION {"citationID":"a2lt5rtfuhi","properties":{"formattedCitation":"[10]","plainCitation":"[10]","noteIndex":0},"citationItems":[{"id":"XktMMXBT/d4oolZmj","uris":["http://zotero.org/users/788477/items/HKBGXUF6"],"uri":["http://zotero.org/users/788477/items/HKBGXUF6"],"itemData":{"id":4047,"type":"article-journal","title":"Genome-Wide Association Study Reveals First Locus for Anorexia Nervosa and Metabolic Correlations","container-title":"bioRxiv","page":"088815","source":"www.biorxiv.org","abstract":"Anorexia nervosa (AN) is a serious eating disorder characterized by restriction of energy intake relative to requirements, resulting in abnormally low body weight. It has a lifetime prevalence of approximately 1%, disproportionately affects females(1,2), and has no well replicated evidence of effective pharmacological or psychological treatments despite high morbidity and mortality(2). Twin studies support a genetic basis for the observed aggregation of AN in families(3), with heritability estimates of 48%-74%(4). Although initial genome-wide association studies (GWASs) were underpowered(5,6), evidence suggested that signals for AN would be detected with increased power(5). We present a GWAS of 3,495 AN cases and 10,982 controls with one genome-wide significant locus (index variant rs4622308, p=4.3x10-9) in a region (chr12:56,372,585-56,482,185) which includes six genes. The SNP-chip heritability (h_SNP^2) of AN from these data is 0.20 (SE=0.02), suggesting that a substantial fraction of the twin-based heritability stems from common genetic variation. Using these GWAS results, we also find significant positive genetic correlations with schizophrenia, neuroticism, educational attainment, and HDL cholesterol, and significant negative genetic correlations with body mass, insulin, glucose, and lipid phenotypes. Our results support the reconceptualization of AN as a disorder with both psychiatric and metabolic components.","DOI":"10.1101/088815","language":"en","author":[{"family":"Duncan","given":"Laramie"},{"family":"Yilmaz","given":"Zeynep"},{"family":"Walters","given":"Raymond"},{"family":"Goldstein","given":"Jackie"},{"family":"Antilla","given":"Verneri"},{"family":"Bulik-Sullivan","given":"Brendan"},{"family":"Ripke","given":"Stephan"},{"family":"Adan","given":"Roger"},{"family":"Alfredsson","given":"Lars"},{"family":"Ando","given":"Tetsuya"},{"family":"Andreassen","given":"Ole"},{"family":"Aschauer","given":"Harald"},{"family":"Baker","given":"Jessica"},{"family":"Barrett","given":"Jeffrey"},{"family":"Bencko","given":"Vladimir"},{"family":"Bergen","given":"Andrew"},{"family":"Berrettini","given":"Wade"},{"family":"Birgegard","given":"Andreas"},{"family":"Boni","given":"Claudette"},{"family":"Perica","given":"Vesna Boraska"},{"family":"Brandt","given":"Harry"},{"family":"Bughardt","given":"Roland"},{"family":"Carlberg","given":"Laura"},{"family":"Cassina","given":"Matteo"},{"family":"Cesta","given":"Carolyn"},{"family":"Cichon","given":"Sven"},{"family":"Clementi","given":"Maurizio"},{"family":"Cohen-Woods","given":"Sarah"},{"family":"Coleman","given":"Joni"},{"family":"Cone","given":"Roger"},{"family":"Courtet","given":"Philippe"},{"family":"Crawford","given":"Steven"},{"family":"Crow","given":"Scott"},{"family":"Crowley","given":"Jim"},{"family":"Danner","given":"Unna"},{"family":"Davis","given":"Oliver"},{"family":"Zaan","given":"Martia","dropping-particle":"de"},{"family":"Dedoussis","given":"George"},{"family":"Degortes","given":"Daniela"},{"family":"DeSocio","given":"Janiece"},{"family":"Dick","given":"Danielle"},{"family":"Dikeos","given":"Dimitris"},{"family":"Dina","given":"Christian"},{"family":"Ding","given":"Bo"},{"family":"Dmitrzak-Weglarz","given":"Monika"},{"family":"Docampo","given":"Elisa"},{"family":"Egberts","given":"Karin"},{"family":"Ehrlich","given":"Stefan"},{"family":"Escaramis","given":"Georgia"},{"family":"Esko","given":"Tonu"},{"family":"Espeseth","given":"Thomas"},{"family":"Estivill","given":"Xavier"},{"family":"Favaro","given":"Angela"},{"family":"Fernandez-Aranda","given":"Fernando"},{"family":"Fichter","given":"Manfred"},{"family":"Finan","given":"Chris"},{"family":"Fischer","given":"Krista"},{"family":"Floyd","given":"James"},{"family":"Focker","given":"Manuel"},{"family":"Foretova","given":"Lenka"},{"family":"Forzan","given":"Monica"},{"family":"Fox","given":"Caroline"},{"family":"Franklin","given":"Christopher"},{"family":"Bagorieau","given":"Valerie"},{"family":"Gallinger","given":"Steven"},{"family":"Gambaro","given":"Giovanni"},{"family":"Gaspar","given":"Helena"},{"family":"Giegling","given":"Ina"},{"family":"Gonidakis","given":"Fragiskos"},{"family":"Gorwood","given":"Philip"},{"family":"Gratacos","given":"Monica"},{"family":"Guillaume","given":"Sebastien"},{"family":"Guo","given":"Yiran"},{"family":"Hakonarson","given":"Hakon"},{"family":"Halmi","given":"Katherine"},{"family":"Harrison","given":"Rebecca"},{"family":"Hatzikotoulas","given":"Konstantinos"},{"family":"Hauser","given":"Hoanna"},{"family":"Hebebrand","given":"Johannes"},{"family":"Helder","given":"Sietske"},{"family":"Hendriks","given":"Judith"},{"family":"Herms","given":"Stefan"},{"family":"Herpertz-Dahlmann","given":"Beate"},{"family":"Herzog","given":"Wolfgang"},{"family":"Hilliard","given":"Christopher"},{"family":"Huckins","given":"Laura"},{"family":"Hudson","given":"James"},{"family":"Huemer","given":"Julia"},{"family":"Imgart","given":"Hartmut"},{"family":"Inoko","given":"Hidetoshi"},{"family":"Jall","given":"Sigrid"},{"family":"Janout","given":"Vladimir"},{"family":"Jimenez-Murcia","given":"Susana"},{"family":"Jimenez-Murcia","given":"Susana"},{"family":"Jordan","given":"Jenny"},{"family":"Julia","given":"Antonio"},{"family":"Jureus","given":"Anders"},{"family":"Kalsi","given":"Gursharan"},{"family":"Kaplan","given":"Allan"},{"family":"Kaplan","given":"Allan"},{"family":"Karhunen","given":"Leila"},{"family":"Karwautz","given":"Andreas"},{"family":"Kas","given":"Martien"},{"family":"Kaye","given":"Walter"},{"family":"Kennedy","given":"Martin"},{"family":"Kennedy","given":"James"},{"family":"Keski-Rahkonen","given":"Anna"},{"family":"Kiezebrink","given":"Kirsty"},{"family":"Kim","given":"Youl-Ri"},{"family":"Klareskog","given":"Lars"},{"family":"Klump","given":"Kelly"},{"family":"Knudsen","given":"Gun Peggy"},{"family":"Koeleman","given":"Bobby"},{"family":"Koubek","given":"Doris"},{"family":"Via","given":"Maria La"},{"family":"Landen","given":"Mikael"},{"family":"Hellard","given":"Stephanie Le"},{"family":"Levitan","given":"Robert"},{"family":"Li","given":"Dong"},{"family":"Lichtenstein","given":"Paul"},{"family":"Lilenfeld","given":"Lisa"},{"family":"Lissowska","given":"Jolanta"},{"family":"Lundervold","given":"Astri"},{"family":"Magistretti","given":"Pierre"},{"family":"Maj","given":"Mario"},{"family":"Mannik","given":"Katrin"},{"family":"Mannik","given":"Katrin"},{"family":"Kaminska","given":"Debora"},{"family":"Martin","given":"Nicholas"},{"family":"Mattingsdal","given":"Morten"},{"family":"McDevitt","given":"Sara"},{"family":"McGuffin","given":"Peter"},{"family":"Merl","given":"Elisabeth"},{"family":"Metspalu","given":"Andres"},{"family":"Meulenbelt","given":"Ingrid"},{"family":"Micali","given":"Nadia"},{"family":"Mitchell","given":"James"},{"family":"Mitchell","given":"Karen"},{"family":"Monteleone","given":"Palmiero"},{"family":"Monteleone","given":"Alessio Maria"},{"family":"Montgomery","given":"Grant"},{"family":"Mortensen","given":"Preben"},{"family":"Munn-Chernoff","given":"Melissa"},{"family":"Muller","given":"Timo"},{"family":"Nacmias","given":"Benedetta"},{"family":"Navratilova","given":"Marie"},{"family":"Nilsson","given":"Ida"},{"family":"Norring","given":"Claes"},{"family":"Ntalla","given":"Ioanna"},{"family":"Ophoff","given":"Roel"},{"family":"O'Toole","given":"Julie"},{"family":"Palotie","given":"Aarno"},{"family":"Pantel","given":"Jacques"},{"family":"Papezova","given":"Hana"},{"family":"Parker","given":"Richard"},{"family":"Pinto","given":"Dalila"},{"family":"Rabionet","given":"Raquel"},{"family":"Raevuori","given":"Anu"},{"family":"Rajewski","given":"Andrzej"},{"family":"Ramoz","given":"Nicolas"},{"family":"Rayner","given":"N. William"},{"family":"Reichborn-Kjennerud","given":"Ted"},{"family":"Ricca","given":"Valdo"},{"family":"Ripatti","given":"Samuli"},{"family":"Ritschel","given":"Franziska"},{"family":"Roberts","given":"Marion"},{"family":"Rotondo","given":"Alessandro"},{"family":"Rujescu","given":"Dan"},{"family":"Rybakowski","given":"Filip"},{"family":"Santonastaso","given":"Paolo"},{"family":"Scherag","given":"Andre"},{"family":"Scherer","given":"Stephen"},{"family":"Schmidt","given":"Ulrike"},{"family":"Schork","given":"Nicholas"},{"family":"Schosser","given":"Alexandra"},{"family":"Seitz","given":"Jochen"},{"family":"Slachtova","given":"Lenka"},{"family":"Sladek","given":"Robert"},{"family":"Slagboom","given":"P. Eline"},{"family":"Landt","given":"Margarita Slof-Op","dropping-particle":"'t"},{"family":"Slopien","given":"Agnieszka"},{"family":"Slopien","given":"Agnieszka"},{"family":"Soranzo","given":"Nicole"},{"family":"Sorbi","given":"Sandro"},{"family":"Southam","given":"Lorraine"},{"family":"Steen","given":"Vidar"},{"family":"Steen","given":"Vidar"},{"family":"Strober","given":"Michael"},{"family":"Szatkiewicz","given":"Jin"},{"family":"Szeszenia-Dabrowska","given":"Neonila"},{"family":"Tachmazidou","given":"Ioanna"},{"family":"Tenconi","given":"Elena"},{"family":"Tortorella","given":"Alfonso"},{"family":"Tozzi","given":"Federica"},{"family":"Treasure","given":"Janet"},{"family":"Tschop","given":"Matthias"},{"family":"Tsitsika","given":"Artemis"},{"family":"Tziouvas","given":"Konstantinos"},{"family":"Elburg","given":"Annemarie","dropping-particle":"van"},{"family":"Furth","given":"Eric","dropping-particle":"van"},{"family":"Wade","given":"Tracey"},{"family":"Wagner","given":"Gudrun"},{"family":"Walton","given":"Esther"},{"family":"Watson","given":"Hunna"},{"family":"Wichmann","given":"H.-Erich"},{"family":"Widen","given":"Elisabeth"},{"family":"Woodside","given":"D. Blake"},{"family":"Yanovski","given":"Jack"},{"family":"Yao","given":"Shuyang"},{"family":"Zerwas","given":"Stephanie"},{"family":"Zipfel","given":"Stephan"},{"family":"Thornton","given":"Laura"},{"family":"Hinney","given":"Anke"},{"family":"Daly","given":"Mark"},{"family":"Sullivan","given":"Patrick"},{"family":"Zeggini","given":"Eleftheria"},{"family":"Breen","given":"Gerome"},{"family":"Bulik","given":"Cynthia"}],"issued":{"date-parts":[["2016",11,25]]}}}],"schema":"https://github.com/citation-style-language/schema/raw/master/csl-citation.json"} </w:instrText>
      </w:r>
      <w:r w:rsidRPr="00EF4B22">
        <w:rPr>
          <w:sz w:val="24"/>
          <w:szCs w:val="24"/>
        </w:rPr>
        <w:fldChar w:fldCharType="separate"/>
      </w:r>
      <w:r w:rsidR="000B5937" w:rsidRPr="000B5937">
        <w:rPr>
          <w:rFonts w:ascii="Calibri" w:hAnsi="Calibri"/>
          <w:sz w:val="24"/>
        </w:rPr>
        <w:t>[10]</w:t>
      </w:r>
      <w:r w:rsidRPr="00EF4B22">
        <w:rPr>
          <w:sz w:val="24"/>
          <w:szCs w:val="24"/>
        </w:rPr>
        <w:fldChar w:fldCharType="end"/>
      </w:r>
      <w:r w:rsidRPr="00EF4B22">
        <w:rPr>
          <w:sz w:val="24"/>
          <w:szCs w:val="24"/>
        </w:rPr>
        <w:t>.</w:t>
      </w:r>
    </w:p>
    <w:p w14:paraId="26130AE8" w14:textId="77777777" w:rsidR="00EF4B22" w:rsidRDefault="00EF4B22" w:rsidP="005C675F">
      <w:pPr>
        <w:spacing w:line="480" w:lineRule="auto"/>
        <w:rPr>
          <w:i/>
          <w:sz w:val="24"/>
          <w:szCs w:val="24"/>
        </w:rPr>
      </w:pPr>
    </w:p>
    <w:p w14:paraId="58FA070A" w14:textId="08224739" w:rsidR="00A64100" w:rsidRPr="00EF4B22" w:rsidRDefault="005C3F4B" w:rsidP="005C675F">
      <w:pPr>
        <w:spacing w:line="480" w:lineRule="auto"/>
        <w:rPr>
          <w:i/>
          <w:sz w:val="24"/>
          <w:szCs w:val="24"/>
        </w:rPr>
      </w:pPr>
      <w:r w:rsidRPr="00EF4B22">
        <w:rPr>
          <w:i/>
          <w:sz w:val="24"/>
          <w:szCs w:val="24"/>
        </w:rPr>
        <w:t>Genetic q</w:t>
      </w:r>
      <w:r w:rsidR="00A64100" w:rsidRPr="00EF4B22">
        <w:rPr>
          <w:i/>
          <w:sz w:val="24"/>
          <w:szCs w:val="24"/>
        </w:rPr>
        <w:t>uality control (QC)</w:t>
      </w:r>
    </w:p>
    <w:p w14:paraId="0AECFD80" w14:textId="7D7B109E" w:rsidR="00A64100" w:rsidRPr="00EF4B22" w:rsidRDefault="005C675F" w:rsidP="00A64100">
      <w:pPr>
        <w:spacing w:line="480" w:lineRule="auto"/>
        <w:ind w:firstLine="720"/>
        <w:rPr>
          <w:sz w:val="24"/>
          <w:szCs w:val="24"/>
        </w:rPr>
      </w:pPr>
      <w:r w:rsidRPr="00EF4B22">
        <w:rPr>
          <w:sz w:val="24"/>
          <w:szCs w:val="24"/>
        </w:rPr>
        <w:t xml:space="preserve">Genotyping of cases and controls was performed using Illumina arrays (Illumina, Inc., San Diego, CA). QC was performed on each of the 12 individual datasets using the updated version </w:t>
      </w:r>
      <w:r w:rsidR="00A64100" w:rsidRPr="00EF4B22">
        <w:rPr>
          <w:sz w:val="24"/>
          <w:szCs w:val="24"/>
        </w:rPr>
        <w:t>of PLINK</w:t>
      </w:r>
      <w:r w:rsidR="00913BC2">
        <w:rPr>
          <w:sz w:val="24"/>
          <w:szCs w:val="24"/>
        </w:rPr>
        <w:t xml:space="preserve"> </w:t>
      </w:r>
      <w:r w:rsidR="00DD5E88" w:rsidRPr="00EF4B22">
        <w:rPr>
          <w:sz w:val="24"/>
          <w:szCs w:val="24"/>
        </w:rPr>
        <w:fldChar w:fldCharType="begin"/>
      </w:r>
      <w:r w:rsidR="000B5937">
        <w:rPr>
          <w:sz w:val="24"/>
          <w:szCs w:val="24"/>
        </w:rPr>
        <w:instrText xml:space="preserve"> ADDIN ZOTERO_ITEM CSL_CITATION {"citationID":"8ri3sbfl6","properties":{"formattedCitation":"[11]","plainCitation":"[11]","noteIndex":0},"citationItems":[{"id":"XktMMXBT/1C83SUZt","uris":["http://zotero.org/users/788477/items/KVKUG8VX"],"uri":["http://zotero.org/users/788477/items/KVKUG8VX"],"itemData":{"id":454,"type":"article-journal","title":"PLINK: A Tool Set for Whole-Genome Association and Population-Based Linkage Analyses","container-title":"American Journal of Human Genetics","page":"559-575","volume":"81","issue":"3","source":"PubMed Central","abstract":"Whole-genome association studies (WGAS) bring new computational, as well as analytic, challenges to researchers. Many existing genetic-analysis tools are not designed to handle such large data sets in a convenient manner and do not necessarily exploit the new opportunities that whole-genome data bring. To address these issues, we developed PLINK, an open-source C/C++ WGAS tool set. With PLINK, large data sets comprising hundreds of thousands of markers genotyped for thousands of individuals can be rapidly manipulated and analyzed in their entirety. As well as providing tools to make the basic analytic steps computationally efficient, PLINK also supports some novel approaches to whole-genome data that take advantage of whole-genome coverage. We introduce PLINK and describe the five main domains of function: data management, summary statistics, population stratification, association analysis, and identity-by-descent estimation. In particular, we focus on the estimation and use of identity-by-state and identity-by-descent information in the context of population-based whole-genome studies. This information can be used to detect and correct for population stratification and to identify extended chromosomal segments that are shared identical by descent between very distantly related individuals. Analysis of the patterns of segmental sharing has the potential to map disease loci that contain multiple rare variants in a population-based linkage analysis.","ISSN":"0002-9297","note":"PMID: 17701901\nPMCID: 1950838","shortTitle":"PLINK","journalAbbreviation":"Am J Hum Genet","author":[{"family":"Purcell","given":"Shaun"},{"family":"Neale","given":"Benjamin"},{"family":"Todd-Brown","given":"Kathe"},{"family":"Thomas","given":"Lori"},{"family":"Ferreira","given":"Manuel A. R."},{"family":"Bender","given":"David"},{"family":"Maller","given":"Julian"},{"family":"Sklar","given":"Pamela"},{"family":"de Bakker","given":"Paul I. W."},{"family":"Daly","given":"Mark J."},{"family":"Sham","given":"Pak C."}],"issued":{"date-parts":[["2007",9]]}}}],"schema":"https://github.com/citation-style-language/schema/raw/master/csl-citation.json"} </w:instrText>
      </w:r>
      <w:r w:rsidR="00DD5E88" w:rsidRPr="00EF4B22">
        <w:rPr>
          <w:sz w:val="24"/>
          <w:szCs w:val="24"/>
        </w:rPr>
        <w:fldChar w:fldCharType="separate"/>
      </w:r>
      <w:r w:rsidR="000B5937" w:rsidRPr="000B5937">
        <w:rPr>
          <w:rFonts w:ascii="Calibri" w:hAnsi="Calibri"/>
          <w:sz w:val="24"/>
        </w:rPr>
        <w:t>[11]</w:t>
      </w:r>
      <w:r w:rsidR="00DD5E88" w:rsidRPr="00EF4B22">
        <w:rPr>
          <w:sz w:val="24"/>
          <w:szCs w:val="24"/>
        </w:rPr>
        <w:fldChar w:fldCharType="end"/>
      </w:r>
      <w:r w:rsidR="00A64100" w:rsidRPr="00EF4B22">
        <w:rPr>
          <w:sz w:val="24"/>
          <w:szCs w:val="24"/>
        </w:rPr>
        <w:t>.</w:t>
      </w:r>
      <w:r w:rsidRPr="00EF4B22">
        <w:rPr>
          <w:sz w:val="24"/>
          <w:szCs w:val="24"/>
        </w:rPr>
        <w:t xml:space="preserve"> Exclusion criteria for SNP-level QC comprised: (1) missingness &gt; 0.02; (2) minor allele frequency &lt; 0.05; (3) differential missingness between cases and controls &gt; 0.</w:t>
      </w:r>
      <w:r w:rsidR="002C0698">
        <w:rPr>
          <w:sz w:val="24"/>
          <w:szCs w:val="24"/>
        </w:rPr>
        <w:t>02; and (4) HWE cutoff of p &lt; 1*</w:t>
      </w:r>
      <w:r w:rsidRPr="00EF4B22">
        <w:rPr>
          <w:sz w:val="24"/>
          <w:szCs w:val="24"/>
        </w:rPr>
        <w:t xml:space="preserve">10-6 </w:t>
      </w:r>
      <w:r w:rsidR="002C0698">
        <w:rPr>
          <w:sz w:val="24"/>
          <w:szCs w:val="24"/>
        </w:rPr>
        <w:t>for controls and p &lt; 1*</w:t>
      </w:r>
      <w:r w:rsidRPr="00EF4B22">
        <w:rPr>
          <w:sz w:val="24"/>
          <w:szCs w:val="24"/>
        </w:rPr>
        <w:t xml:space="preserve">10-10 for cases. Exclusion criteria for </w:t>
      </w:r>
      <w:r w:rsidRPr="00EF4B22">
        <w:rPr>
          <w:sz w:val="24"/>
          <w:szCs w:val="24"/>
        </w:rPr>
        <w:lastRenderedPageBreak/>
        <w:t xml:space="preserve">sample-level QC comprised: (1) missingness &gt; 0.02; (2) FHET &gt; |0.2|; (3) failed sex check; and (4) π̂ &gt; 0.2 for relatedness. Principal components analysis (PCA) was first performed within each dataset and then across all datasets using </w:t>
      </w:r>
      <w:proofErr w:type="spellStart"/>
      <w:r w:rsidR="00A64100" w:rsidRPr="00EF4B22">
        <w:rPr>
          <w:sz w:val="24"/>
          <w:szCs w:val="24"/>
        </w:rPr>
        <w:t>FastPCA</w:t>
      </w:r>
      <w:proofErr w:type="spellEnd"/>
      <w:r w:rsidR="00913BC2">
        <w:rPr>
          <w:sz w:val="24"/>
          <w:szCs w:val="24"/>
        </w:rPr>
        <w:t xml:space="preserve"> </w:t>
      </w:r>
      <w:r w:rsidR="00DD5E88" w:rsidRPr="00EF4B22">
        <w:rPr>
          <w:sz w:val="24"/>
          <w:szCs w:val="24"/>
        </w:rPr>
        <w:fldChar w:fldCharType="begin"/>
      </w:r>
      <w:r w:rsidR="000B5937">
        <w:rPr>
          <w:sz w:val="24"/>
          <w:szCs w:val="24"/>
        </w:rPr>
        <w:instrText xml:space="preserve"> ADDIN ZOTERO_ITEM CSL_CITATION {"citationID":"20hge3c223","properties":{"formattedCitation":"[12]","plainCitation":"[12]","noteIndex":0},"citationItems":[{"id":"XktMMXBT/ppKWZvKb","uris":["http://zotero.org/users/788477/items/MP36RDUF"],"uri":["http://zotero.org/users/788477/items/MP36RDUF"],"itemData":{"id":3458,"type":"article-journal","title":"Fast Principal-Component Analysis Reveals Convergent Evolution of ADH1B in Europe and East Asia","container-title":"American Journal of Human Genetics","page":"456-472","volume":"98","issue":"3","source":"PubMed","abstract":"Searching for genetic variants with unusual differentiation between subpopulations is an established approach for identifying signals of natural selection. However, existing methods generally require discrete subpopulations. We introduce a method that infers selection using principal components (PCs) by identifying variants whose differentiation along top PCs is significantly greater than the null distribution of genetic drift. To enable the application of this method to large datasets, we developed the FastPCA software, which employs recent advances in random matrix theory to accurately approximate top PCs while reducing time and memory cost from quadratic to linear in the number of individuals, a computational improvement of many orders of magnitude. We apply FastPCA to a cohort of 54,734 European Americans, identifying 5 distinct subpopulations spanning the top 4 PCs. Using the PC-based test for natural selection, we replicate previously known selected loci and identify three new genome-wide significant signals of selection, including selection in Europeans at ADH1B. The coding variant rs1229984(</w:instrText>
      </w:r>
      <w:r w:rsidR="000B5937">
        <w:rPr>
          <w:rFonts w:ascii="Cambria Math" w:hAnsi="Cambria Math" w:cs="Cambria Math"/>
          <w:sz w:val="24"/>
          <w:szCs w:val="24"/>
        </w:rPr>
        <w:instrText>∗</w:instrText>
      </w:r>
      <w:r w:rsidR="000B5937">
        <w:rPr>
          <w:sz w:val="24"/>
          <w:szCs w:val="24"/>
        </w:rPr>
        <w:instrText xml:space="preserve">)T has previously been associated to a decreased risk of alcoholism and shown to be under selection in East Asians; we show that it is a rare example of independent evolution on two continents. We also detect selection signals at IGFBP3 and IGH, which have also previously been associated to human disease.","DOI":"10.1016/j.ajhg.2015.12.022","ISSN":"1537-6605","note":"PMID: 26924531\nPMCID: PMC4827102","journalAbbreviation":"Am. J. Hum. Genet.","language":"eng","author":[{"family":"Galinsky","given":"Kevin J."},{"family":"Bhatia","given":"Gaurav"},{"family":"Loh","given":"Po-Ru"},{"family":"Georgiev","given":"Stoyan"},{"family":"Mukherjee","given":"Sayan"},{"family":"Patterson","given":"Nick J."},{"family":"Price","given":"Alkes L."}],"issued":{"date-parts":[["2016",3,3]]}}}],"schema":"https://github.com/citation-style-language/schema/raw/master/csl-citation.json"} </w:instrText>
      </w:r>
      <w:r w:rsidR="00DD5E88" w:rsidRPr="00EF4B22">
        <w:rPr>
          <w:sz w:val="24"/>
          <w:szCs w:val="24"/>
        </w:rPr>
        <w:fldChar w:fldCharType="separate"/>
      </w:r>
      <w:r w:rsidR="000B5937" w:rsidRPr="000B5937">
        <w:rPr>
          <w:rFonts w:ascii="Calibri" w:hAnsi="Calibri"/>
          <w:sz w:val="24"/>
        </w:rPr>
        <w:t>[12]</w:t>
      </w:r>
      <w:r w:rsidR="00DD5E88" w:rsidRPr="00EF4B22">
        <w:rPr>
          <w:sz w:val="24"/>
          <w:szCs w:val="24"/>
        </w:rPr>
        <w:fldChar w:fldCharType="end"/>
      </w:r>
      <w:r w:rsidR="00A64100" w:rsidRPr="00EF4B22">
        <w:rPr>
          <w:sz w:val="24"/>
          <w:szCs w:val="24"/>
        </w:rPr>
        <w:t>,</w:t>
      </w:r>
      <w:r w:rsidRPr="00EF4B22">
        <w:rPr>
          <w:sz w:val="24"/>
          <w:szCs w:val="24"/>
        </w:rPr>
        <w:t xml:space="preserve"> as implemented in the PGC pipeline</w:t>
      </w:r>
      <w:r w:rsidR="00913BC2">
        <w:rPr>
          <w:sz w:val="24"/>
          <w:szCs w:val="24"/>
        </w:rPr>
        <w:t xml:space="preserve"> </w:t>
      </w:r>
      <w:r w:rsidR="00DD5E88" w:rsidRPr="00EF4B22">
        <w:rPr>
          <w:sz w:val="24"/>
          <w:szCs w:val="24"/>
        </w:rPr>
        <w:fldChar w:fldCharType="begin"/>
      </w:r>
      <w:r w:rsidR="000B5937">
        <w:rPr>
          <w:sz w:val="24"/>
          <w:szCs w:val="24"/>
        </w:rPr>
        <w:instrText xml:space="preserve"> ADDIN ZOTERO_ITEM CSL_CITATION {"citationID":"ir76m6mbu","properties":{"formattedCitation":"[13]","plainCitation":"[13]","noteIndex":0},"citationItems":[{"id":"XktMMXBT/hFk7tzqG","uris":["http://zotero.org/users/788477/items/FMS6FKZX"],"uri":["http://zotero.org/users/788477/items/FMS6FKZX"],"itemData":{"id":3455,"type":"article-journal","title":"Biological insights from 108 schizophrenia-associated genetic loci","container-title":"Nature","page":"421-427","volume":"511","issue":"7510","source":"PubMed","abstract":"Schizophrenia is a highly heritable disorder. Genetic risk is conferred by a large number of alleles, including common alleles of small effect that might be detected by genome-wide association studies. Here we report a multi-stage schizophrenia genome-wide association study of up to 36,989 cases and 113,075 controls. We identify 128 independent associations spanning 108 conservatively defined loci that meet genome-wide significance, 83 of which have not been previously reported. Associations were enriched among genes expressed in brain, providing biological plausibility for the findings. Many findings have the potential to provide entirely new insights into aetiology, but associations at DRD2 and several genes involved in glutamatergic neurotransmission highlight molecules of known and potential therapeutic relevance to schizophrenia, and are consistent with leading pathophysiological hypotheses. Independent of genes expressed in brain, associations were enriched among genes expressed in tissues that have important roles in immunity, providing support for the speculated link between the immune system and schizophrenia.","DOI":"10.1038/nature13595","ISSN":"1476-4687","note":"PMID: 25056061\nPMCID: PMC4112379","journalAbbreviation":"Nature","language":"eng","author":[{"literal":"Schizophrenia Working Group of the Psychiatric Genomics Consortium"}],"issued":{"date-parts":[["2014",7,24]]}}}],"schema":"https://github.com/citation-style-language/schema/raw/master/csl-citation.json"} </w:instrText>
      </w:r>
      <w:r w:rsidR="00DD5E88" w:rsidRPr="00EF4B22">
        <w:rPr>
          <w:sz w:val="24"/>
          <w:szCs w:val="24"/>
        </w:rPr>
        <w:fldChar w:fldCharType="separate"/>
      </w:r>
      <w:r w:rsidR="000B5937" w:rsidRPr="000B5937">
        <w:rPr>
          <w:rFonts w:ascii="Calibri" w:hAnsi="Calibri"/>
          <w:sz w:val="24"/>
        </w:rPr>
        <w:t>[13]</w:t>
      </w:r>
      <w:r w:rsidR="00DD5E88" w:rsidRPr="00EF4B22">
        <w:rPr>
          <w:sz w:val="24"/>
          <w:szCs w:val="24"/>
        </w:rPr>
        <w:fldChar w:fldCharType="end"/>
      </w:r>
      <w:r w:rsidR="00A64100" w:rsidRPr="00EF4B22">
        <w:rPr>
          <w:sz w:val="24"/>
          <w:szCs w:val="24"/>
        </w:rPr>
        <w:t>.</w:t>
      </w:r>
    </w:p>
    <w:p w14:paraId="40C5DC6F" w14:textId="77777777" w:rsidR="00A64100" w:rsidRPr="00EF4B22" w:rsidRDefault="00A64100" w:rsidP="005C675F">
      <w:pPr>
        <w:spacing w:line="480" w:lineRule="auto"/>
        <w:rPr>
          <w:sz w:val="24"/>
          <w:szCs w:val="24"/>
        </w:rPr>
      </w:pPr>
    </w:p>
    <w:p w14:paraId="01A66C5D" w14:textId="77777777" w:rsidR="00A64100" w:rsidRPr="00EF4B22" w:rsidRDefault="005C675F" w:rsidP="005C675F">
      <w:pPr>
        <w:spacing w:line="480" w:lineRule="auto"/>
        <w:rPr>
          <w:i/>
          <w:sz w:val="24"/>
          <w:szCs w:val="24"/>
        </w:rPr>
      </w:pPr>
      <w:r w:rsidRPr="00EF4B22">
        <w:rPr>
          <w:i/>
          <w:sz w:val="24"/>
          <w:szCs w:val="24"/>
        </w:rPr>
        <w:t>Statistical a</w:t>
      </w:r>
      <w:r w:rsidR="00A64100" w:rsidRPr="00EF4B22">
        <w:rPr>
          <w:i/>
          <w:sz w:val="24"/>
          <w:szCs w:val="24"/>
        </w:rPr>
        <w:t>nalysis/additional information</w:t>
      </w:r>
    </w:p>
    <w:p w14:paraId="6897DDAF" w14:textId="3C7034D6" w:rsidR="00336979" w:rsidRDefault="005C675F" w:rsidP="00A64100">
      <w:pPr>
        <w:spacing w:line="480" w:lineRule="auto"/>
        <w:ind w:firstLine="720"/>
        <w:rPr>
          <w:sz w:val="24"/>
          <w:szCs w:val="24"/>
        </w:rPr>
      </w:pPr>
      <w:r w:rsidRPr="00EF4B22">
        <w:rPr>
          <w:sz w:val="24"/>
          <w:szCs w:val="24"/>
        </w:rPr>
        <w:t>Imputation to the 100</w:t>
      </w:r>
      <w:r w:rsidR="00A64100" w:rsidRPr="00EF4B22">
        <w:rPr>
          <w:sz w:val="24"/>
          <w:szCs w:val="24"/>
        </w:rPr>
        <w:t>0 Genomes phase 1</w:t>
      </w:r>
      <w:r w:rsidRPr="00EF4B22">
        <w:rPr>
          <w:sz w:val="24"/>
          <w:szCs w:val="24"/>
        </w:rPr>
        <w:t xml:space="preserve"> reference</w:t>
      </w:r>
      <w:r w:rsidR="000B5937">
        <w:rPr>
          <w:sz w:val="24"/>
          <w:szCs w:val="24"/>
        </w:rPr>
        <w:t xml:space="preserve"> </w:t>
      </w:r>
      <w:r w:rsidR="007E12E4" w:rsidRPr="00EF4B22">
        <w:rPr>
          <w:sz w:val="24"/>
          <w:szCs w:val="24"/>
        </w:rPr>
        <w:fldChar w:fldCharType="begin"/>
      </w:r>
      <w:r w:rsidR="000B5937">
        <w:rPr>
          <w:sz w:val="24"/>
          <w:szCs w:val="24"/>
        </w:rPr>
        <w:instrText xml:space="preserve"> ADDIN ZOTERO_ITEM CSL_CITATION {"citationID":"2hi7qmqd6i","properties":{"formattedCitation":"[14]","plainCitation":"[14]","noteIndex":0},"citationItems":[{"id":"XktMMXBT/MRPuu6Nu","uris":["http://zotero.org/users/788477/items/9CQZBDM4"],"uri":["http://zotero.org/users/788477/items/9CQZBDM4"],"itemData":{"id":3451,"type":"article-journal","title":"A map of human genome variation from population-scale sequencing","container-title":"Nature","page":"1061-1073","volume":"467","issue":"7319","source":"PubMed","abstract":"The 1000 Genomes Project aims to provide a deep characterization of human genome sequence variation as a foundation for investigating the relationship between genotype and phenotype. Here we present results of the pilot phase of the project, designed to develop and compare different strategies for genome-wide sequencing with high-throughput platforms. We undertook three projects: low-coverage whole-genome sequencing of 179 individuals from four populations; high-coverage sequencing of two mother-father-child trios; and exon-targeted sequencing of 697 individuals from seven populations. We describe the location, allele frequency and local haplotype structure of approximately 15 million single nucleotide polymorphisms, 1 million short insertions and deletions, and 20,000 structural variants, most of which were previously undescribed. We show that, because we have catalogued the vast majority of common variation, over 95% of the currently accessible variants found in any individual are present in this data set. On average, each person is found to carry approximately 250 to 300 loss-of-function variants in annotated genes and 50 to 100 variants previously implicated in inherited disorders. We demonstrate how these results can be used to inform association and functional studies. From the two trios, we directly estimate the rate of de novo germline base substitution mutations to be approximately 10(-8) per base pair per generation. We explore the data with regard to signatures of natural selection, and identify a marked reduction of genetic variation in the neighbourhood of genes, due to selection at linked sites. These methods and public data will support the next phase of human genetic research.","DOI":"10.1038/nature09534","ISSN":"1476-4687","note":"PMID: 20981092\nPMCID: PMC3042601","journalAbbreviation":"Nature","language":"eng","author":[{"literal":"1000 Genomes Project Consortium"},{"family":"Abecasis","given":"Gonçalo R."},{"family":"Altshuler","given":"David"},{"family":"Auton","given":"Adam"},{"family":"Brooks","given":"Lisa D."},{"family":"Durbin","given":"Richard M."},{"family":"Gibbs","given":"Richard A."},{"family":"Hurles","given":"Matt E."},{"family":"McVean","given":"Gil A."}],"issued":{"date-parts":[["2010",10,28]]}}}],"schema":"https://github.com/citation-style-language/schema/raw/master/csl-citation.json"} </w:instrText>
      </w:r>
      <w:r w:rsidR="007E12E4" w:rsidRPr="00EF4B22">
        <w:rPr>
          <w:sz w:val="24"/>
          <w:szCs w:val="24"/>
        </w:rPr>
        <w:fldChar w:fldCharType="separate"/>
      </w:r>
      <w:r w:rsidR="000B5937" w:rsidRPr="000B5937">
        <w:rPr>
          <w:rFonts w:ascii="Calibri" w:hAnsi="Calibri"/>
          <w:sz w:val="24"/>
        </w:rPr>
        <w:t>[14]</w:t>
      </w:r>
      <w:r w:rsidR="007E12E4" w:rsidRPr="00EF4B22">
        <w:rPr>
          <w:sz w:val="24"/>
          <w:szCs w:val="24"/>
        </w:rPr>
        <w:fldChar w:fldCharType="end"/>
      </w:r>
      <w:r w:rsidR="007E12E4" w:rsidRPr="00EF4B22">
        <w:rPr>
          <w:sz w:val="24"/>
          <w:szCs w:val="24"/>
        </w:rPr>
        <w:t xml:space="preserve"> </w:t>
      </w:r>
      <w:r w:rsidRPr="00EF4B22">
        <w:rPr>
          <w:sz w:val="24"/>
          <w:szCs w:val="24"/>
        </w:rPr>
        <w:t>was performed within</w:t>
      </w:r>
      <w:r w:rsidR="00A64100" w:rsidRPr="00EF4B22">
        <w:rPr>
          <w:sz w:val="24"/>
          <w:szCs w:val="24"/>
        </w:rPr>
        <w:t xml:space="preserve"> the PGC pipeline using SHAPEIT</w:t>
      </w:r>
      <w:r w:rsidR="00913BC2">
        <w:rPr>
          <w:sz w:val="24"/>
          <w:szCs w:val="24"/>
        </w:rPr>
        <w:t xml:space="preserve"> </w:t>
      </w:r>
      <w:r w:rsidR="007E12E4" w:rsidRPr="00EF4B22">
        <w:rPr>
          <w:sz w:val="24"/>
          <w:szCs w:val="24"/>
        </w:rPr>
        <w:fldChar w:fldCharType="begin"/>
      </w:r>
      <w:r w:rsidR="000B5937">
        <w:rPr>
          <w:sz w:val="24"/>
          <w:szCs w:val="24"/>
        </w:rPr>
        <w:instrText xml:space="preserve"> ADDIN ZOTERO_ITEM CSL_CITATION {"citationID":"g8a3hr4kl","properties":{"formattedCitation":"[15]","plainCitation":"[15]","noteIndex":0},"citationItems":[{"id":"XktMMXBT/lQNX7LZx","uris":["http://zotero.org/users/788477/items/CTHM7RBH"],"uri":["http://zotero.org/users/788477/items/CTHM7RBH"],"itemData":{"id":3454,"type":"article-journal","title":"A linear complexity phasing method for thousands of genomes","container-title":"Nature Methods","page":"179-181","volume":"9","issue":"2","source":"PubMed","abstract":"Human-disease etiology can be better understood with phase information about diploid sequences. We present a method for estimating haplotypes, using genotype data from unrelated samples or small nuclear families, that leads to improved accuracy and speed compared to several widely used methods. The method, segmented haplotype estimation and imputation tool (SHAPEIT), scales linearly with the number of haplotypes used in each iteration and can be run efficiently on whole chromosomes.","DOI":"10.1038/nmeth.1785","ISSN":"1548-7105","note":"PMID: 22138821","journalAbbreviation":"Nat. Methods","language":"eng","author":[{"family":"Delaneau","given":"Olivier"},{"family":"Marchini","given":"Jonathan"},{"family":"Zagury","given":"Jean-François"}],"issued":{"date-parts":[["2012",2]]}}}],"schema":"https://github.com/citation-style-language/schema/raw/master/csl-citation.json"} </w:instrText>
      </w:r>
      <w:r w:rsidR="007E12E4" w:rsidRPr="00EF4B22">
        <w:rPr>
          <w:sz w:val="24"/>
          <w:szCs w:val="24"/>
        </w:rPr>
        <w:fldChar w:fldCharType="separate"/>
      </w:r>
      <w:r w:rsidR="000B5937" w:rsidRPr="000B5937">
        <w:rPr>
          <w:rFonts w:ascii="Calibri" w:hAnsi="Calibri"/>
          <w:sz w:val="24"/>
        </w:rPr>
        <w:t>[15]</w:t>
      </w:r>
      <w:r w:rsidR="007E12E4" w:rsidRPr="00EF4B22">
        <w:rPr>
          <w:sz w:val="24"/>
          <w:szCs w:val="24"/>
        </w:rPr>
        <w:fldChar w:fldCharType="end"/>
      </w:r>
      <w:r w:rsidR="007E12E4" w:rsidRPr="00EF4B22">
        <w:rPr>
          <w:sz w:val="24"/>
          <w:szCs w:val="24"/>
        </w:rPr>
        <w:t xml:space="preserve"> </w:t>
      </w:r>
      <w:r w:rsidRPr="00EF4B22">
        <w:rPr>
          <w:sz w:val="24"/>
          <w:szCs w:val="24"/>
        </w:rPr>
        <w:t>for phasing and IMPU</w:t>
      </w:r>
      <w:r w:rsidR="00A64100" w:rsidRPr="00EF4B22">
        <w:rPr>
          <w:sz w:val="24"/>
          <w:szCs w:val="24"/>
        </w:rPr>
        <w:t>TE2</w:t>
      </w:r>
      <w:r w:rsidR="00913BC2">
        <w:rPr>
          <w:sz w:val="24"/>
          <w:szCs w:val="24"/>
        </w:rPr>
        <w:t xml:space="preserve"> </w:t>
      </w:r>
      <w:r w:rsidR="007E12E4" w:rsidRPr="00EF4B22">
        <w:rPr>
          <w:sz w:val="24"/>
          <w:szCs w:val="24"/>
        </w:rPr>
        <w:fldChar w:fldCharType="begin"/>
      </w:r>
      <w:r w:rsidR="000B5937">
        <w:rPr>
          <w:sz w:val="24"/>
          <w:szCs w:val="24"/>
        </w:rPr>
        <w:instrText xml:space="preserve"> ADDIN ZOTERO_ITEM CSL_CITATION {"citationID":"LxGsAolB","properties":{"formattedCitation":"[16]","plainCitation":"[16]","noteIndex":0},"citationItems":[{"id":"XktMMXBT/rK5I8UY3","uris":["http://zotero.org/users/788477/items/JIFBERQB"],"uri":["http://zotero.org/users/788477/items/JIFBERQB"],"itemData":{"id":3457,"type":"article-journal","title":"A flexible and accurate genotype imputation method for the next generation of genome-wide association studies","container-title":"PLoS genetics","page":"e1000529","volume":"5","issue":"6","source":"PubMed","abstract":"Genotype imputation methods are now being widely used in the analysis of genome-wide association studies. Most imputation analyses to date have used the HapMap as a reference dataset, but new reference panels (such as controls genotyped on multiple SNP chips and densely typed samples from the 1,000 Genomes Project) will soon allow a broader range of SNPs to be imputed with higher accuracy, thereby increasing power. We describe a genotype imputation method (IMPUTE version 2) that is designed to address the challenges presented by these new datasets. The main innovation of our approach is a flexible modelling framework that increases accuracy and combines information across multiple reference panels while remaining computationally feasible. We find that IMPUTE v2 attains higher accuracy than other methods when the HapMap provides the sole reference panel, but that the size of the panel constrains the improvements that can be made. We also find that imputation accuracy can be greatly enhanced by expanding the reference panel to contain thousands of chromosomes and that IMPUTE v2 outperforms other methods in this setting at both rare and common SNPs, with overall error rates that are 15%-20% lower than those of the closest competing method. One particularly challenging aspect of next-generation association studies is to integrate information across multiple reference panels genotyped on different sets of SNPs; we show that our approach to this problem has practical advantages over other suggested solutions.","DOI":"10.1371/journal.pgen.1000529","ISSN":"1553-7404","note":"PMID: 19543373\nPMCID: PMC2689936","journalAbbreviation":"PLoS Genet.","language":"eng","author":[{"family":"Howie","given":"Bryan N."},{"family":"Donnelly","given":"Peter"},{"family":"Marchini","given":"Jonathan"}],"issued":{"date-parts":[["2009",6]]}}}],"schema":"https://github.com/citation-style-language/schema/raw/master/csl-citation.json"} </w:instrText>
      </w:r>
      <w:r w:rsidR="007E12E4" w:rsidRPr="00EF4B22">
        <w:rPr>
          <w:sz w:val="24"/>
          <w:szCs w:val="24"/>
        </w:rPr>
        <w:fldChar w:fldCharType="separate"/>
      </w:r>
      <w:r w:rsidR="000B5937" w:rsidRPr="000B5937">
        <w:rPr>
          <w:rFonts w:ascii="Calibri" w:hAnsi="Calibri"/>
          <w:sz w:val="24"/>
        </w:rPr>
        <w:t>[16]</w:t>
      </w:r>
      <w:r w:rsidR="007E12E4" w:rsidRPr="00EF4B22">
        <w:rPr>
          <w:sz w:val="24"/>
          <w:szCs w:val="24"/>
        </w:rPr>
        <w:fldChar w:fldCharType="end"/>
      </w:r>
      <w:r w:rsidRPr="00EF4B22">
        <w:rPr>
          <w:sz w:val="24"/>
          <w:szCs w:val="24"/>
        </w:rPr>
        <w:t xml:space="preserve"> for imputation. Imputation was performed with a chunk size of 3Mb and using default parameters on the full set of 2,186 phased haplotypes (August 2012, 30,069,288 variants, release “v3.macGT1”). Analysis within datasets was performed us</w:t>
      </w:r>
      <w:r w:rsidR="00A64100" w:rsidRPr="00EF4B22">
        <w:rPr>
          <w:sz w:val="24"/>
          <w:szCs w:val="24"/>
        </w:rPr>
        <w:t>ing an additive model in PLINK,</w:t>
      </w:r>
      <w:r w:rsidRPr="00EF4B22">
        <w:rPr>
          <w:sz w:val="24"/>
          <w:szCs w:val="24"/>
        </w:rPr>
        <w:t xml:space="preserve"> with the first ten principal components as covariates. Fixed-effects meta-analysis across the 12 datasets was accomplis</w:t>
      </w:r>
      <w:r w:rsidR="00A64100" w:rsidRPr="00EF4B22">
        <w:rPr>
          <w:sz w:val="24"/>
          <w:szCs w:val="24"/>
        </w:rPr>
        <w:t>hed using METAL,</w:t>
      </w:r>
      <w:r w:rsidRPr="00EF4B22">
        <w:rPr>
          <w:sz w:val="24"/>
          <w:szCs w:val="24"/>
        </w:rPr>
        <w:t xml:space="preserve"> with inverse variance weighting. QC, imputation, and primary GWAS were performed f</w:t>
      </w:r>
      <w:r w:rsidR="00A64100" w:rsidRPr="00EF4B22">
        <w:rPr>
          <w:sz w:val="24"/>
          <w:szCs w:val="24"/>
        </w:rPr>
        <w:t xml:space="preserve">ollowing the </w:t>
      </w:r>
      <w:proofErr w:type="spellStart"/>
      <w:r w:rsidR="00A64100" w:rsidRPr="00EF4B22">
        <w:rPr>
          <w:sz w:val="24"/>
          <w:szCs w:val="24"/>
        </w:rPr>
        <w:t>Ricopili</w:t>
      </w:r>
      <w:proofErr w:type="spellEnd"/>
      <w:r w:rsidR="00A64100" w:rsidRPr="00EF4B22">
        <w:rPr>
          <w:sz w:val="24"/>
          <w:szCs w:val="24"/>
        </w:rPr>
        <w:t xml:space="preserve"> pipeline</w:t>
      </w:r>
      <w:r w:rsidRPr="00EF4B22">
        <w:rPr>
          <w:sz w:val="24"/>
          <w:szCs w:val="24"/>
        </w:rPr>
        <w:t xml:space="preserve"> at the Broad Institute.</w:t>
      </w:r>
    </w:p>
    <w:p w14:paraId="152EA4FA" w14:textId="397BCE68" w:rsidR="000C478F" w:rsidRDefault="000C478F" w:rsidP="000C478F">
      <w:pPr>
        <w:spacing w:line="480" w:lineRule="auto"/>
        <w:rPr>
          <w:sz w:val="24"/>
          <w:szCs w:val="24"/>
        </w:rPr>
      </w:pPr>
    </w:p>
    <w:p w14:paraId="285C81C0" w14:textId="77777777" w:rsidR="000C478F" w:rsidRDefault="000C478F">
      <w:pPr>
        <w:rPr>
          <w:sz w:val="24"/>
          <w:szCs w:val="24"/>
        </w:rPr>
      </w:pPr>
      <w:r>
        <w:rPr>
          <w:sz w:val="24"/>
          <w:szCs w:val="24"/>
        </w:rPr>
        <w:br w:type="page"/>
      </w:r>
    </w:p>
    <w:p w14:paraId="3DB0856C" w14:textId="5E9FFABD" w:rsidR="002C0698" w:rsidRDefault="002C0698" w:rsidP="000C478F">
      <w:pPr>
        <w:spacing w:line="480" w:lineRule="auto"/>
        <w:rPr>
          <w:sz w:val="24"/>
          <w:szCs w:val="24"/>
        </w:rPr>
      </w:pPr>
      <w:r>
        <w:rPr>
          <w:sz w:val="24"/>
          <w:szCs w:val="24"/>
        </w:rPr>
        <w:lastRenderedPageBreak/>
        <w:t>SM 2 Results</w:t>
      </w:r>
    </w:p>
    <w:p w14:paraId="67520109" w14:textId="4550894F" w:rsidR="000C478F" w:rsidRPr="00EF4B22" w:rsidRDefault="000C478F" w:rsidP="000C478F">
      <w:pPr>
        <w:spacing w:line="480" w:lineRule="auto"/>
        <w:rPr>
          <w:sz w:val="24"/>
          <w:szCs w:val="24"/>
        </w:rPr>
      </w:pPr>
      <w:r w:rsidRPr="00EF4B22">
        <w:rPr>
          <w:sz w:val="24"/>
          <w:szCs w:val="24"/>
        </w:rPr>
        <w:t>SM 2.1 Genetic risk score analysis</w:t>
      </w:r>
    </w:p>
    <w:p w14:paraId="4FFEAEAE" w14:textId="77777777" w:rsidR="000C478F" w:rsidRPr="00EF4B22" w:rsidRDefault="000C478F" w:rsidP="000C478F">
      <w:pPr>
        <w:spacing w:line="480" w:lineRule="auto"/>
        <w:rPr>
          <w:sz w:val="24"/>
          <w:szCs w:val="24"/>
        </w:rPr>
      </w:pPr>
      <w:r w:rsidRPr="00EF4B22">
        <w:rPr>
          <w:noProof/>
          <w:sz w:val="24"/>
          <w:szCs w:val="24"/>
          <w:lang w:val="de-DE" w:eastAsia="de-DE"/>
        </w:rPr>
        <w:drawing>
          <wp:inline distT="0" distB="0" distL="0" distR="0" wp14:anchorId="3E24FAA5" wp14:editId="2BB06A34">
            <wp:extent cx="3338423" cy="396248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4690" cy="3981795"/>
                    </a:xfrm>
                    <a:prstGeom prst="rect">
                      <a:avLst/>
                    </a:prstGeom>
                    <a:noFill/>
                    <a:ln>
                      <a:noFill/>
                    </a:ln>
                  </pic:spPr>
                </pic:pic>
              </a:graphicData>
            </a:graphic>
          </wp:inline>
        </w:drawing>
      </w:r>
    </w:p>
    <w:p w14:paraId="78801F13" w14:textId="77777777" w:rsidR="000C478F" w:rsidRPr="00EF4B22" w:rsidRDefault="000C478F" w:rsidP="000C478F">
      <w:pPr>
        <w:spacing w:line="480" w:lineRule="auto"/>
        <w:rPr>
          <w:sz w:val="24"/>
          <w:szCs w:val="24"/>
        </w:rPr>
      </w:pPr>
      <w:r w:rsidRPr="00EF4B22">
        <w:rPr>
          <w:sz w:val="24"/>
          <w:szCs w:val="24"/>
        </w:rPr>
        <w:t>Supplementary Table S3: Detailed GRS results, carried out on subsets of four different thresholds (1*10</w:t>
      </w:r>
      <w:r w:rsidRPr="00EF4B22">
        <w:rPr>
          <w:sz w:val="24"/>
          <w:szCs w:val="24"/>
          <w:vertAlign w:val="superscript"/>
        </w:rPr>
        <w:t>-4</w:t>
      </w:r>
      <w:r w:rsidRPr="00EF4B22">
        <w:rPr>
          <w:sz w:val="24"/>
          <w:szCs w:val="24"/>
        </w:rPr>
        <w:t>, 1*10</w:t>
      </w:r>
      <w:r w:rsidRPr="00EF4B22">
        <w:rPr>
          <w:sz w:val="24"/>
          <w:szCs w:val="24"/>
          <w:vertAlign w:val="superscript"/>
        </w:rPr>
        <w:t>-3</w:t>
      </w:r>
      <w:r w:rsidRPr="00EF4B22">
        <w:rPr>
          <w:sz w:val="24"/>
          <w:szCs w:val="24"/>
        </w:rPr>
        <w:t>, 1*10</w:t>
      </w:r>
      <w:r w:rsidRPr="00EF4B22">
        <w:rPr>
          <w:sz w:val="24"/>
          <w:szCs w:val="24"/>
          <w:vertAlign w:val="superscript"/>
        </w:rPr>
        <w:t>-2</w:t>
      </w:r>
      <w:r w:rsidRPr="00EF4B22">
        <w:rPr>
          <w:sz w:val="24"/>
          <w:szCs w:val="24"/>
        </w:rPr>
        <w:t>, 5*10</w:t>
      </w:r>
      <w:r w:rsidRPr="00EF4B22">
        <w:rPr>
          <w:sz w:val="24"/>
          <w:szCs w:val="24"/>
          <w:vertAlign w:val="superscript"/>
        </w:rPr>
        <w:t>-2</w:t>
      </w:r>
      <w:r w:rsidRPr="00EF4B22">
        <w:rPr>
          <w:sz w:val="24"/>
          <w:szCs w:val="24"/>
        </w:rPr>
        <w:t>) in the discovery dataset (i.e. ENIGMA subcortical brain volume).</w:t>
      </w:r>
    </w:p>
    <w:p w14:paraId="616FC1E3" w14:textId="77777777" w:rsidR="000C478F" w:rsidRDefault="000C478F">
      <w:pPr>
        <w:rPr>
          <w:sz w:val="24"/>
          <w:szCs w:val="24"/>
        </w:rPr>
      </w:pPr>
      <w:r>
        <w:rPr>
          <w:sz w:val="24"/>
          <w:szCs w:val="24"/>
        </w:rPr>
        <w:br w:type="page"/>
      </w:r>
    </w:p>
    <w:p w14:paraId="6635223F" w14:textId="7FEA7AA3" w:rsidR="000C478F" w:rsidRPr="00EF4B22" w:rsidRDefault="000C478F" w:rsidP="000C478F">
      <w:pPr>
        <w:spacing w:line="480" w:lineRule="auto"/>
        <w:rPr>
          <w:sz w:val="24"/>
          <w:szCs w:val="24"/>
        </w:rPr>
      </w:pPr>
      <w:r w:rsidRPr="00EF4B22">
        <w:rPr>
          <w:sz w:val="24"/>
          <w:szCs w:val="24"/>
        </w:rPr>
        <w:lastRenderedPageBreak/>
        <w:t>SM 2.2 Sign test</w:t>
      </w:r>
    </w:p>
    <w:p w14:paraId="1F6FBEF4" w14:textId="781DC7F3" w:rsidR="000C478F" w:rsidRDefault="000C478F" w:rsidP="000C478F">
      <w:pPr>
        <w:spacing w:line="480" w:lineRule="auto"/>
        <w:rPr>
          <w:sz w:val="24"/>
          <w:szCs w:val="24"/>
        </w:rPr>
      </w:pPr>
    </w:p>
    <w:p w14:paraId="10DDE5EF" w14:textId="42DBF231" w:rsidR="00854A8E" w:rsidRPr="00EF4B22" w:rsidRDefault="00854A8E" w:rsidP="000C478F">
      <w:pPr>
        <w:spacing w:line="480" w:lineRule="auto"/>
        <w:rPr>
          <w:sz w:val="24"/>
          <w:szCs w:val="24"/>
        </w:rPr>
      </w:pPr>
      <w:r w:rsidRPr="00854A8E">
        <w:rPr>
          <w:noProof/>
          <w:lang w:val="de-DE" w:eastAsia="de-DE"/>
        </w:rPr>
        <w:drawing>
          <wp:inline distT="0" distB="0" distL="0" distR="0" wp14:anchorId="56727C16" wp14:editId="22833AFE">
            <wp:extent cx="5943600" cy="495046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950460"/>
                    </a:xfrm>
                    <a:prstGeom prst="rect">
                      <a:avLst/>
                    </a:prstGeom>
                    <a:noFill/>
                    <a:ln>
                      <a:noFill/>
                    </a:ln>
                  </pic:spPr>
                </pic:pic>
              </a:graphicData>
            </a:graphic>
          </wp:inline>
        </w:drawing>
      </w:r>
    </w:p>
    <w:p w14:paraId="1CFD57FB" w14:textId="0B50B6C9" w:rsidR="000C478F" w:rsidRPr="00EF4B22" w:rsidRDefault="000C478F" w:rsidP="000C478F">
      <w:pPr>
        <w:spacing w:line="480" w:lineRule="auto"/>
        <w:rPr>
          <w:sz w:val="24"/>
          <w:szCs w:val="24"/>
        </w:rPr>
      </w:pPr>
      <w:r w:rsidRPr="00EF4B22">
        <w:rPr>
          <w:sz w:val="24"/>
          <w:szCs w:val="24"/>
        </w:rPr>
        <w:t>Supplementary Table S4: Detailed Sign test results, carried out on subsets of four different thresholds (1*10</w:t>
      </w:r>
      <w:r w:rsidRPr="00EF4B22">
        <w:rPr>
          <w:sz w:val="24"/>
          <w:szCs w:val="24"/>
          <w:vertAlign w:val="superscript"/>
        </w:rPr>
        <w:t>-4</w:t>
      </w:r>
      <w:r w:rsidRPr="00EF4B22">
        <w:rPr>
          <w:sz w:val="24"/>
          <w:szCs w:val="24"/>
        </w:rPr>
        <w:t>, 1*10</w:t>
      </w:r>
      <w:r w:rsidRPr="00EF4B22">
        <w:rPr>
          <w:sz w:val="24"/>
          <w:szCs w:val="24"/>
          <w:vertAlign w:val="superscript"/>
        </w:rPr>
        <w:t>-3</w:t>
      </w:r>
      <w:r w:rsidRPr="00EF4B22">
        <w:rPr>
          <w:sz w:val="24"/>
          <w:szCs w:val="24"/>
        </w:rPr>
        <w:t>, 1*10</w:t>
      </w:r>
      <w:r w:rsidRPr="00EF4B22">
        <w:rPr>
          <w:sz w:val="24"/>
          <w:szCs w:val="24"/>
          <w:vertAlign w:val="superscript"/>
        </w:rPr>
        <w:t>-2</w:t>
      </w:r>
      <w:r w:rsidRPr="00EF4B22">
        <w:rPr>
          <w:sz w:val="24"/>
          <w:szCs w:val="24"/>
        </w:rPr>
        <w:t>, 5*10</w:t>
      </w:r>
      <w:r w:rsidRPr="00EF4B22">
        <w:rPr>
          <w:sz w:val="24"/>
          <w:szCs w:val="24"/>
          <w:vertAlign w:val="superscript"/>
        </w:rPr>
        <w:t>-2</w:t>
      </w:r>
      <w:r w:rsidRPr="00EF4B22">
        <w:rPr>
          <w:sz w:val="24"/>
          <w:szCs w:val="24"/>
        </w:rPr>
        <w:t>) in the discovery dataset (i.e. ENIGMA subcortical brain volume</w:t>
      </w:r>
      <w:r w:rsidR="00854A8E" w:rsidRPr="004300F1">
        <w:rPr>
          <w:b/>
          <w:sz w:val="24"/>
          <w:szCs w:val="24"/>
        </w:rPr>
        <w:t xml:space="preserve"> (grey) or AN (blue)</w:t>
      </w:r>
      <w:r w:rsidRPr="004300F1">
        <w:rPr>
          <w:b/>
          <w:sz w:val="24"/>
          <w:szCs w:val="24"/>
        </w:rPr>
        <w:t>)</w:t>
      </w:r>
      <w:r w:rsidRPr="00EF4B22">
        <w:rPr>
          <w:sz w:val="24"/>
          <w:szCs w:val="24"/>
        </w:rPr>
        <w:t xml:space="preserve">. </w:t>
      </w:r>
      <w:proofErr w:type="spellStart"/>
      <w:r w:rsidRPr="00EF4B22">
        <w:rPr>
          <w:sz w:val="24"/>
          <w:szCs w:val="24"/>
          <w:vertAlign w:val="superscript"/>
        </w:rPr>
        <w:t>a</w:t>
      </w:r>
      <w:proofErr w:type="spellEnd"/>
      <w:r w:rsidRPr="00EF4B22">
        <w:rPr>
          <w:sz w:val="24"/>
          <w:szCs w:val="24"/>
        </w:rPr>
        <w:t xml:space="preserve"> </w:t>
      </w:r>
      <w:proofErr w:type="gramStart"/>
      <w:r w:rsidRPr="00EF4B22">
        <w:rPr>
          <w:sz w:val="24"/>
          <w:szCs w:val="24"/>
        </w:rPr>
        <w:t>An</w:t>
      </w:r>
      <w:proofErr w:type="gramEnd"/>
      <w:r w:rsidRPr="00EF4B22">
        <w:rPr>
          <w:sz w:val="24"/>
          <w:szCs w:val="24"/>
        </w:rPr>
        <w:t xml:space="preserve"> estimate &gt; 0.5 indicates a higher proportion of SNPs with a risk effect on AN (OR</w:t>
      </w:r>
      <w:r w:rsidR="002C0698">
        <w:rPr>
          <w:sz w:val="24"/>
          <w:szCs w:val="24"/>
        </w:rPr>
        <w:t xml:space="preserve"> </w:t>
      </w:r>
      <w:r w:rsidRPr="00EF4B22">
        <w:rPr>
          <w:sz w:val="24"/>
          <w:szCs w:val="24"/>
        </w:rPr>
        <w:t>&gt;</w:t>
      </w:r>
      <w:r w:rsidR="002C0698">
        <w:rPr>
          <w:sz w:val="24"/>
          <w:szCs w:val="24"/>
        </w:rPr>
        <w:t xml:space="preserve"> </w:t>
      </w:r>
      <w:r w:rsidRPr="00EF4B22">
        <w:rPr>
          <w:sz w:val="24"/>
          <w:szCs w:val="24"/>
        </w:rPr>
        <w:t>1) and on brain volume (BETA</w:t>
      </w:r>
      <w:r w:rsidR="002C0698">
        <w:rPr>
          <w:sz w:val="24"/>
          <w:szCs w:val="24"/>
        </w:rPr>
        <w:t xml:space="preserve"> </w:t>
      </w:r>
      <w:r w:rsidRPr="00EF4B22">
        <w:rPr>
          <w:sz w:val="24"/>
          <w:szCs w:val="24"/>
        </w:rPr>
        <w:t>&lt;</w:t>
      </w:r>
      <w:r w:rsidR="002C0698">
        <w:rPr>
          <w:sz w:val="24"/>
          <w:szCs w:val="24"/>
        </w:rPr>
        <w:t xml:space="preserve"> </w:t>
      </w:r>
      <w:r w:rsidRPr="00EF4B22">
        <w:rPr>
          <w:sz w:val="24"/>
          <w:szCs w:val="24"/>
        </w:rPr>
        <w:t>0)</w:t>
      </w:r>
      <w:r w:rsidR="003F53EE" w:rsidRPr="004300F1">
        <w:rPr>
          <w:b/>
          <w:sz w:val="24"/>
          <w:szCs w:val="24"/>
        </w:rPr>
        <w:t>. CI = confidence interval</w:t>
      </w:r>
    </w:p>
    <w:p w14:paraId="252081BB" w14:textId="3AD5C175" w:rsidR="005E6D78" w:rsidRDefault="005E6D78" w:rsidP="005E6D78">
      <w:pPr>
        <w:spacing w:line="480" w:lineRule="auto"/>
        <w:rPr>
          <w:sz w:val="24"/>
          <w:szCs w:val="24"/>
        </w:rPr>
      </w:pPr>
    </w:p>
    <w:p w14:paraId="356B6CC3" w14:textId="77777777" w:rsidR="000C478F" w:rsidRPr="00EF4B22" w:rsidRDefault="000C478F" w:rsidP="005E6D78">
      <w:pPr>
        <w:spacing w:line="480" w:lineRule="auto"/>
        <w:rPr>
          <w:sz w:val="24"/>
          <w:szCs w:val="24"/>
        </w:rPr>
        <w:sectPr w:rsidR="000C478F" w:rsidRPr="00EF4B22">
          <w:headerReference w:type="default" r:id="rId14"/>
          <w:pgSz w:w="12240" w:h="15840"/>
          <w:pgMar w:top="1440" w:right="1440" w:bottom="1440" w:left="1440" w:header="720" w:footer="720" w:gutter="0"/>
          <w:cols w:space="720"/>
          <w:docGrid w:linePitch="360"/>
        </w:sectPr>
      </w:pPr>
    </w:p>
    <w:p w14:paraId="6B1DAB3D" w14:textId="77777777" w:rsidR="005E6D78" w:rsidRPr="00EF4B22" w:rsidRDefault="005E6D78" w:rsidP="00CB136D">
      <w:pPr>
        <w:spacing w:line="480" w:lineRule="auto"/>
        <w:rPr>
          <w:sz w:val="24"/>
          <w:szCs w:val="24"/>
        </w:rPr>
      </w:pPr>
    </w:p>
    <w:p w14:paraId="78C9F8FD" w14:textId="77777777" w:rsidR="00EF4B22" w:rsidRPr="00EF4B22" w:rsidRDefault="00EF4B22" w:rsidP="00CB136D">
      <w:pPr>
        <w:spacing w:line="480" w:lineRule="auto"/>
        <w:rPr>
          <w:sz w:val="24"/>
          <w:szCs w:val="24"/>
        </w:rPr>
      </w:pPr>
    </w:p>
    <w:p w14:paraId="4DE927EB" w14:textId="79649FA9" w:rsidR="005E6D78" w:rsidRPr="00EF4B22" w:rsidRDefault="00EF4B22" w:rsidP="00CB136D">
      <w:pPr>
        <w:spacing w:line="480" w:lineRule="auto"/>
        <w:rPr>
          <w:sz w:val="24"/>
          <w:szCs w:val="24"/>
        </w:rPr>
      </w:pPr>
      <w:r w:rsidRPr="00EF4B22">
        <w:rPr>
          <w:sz w:val="24"/>
          <w:szCs w:val="24"/>
        </w:rPr>
        <w:t>SM 2.3</w:t>
      </w:r>
      <w:r w:rsidR="006C1DE9" w:rsidRPr="00EF4B22">
        <w:rPr>
          <w:sz w:val="24"/>
          <w:szCs w:val="24"/>
        </w:rPr>
        <w:t xml:space="preserve"> </w:t>
      </w:r>
      <w:r w:rsidR="00653F51" w:rsidRPr="00EF4B22">
        <w:rPr>
          <w:sz w:val="24"/>
          <w:szCs w:val="24"/>
        </w:rPr>
        <w:t>Genomic</w:t>
      </w:r>
      <w:r w:rsidR="005E6D78" w:rsidRPr="00EF4B22">
        <w:rPr>
          <w:sz w:val="24"/>
          <w:szCs w:val="24"/>
        </w:rPr>
        <w:t xml:space="preserve"> location of rs3863294</w:t>
      </w:r>
    </w:p>
    <w:p w14:paraId="04AD4C19" w14:textId="77777777" w:rsidR="005E6D78" w:rsidRPr="00EF4B22" w:rsidRDefault="005E6D78" w:rsidP="00CB136D">
      <w:pPr>
        <w:spacing w:line="480" w:lineRule="auto"/>
        <w:rPr>
          <w:sz w:val="24"/>
          <w:szCs w:val="24"/>
        </w:rPr>
      </w:pPr>
      <w:r w:rsidRPr="00EF4B22">
        <w:rPr>
          <w:noProof/>
          <w:sz w:val="24"/>
          <w:szCs w:val="24"/>
          <w:lang w:val="de-DE" w:eastAsia="de-DE"/>
        </w:rPr>
        <w:drawing>
          <wp:inline distT="0" distB="0" distL="0" distR="0" wp14:anchorId="33E66218" wp14:editId="284E03A5">
            <wp:extent cx="8229600" cy="14547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Figure1_rs3863294.tif"/>
                    <pic:cNvPicPr/>
                  </pic:nvPicPr>
                  <pic:blipFill>
                    <a:blip r:embed="rId15">
                      <a:extLst>
                        <a:ext uri="{28A0092B-C50C-407E-A947-70E740481C1C}">
                          <a14:useLocalDpi xmlns:a14="http://schemas.microsoft.com/office/drawing/2010/main" val="0"/>
                        </a:ext>
                      </a:extLst>
                    </a:blip>
                    <a:stretch>
                      <a:fillRect/>
                    </a:stretch>
                  </pic:blipFill>
                  <pic:spPr>
                    <a:xfrm>
                      <a:off x="0" y="0"/>
                      <a:ext cx="8229600" cy="1454785"/>
                    </a:xfrm>
                    <a:prstGeom prst="rect">
                      <a:avLst/>
                    </a:prstGeom>
                  </pic:spPr>
                </pic:pic>
              </a:graphicData>
            </a:graphic>
          </wp:inline>
        </w:drawing>
      </w:r>
    </w:p>
    <w:p w14:paraId="074D19E0" w14:textId="45F9A552" w:rsidR="005E6D78" w:rsidRPr="002C0698" w:rsidRDefault="002C0698" w:rsidP="00CB136D">
      <w:pPr>
        <w:spacing w:line="480" w:lineRule="auto"/>
        <w:rPr>
          <w:sz w:val="24"/>
          <w:szCs w:val="24"/>
        </w:rPr>
      </w:pPr>
      <w:r>
        <w:rPr>
          <w:sz w:val="24"/>
          <w:szCs w:val="24"/>
        </w:rPr>
        <w:t>Supplementary</w:t>
      </w:r>
      <w:r w:rsidR="005E6D78" w:rsidRPr="00EF4B22">
        <w:rPr>
          <w:sz w:val="24"/>
          <w:szCs w:val="24"/>
        </w:rPr>
        <w:t xml:space="preserve"> Figure S1. </w:t>
      </w:r>
      <w:bookmarkStart w:id="1" w:name="_Hlk527925041"/>
      <w:r w:rsidR="005E6D78" w:rsidRPr="00EF4B22">
        <w:rPr>
          <w:sz w:val="24"/>
          <w:szCs w:val="24"/>
        </w:rPr>
        <w:t>Rs3863294</w:t>
      </w:r>
      <w:bookmarkEnd w:id="1"/>
      <w:r w:rsidR="005E6D78" w:rsidRPr="00EF4B22">
        <w:rPr>
          <w:sz w:val="24"/>
          <w:szCs w:val="24"/>
        </w:rPr>
        <w:t xml:space="preserve">, which was significantly associated with AN only after conditioning on its link to caudate volume, is found in the vicinity of neurotransmitter and immune system relevant genes such as </w:t>
      </w:r>
      <w:r w:rsidR="005E6D78" w:rsidRPr="00EF4B22">
        <w:rPr>
          <w:i/>
          <w:sz w:val="24"/>
          <w:szCs w:val="24"/>
        </w:rPr>
        <w:t>DRD2</w:t>
      </w:r>
      <w:r w:rsidR="005E6D78" w:rsidRPr="00EF4B22">
        <w:rPr>
          <w:sz w:val="24"/>
          <w:szCs w:val="24"/>
        </w:rPr>
        <w:t xml:space="preserve">, </w:t>
      </w:r>
      <w:r w:rsidR="005E6D78" w:rsidRPr="00EF4B22">
        <w:rPr>
          <w:i/>
          <w:sz w:val="24"/>
          <w:szCs w:val="24"/>
        </w:rPr>
        <w:t>HTR3B</w:t>
      </w:r>
      <w:r w:rsidR="005E6D78" w:rsidRPr="00EF4B22">
        <w:rPr>
          <w:sz w:val="24"/>
          <w:szCs w:val="24"/>
        </w:rPr>
        <w:t xml:space="preserve">, </w:t>
      </w:r>
      <w:r w:rsidR="005E6D78" w:rsidRPr="00EF4B22">
        <w:rPr>
          <w:i/>
          <w:sz w:val="24"/>
          <w:szCs w:val="24"/>
        </w:rPr>
        <w:t>HTR3A</w:t>
      </w:r>
      <w:r w:rsidR="005E6D78" w:rsidRPr="00EF4B22">
        <w:rPr>
          <w:sz w:val="24"/>
          <w:szCs w:val="24"/>
        </w:rPr>
        <w:t xml:space="preserve"> and </w:t>
      </w:r>
      <w:r w:rsidR="005E6D78" w:rsidRPr="00EF4B22">
        <w:rPr>
          <w:i/>
          <w:sz w:val="24"/>
          <w:szCs w:val="24"/>
        </w:rPr>
        <w:t>NCAM.</w:t>
      </w:r>
      <w:r>
        <w:rPr>
          <w:i/>
          <w:sz w:val="24"/>
          <w:szCs w:val="24"/>
        </w:rPr>
        <w:t xml:space="preserve"> </w:t>
      </w:r>
      <w:r>
        <w:rPr>
          <w:sz w:val="24"/>
          <w:szCs w:val="24"/>
        </w:rPr>
        <w:t xml:space="preserve">Figure produced using the </w:t>
      </w:r>
      <w:proofErr w:type="spellStart"/>
      <w:r>
        <w:rPr>
          <w:sz w:val="24"/>
          <w:szCs w:val="24"/>
        </w:rPr>
        <w:t>ucsc</w:t>
      </w:r>
      <w:proofErr w:type="spellEnd"/>
      <w:r>
        <w:rPr>
          <w:sz w:val="24"/>
          <w:szCs w:val="24"/>
        </w:rPr>
        <w:t xml:space="preserve"> genome browser (GRCh38/hg38).</w:t>
      </w:r>
    </w:p>
    <w:p w14:paraId="134BC555" w14:textId="77777777" w:rsidR="00B62227" w:rsidRPr="00EF4B22" w:rsidRDefault="00B62227">
      <w:pPr>
        <w:rPr>
          <w:i/>
          <w:sz w:val="24"/>
          <w:szCs w:val="24"/>
        </w:rPr>
        <w:sectPr w:rsidR="00B62227" w:rsidRPr="00EF4B22" w:rsidSect="005E6D78">
          <w:pgSz w:w="15840" w:h="12240" w:orient="landscape"/>
          <w:pgMar w:top="1440" w:right="1440" w:bottom="1440" w:left="1440" w:header="720" w:footer="720" w:gutter="0"/>
          <w:cols w:space="720"/>
          <w:docGrid w:linePitch="360"/>
        </w:sectPr>
      </w:pPr>
      <w:r w:rsidRPr="00EF4B22">
        <w:rPr>
          <w:i/>
          <w:sz w:val="24"/>
          <w:szCs w:val="24"/>
        </w:rPr>
        <w:br w:type="page"/>
      </w:r>
    </w:p>
    <w:p w14:paraId="12465D01" w14:textId="19C1497A" w:rsidR="00B62227" w:rsidRPr="00DE50F8" w:rsidRDefault="00EF3FB1">
      <w:pPr>
        <w:rPr>
          <w:b/>
          <w:sz w:val="24"/>
          <w:szCs w:val="24"/>
        </w:rPr>
      </w:pPr>
      <w:r w:rsidRPr="00DE50F8">
        <w:rPr>
          <w:b/>
          <w:sz w:val="24"/>
          <w:szCs w:val="24"/>
        </w:rPr>
        <w:lastRenderedPageBreak/>
        <w:t>SM 2.4 Functional effects of rs3863294 on DNA methylation and gene expression</w:t>
      </w:r>
    </w:p>
    <w:p w14:paraId="59C6BD45" w14:textId="284167DF" w:rsidR="00EF3FB1" w:rsidRPr="00DE50F8" w:rsidRDefault="00EF3FB1" w:rsidP="00EF3FB1">
      <w:pPr>
        <w:spacing w:line="360" w:lineRule="auto"/>
        <w:rPr>
          <w:rFonts w:ascii="Calibri" w:hAnsi="Calibri"/>
          <w:b/>
          <w:sz w:val="24"/>
          <w:szCs w:val="24"/>
        </w:rPr>
      </w:pPr>
      <w:r w:rsidRPr="00DE50F8">
        <w:rPr>
          <w:rFonts w:ascii="Calibri" w:hAnsi="Calibri"/>
          <w:b/>
          <w:sz w:val="24"/>
          <w:szCs w:val="24"/>
        </w:rPr>
        <w:t xml:space="preserve">We investigated </w:t>
      </w:r>
      <w:r w:rsidRPr="00DE50F8">
        <w:rPr>
          <w:b/>
          <w:sz w:val="24"/>
          <w:szCs w:val="24"/>
        </w:rPr>
        <w:t xml:space="preserve">rs3863294 </w:t>
      </w:r>
      <w:r w:rsidRPr="00DE50F8">
        <w:rPr>
          <w:rFonts w:ascii="Calibri" w:hAnsi="Calibri"/>
          <w:b/>
          <w:sz w:val="24"/>
          <w:szCs w:val="24"/>
        </w:rPr>
        <w:t xml:space="preserve">SNP effects on methylation or (tissue-specific) gene expression to further investigate functional effects. For methylation-specific associations, we queried two publicly available online </w:t>
      </w:r>
      <w:r w:rsidR="00DE50F8" w:rsidRPr="00DE50F8">
        <w:rPr>
          <w:rFonts w:ascii="Calibri" w:hAnsi="Calibri"/>
          <w:b/>
          <w:sz w:val="24"/>
          <w:szCs w:val="24"/>
        </w:rPr>
        <w:t xml:space="preserve">databases </w:t>
      </w:r>
      <w:r w:rsidRPr="00DE50F8">
        <w:rPr>
          <w:rFonts w:ascii="Calibri" w:hAnsi="Calibri"/>
          <w:b/>
          <w:sz w:val="24"/>
          <w:szCs w:val="24"/>
        </w:rPr>
        <w:t>(mqtl.db.org based on blood samples and epigenetics.essex.ac.uk/</w:t>
      </w:r>
      <w:proofErr w:type="spellStart"/>
      <w:r w:rsidRPr="00DE50F8">
        <w:rPr>
          <w:rFonts w:ascii="Calibri" w:hAnsi="Calibri"/>
          <w:b/>
          <w:sz w:val="24"/>
          <w:szCs w:val="24"/>
        </w:rPr>
        <w:t>mQTL</w:t>
      </w:r>
      <w:proofErr w:type="spellEnd"/>
      <w:r w:rsidRPr="00DE50F8">
        <w:rPr>
          <w:rFonts w:ascii="Calibri" w:hAnsi="Calibri"/>
          <w:b/>
          <w:sz w:val="24"/>
          <w:szCs w:val="24"/>
        </w:rPr>
        <w:t xml:space="preserve"> based on fetal brain samples). We found that in blood rs3863294 appears to be an </w:t>
      </w:r>
      <w:proofErr w:type="spellStart"/>
      <w:r w:rsidRPr="00DE50F8">
        <w:rPr>
          <w:rFonts w:ascii="Calibri" w:hAnsi="Calibri"/>
          <w:b/>
          <w:sz w:val="24"/>
          <w:szCs w:val="24"/>
        </w:rPr>
        <w:t>mQTL</w:t>
      </w:r>
      <w:proofErr w:type="spellEnd"/>
      <w:r w:rsidRPr="00DE50F8">
        <w:rPr>
          <w:rFonts w:ascii="Calibri" w:hAnsi="Calibri"/>
          <w:b/>
          <w:sz w:val="24"/>
          <w:szCs w:val="24"/>
        </w:rPr>
        <w:t xml:space="preserve"> (in cis) for cg12522722, a methylation site associated with zw10 kinetochore protein (</w:t>
      </w:r>
      <w:r w:rsidRPr="00DE50F8">
        <w:rPr>
          <w:rFonts w:ascii="Calibri" w:hAnsi="Calibri"/>
          <w:b/>
          <w:i/>
          <w:sz w:val="24"/>
          <w:szCs w:val="24"/>
        </w:rPr>
        <w:t>ZW10</w:t>
      </w:r>
      <w:r w:rsidRPr="00DE50F8">
        <w:rPr>
          <w:rFonts w:ascii="Calibri" w:hAnsi="Calibri"/>
          <w:b/>
          <w:sz w:val="24"/>
          <w:szCs w:val="24"/>
        </w:rPr>
        <w:t xml:space="preserve">) involved in cell division (SM Figure S2). </w:t>
      </w:r>
      <w:r w:rsidR="00DE50F8" w:rsidRPr="00DE50F8">
        <w:rPr>
          <w:rFonts w:ascii="Calibri" w:hAnsi="Calibri"/>
          <w:b/>
          <w:sz w:val="24"/>
          <w:szCs w:val="24"/>
        </w:rPr>
        <w:t>However, this association was not replicated in the fetal brain samples, and therefore, it remains unclear whether this SNP impacts DNA methylation in brain tissue.</w:t>
      </w:r>
    </w:p>
    <w:p w14:paraId="3857DDBA" w14:textId="5379BEB3" w:rsidR="00EF3FB1" w:rsidRPr="00DE50F8" w:rsidRDefault="00EF3FB1" w:rsidP="00EF3FB1">
      <w:pPr>
        <w:spacing w:line="360" w:lineRule="auto"/>
        <w:rPr>
          <w:rFonts w:ascii="Calibri" w:hAnsi="Calibri"/>
          <w:b/>
          <w:sz w:val="24"/>
          <w:szCs w:val="24"/>
        </w:rPr>
      </w:pPr>
      <w:r w:rsidRPr="00DE50F8">
        <w:rPr>
          <w:rFonts w:ascii="Calibri" w:hAnsi="Calibri"/>
          <w:b/>
          <w:noProof/>
          <w:sz w:val="24"/>
          <w:szCs w:val="24"/>
          <w:lang w:val="de-DE" w:eastAsia="de-DE"/>
        </w:rPr>
        <w:drawing>
          <wp:inline distT="0" distB="0" distL="0" distR="0" wp14:anchorId="5AEF754C" wp14:editId="145D1EF8">
            <wp:extent cx="5753100" cy="10134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1013460"/>
                    </a:xfrm>
                    <a:prstGeom prst="rect">
                      <a:avLst/>
                    </a:prstGeom>
                    <a:noFill/>
                    <a:ln>
                      <a:noFill/>
                    </a:ln>
                  </pic:spPr>
                </pic:pic>
              </a:graphicData>
            </a:graphic>
          </wp:inline>
        </w:drawing>
      </w:r>
    </w:p>
    <w:p w14:paraId="1DE2045C" w14:textId="3D92E03F" w:rsidR="00EF3FB1" w:rsidRPr="00DE50F8" w:rsidRDefault="00EF3FB1" w:rsidP="00EF3FB1">
      <w:pPr>
        <w:spacing w:line="360" w:lineRule="auto"/>
        <w:rPr>
          <w:rFonts w:ascii="Calibri" w:hAnsi="Calibri"/>
          <w:sz w:val="24"/>
          <w:szCs w:val="24"/>
        </w:rPr>
      </w:pPr>
      <w:r w:rsidRPr="00DE50F8">
        <w:rPr>
          <w:rFonts w:ascii="Calibri" w:hAnsi="Calibri"/>
          <w:b/>
          <w:sz w:val="24"/>
          <w:szCs w:val="24"/>
        </w:rPr>
        <w:t xml:space="preserve">SM Figure S2. </w:t>
      </w:r>
      <w:proofErr w:type="spellStart"/>
      <w:r w:rsidRPr="00DE50F8">
        <w:rPr>
          <w:rFonts w:ascii="Calibri" w:hAnsi="Calibri"/>
          <w:b/>
          <w:sz w:val="24"/>
          <w:szCs w:val="24"/>
        </w:rPr>
        <w:t>mQTL</w:t>
      </w:r>
      <w:proofErr w:type="spellEnd"/>
      <w:r w:rsidRPr="00DE50F8">
        <w:rPr>
          <w:rFonts w:ascii="Calibri" w:hAnsi="Calibri"/>
          <w:b/>
          <w:sz w:val="24"/>
          <w:szCs w:val="24"/>
        </w:rPr>
        <w:t xml:space="preserve"> query, investigating the effect of rs3863294 on DNA methylation in blood samples across the life course (mqtldb.org).</w:t>
      </w:r>
    </w:p>
    <w:p w14:paraId="02CE0475" w14:textId="77777777" w:rsidR="00EF3FB1" w:rsidRPr="00DE50F8" w:rsidRDefault="00EF3FB1" w:rsidP="00EF3FB1">
      <w:pPr>
        <w:spacing w:line="360" w:lineRule="auto"/>
        <w:rPr>
          <w:rFonts w:ascii="Calibri" w:hAnsi="Calibri"/>
          <w:sz w:val="24"/>
          <w:szCs w:val="24"/>
        </w:rPr>
      </w:pPr>
    </w:p>
    <w:p w14:paraId="3BC474ED" w14:textId="29B51335" w:rsidR="00EF3FB1" w:rsidRPr="00DE50F8" w:rsidRDefault="00EF3FB1" w:rsidP="00EF3FB1">
      <w:pPr>
        <w:spacing w:line="360" w:lineRule="auto"/>
        <w:rPr>
          <w:rFonts w:ascii="Calibri" w:hAnsi="Calibri"/>
          <w:b/>
          <w:sz w:val="24"/>
          <w:szCs w:val="24"/>
        </w:rPr>
      </w:pPr>
      <w:r w:rsidRPr="00DE50F8">
        <w:rPr>
          <w:rFonts w:ascii="Calibri" w:hAnsi="Calibri"/>
          <w:b/>
          <w:sz w:val="24"/>
          <w:szCs w:val="24"/>
        </w:rPr>
        <w:t xml:space="preserve">With respect to gene expression, we queried the </w:t>
      </w:r>
      <w:proofErr w:type="spellStart"/>
      <w:r w:rsidRPr="00DE50F8">
        <w:rPr>
          <w:rFonts w:ascii="Calibri" w:hAnsi="Calibri"/>
          <w:b/>
          <w:sz w:val="24"/>
          <w:szCs w:val="24"/>
        </w:rPr>
        <w:t>GTEx</w:t>
      </w:r>
      <w:proofErr w:type="spellEnd"/>
      <w:r w:rsidRPr="00DE50F8">
        <w:rPr>
          <w:rFonts w:ascii="Calibri" w:hAnsi="Calibri"/>
          <w:b/>
          <w:sz w:val="24"/>
          <w:szCs w:val="24"/>
        </w:rPr>
        <w:t xml:space="preserve"> resource (gtexportal.org) and found that rs3863294 does appear to impact </w:t>
      </w:r>
      <w:r w:rsidRPr="00DE50F8">
        <w:rPr>
          <w:rFonts w:ascii="Calibri" w:hAnsi="Calibri"/>
          <w:b/>
          <w:i/>
          <w:sz w:val="24"/>
          <w:szCs w:val="24"/>
        </w:rPr>
        <w:t>TMPRSS5</w:t>
      </w:r>
      <w:r w:rsidRPr="00DE50F8">
        <w:rPr>
          <w:rFonts w:ascii="Calibri" w:hAnsi="Calibri"/>
          <w:b/>
          <w:sz w:val="24"/>
          <w:szCs w:val="24"/>
        </w:rPr>
        <w:t xml:space="preserve"> expression, predominantly in brain tissue. Strongest effects on expression were detected in subcortical brain structures, including the caudate (SM Figure S3). rs3863294 was also linked to </w:t>
      </w:r>
      <w:r w:rsidRPr="00DE50F8">
        <w:rPr>
          <w:rFonts w:ascii="Calibri" w:hAnsi="Calibri"/>
          <w:b/>
          <w:i/>
          <w:sz w:val="24"/>
          <w:szCs w:val="24"/>
        </w:rPr>
        <w:t>DRD2</w:t>
      </w:r>
      <w:r w:rsidRPr="00DE50F8">
        <w:rPr>
          <w:rFonts w:ascii="Calibri" w:hAnsi="Calibri"/>
          <w:b/>
          <w:sz w:val="24"/>
          <w:szCs w:val="24"/>
        </w:rPr>
        <w:t xml:space="preserve"> expression, albeit most prominently so in skin tissue (SM Figure S4).</w:t>
      </w:r>
    </w:p>
    <w:p w14:paraId="7AC67C04" w14:textId="109E280C" w:rsidR="00EF3FB1" w:rsidRPr="00DE50F8" w:rsidRDefault="00EF3FB1" w:rsidP="00EF3FB1">
      <w:pPr>
        <w:spacing w:line="360" w:lineRule="auto"/>
        <w:rPr>
          <w:rFonts w:ascii="Calibri" w:hAnsi="Calibri"/>
          <w:sz w:val="24"/>
          <w:szCs w:val="24"/>
        </w:rPr>
      </w:pPr>
      <w:r w:rsidRPr="00DE50F8">
        <w:rPr>
          <w:rFonts w:ascii="Calibri" w:hAnsi="Calibri"/>
          <w:noProof/>
          <w:sz w:val="24"/>
          <w:szCs w:val="24"/>
          <w:lang w:val="de-DE" w:eastAsia="de-DE"/>
        </w:rPr>
        <w:lastRenderedPageBreak/>
        <w:drawing>
          <wp:inline distT="0" distB="0" distL="0" distR="0" wp14:anchorId="2F73D0E2" wp14:editId="1CE82347">
            <wp:extent cx="5753100" cy="49987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4998720"/>
                    </a:xfrm>
                    <a:prstGeom prst="rect">
                      <a:avLst/>
                    </a:prstGeom>
                    <a:noFill/>
                    <a:ln>
                      <a:noFill/>
                    </a:ln>
                  </pic:spPr>
                </pic:pic>
              </a:graphicData>
            </a:graphic>
          </wp:inline>
        </w:drawing>
      </w:r>
    </w:p>
    <w:p w14:paraId="2B909014" w14:textId="7E61EB17" w:rsidR="00EF3FB1" w:rsidRPr="00DE50F8" w:rsidRDefault="00EF3FB1" w:rsidP="00EF3FB1">
      <w:pPr>
        <w:spacing w:line="360" w:lineRule="auto"/>
        <w:rPr>
          <w:rFonts w:ascii="Calibri" w:hAnsi="Calibri"/>
          <w:b/>
          <w:sz w:val="24"/>
          <w:szCs w:val="24"/>
        </w:rPr>
      </w:pPr>
      <w:r w:rsidRPr="00DE50F8">
        <w:rPr>
          <w:rFonts w:ascii="Calibri" w:hAnsi="Calibri"/>
          <w:b/>
          <w:sz w:val="24"/>
          <w:szCs w:val="24"/>
        </w:rPr>
        <w:t xml:space="preserve">SM Figure S3. Effect of rs3863294 on </w:t>
      </w:r>
      <w:r w:rsidRPr="00DE50F8">
        <w:rPr>
          <w:rFonts w:ascii="Calibri" w:hAnsi="Calibri"/>
          <w:b/>
          <w:i/>
          <w:sz w:val="24"/>
          <w:szCs w:val="24"/>
        </w:rPr>
        <w:t>TMPRSS5</w:t>
      </w:r>
      <w:r w:rsidRPr="00DE50F8">
        <w:rPr>
          <w:rFonts w:ascii="Calibri" w:hAnsi="Calibri"/>
          <w:b/>
          <w:sz w:val="24"/>
          <w:szCs w:val="24"/>
        </w:rPr>
        <w:t xml:space="preserve"> expression across tissues (based on </w:t>
      </w:r>
      <w:proofErr w:type="spellStart"/>
      <w:r w:rsidRPr="00DE50F8">
        <w:rPr>
          <w:rFonts w:ascii="Calibri" w:hAnsi="Calibri"/>
          <w:b/>
          <w:sz w:val="24"/>
          <w:szCs w:val="24"/>
        </w:rPr>
        <w:t>GTEx</w:t>
      </w:r>
      <w:proofErr w:type="spellEnd"/>
      <w:r w:rsidRPr="00DE50F8">
        <w:rPr>
          <w:rFonts w:ascii="Calibri" w:hAnsi="Calibri"/>
          <w:b/>
          <w:sz w:val="24"/>
          <w:szCs w:val="24"/>
        </w:rPr>
        <w:t xml:space="preserve"> data).</w:t>
      </w:r>
    </w:p>
    <w:p w14:paraId="63F41506" w14:textId="77777777" w:rsidR="00EF3FB1" w:rsidRPr="00DE50F8" w:rsidRDefault="00EF3FB1" w:rsidP="00EF3FB1">
      <w:pPr>
        <w:spacing w:line="360" w:lineRule="auto"/>
        <w:rPr>
          <w:rFonts w:ascii="Calibri" w:hAnsi="Calibri"/>
          <w:sz w:val="24"/>
          <w:szCs w:val="24"/>
        </w:rPr>
      </w:pPr>
    </w:p>
    <w:p w14:paraId="25D76524" w14:textId="64D32085" w:rsidR="00EF3FB1" w:rsidRPr="00DE50F8" w:rsidRDefault="00EF3FB1" w:rsidP="00EF3FB1">
      <w:pPr>
        <w:spacing w:line="360" w:lineRule="auto"/>
        <w:rPr>
          <w:rFonts w:ascii="Calibri" w:hAnsi="Calibri"/>
          <w:sz w:val="24"/>
          <w:szCs w:val="24"/>
        </w:rPr>
      </w:pPr>
      <w:r w:rsidRPr="00DE50F8">
        <w:rPr>
          <w:rFonts w:ascii="Calibri" w:hAnsi="Calibri"/>
          <w:noProof/>
          <w:sz w:val="24"/>
          <w:szCs w:val="24"/>
          <w:lang w:val="de-DE" w:eastAsia="de-DE"/>
        </w:rPr>
        <w:lastRenderedPageBreak/>
        <w:drawing>
          <wp:inline distT="0" distB="0" distL="0" distR="0" wp14:anchorId="092133A4" wp14:editId="6D11F439">
            <wp:extent cx="5753100" cy="50520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5052060"/>
                    </a:xfrm>
                    <a:prstGeom prst="rect">
                      <a:avLst/>
                    </a:prstGeom>
                    <a:noFill/>
                    <a:ln>
                      <a:noFill/>
                    </a:ln>
                  </pic:spPr>
                </pic:pic>
              </a:graphicData>
            </a:graphic>
          </wp:inline>
        </w:drawing>
      </w:r>
    </w:p>
    <w:p w14:paraId="534FE760" w14:textId="34155072" w:rsidR="00EF3FB1" w:rsidRPr="00DE50F8" w:rsidRDefault="00EF3FB1" w:rsidP="00EF3FB1">
      <w:pPr>
        <w:spacing w:line="360" w:lineRule="auto"/>
        <w:rPr>
          <w:rFonts w:ascii="Calibri" w:hAnsi="Calibri"/>
          <w:b/>
          <w:sz w:val="24"/>
          <w:szCs w:val="24"/>
        </w:rPr>
      </w:pPr>
      <w:r w:rsidRPr="00DE50F8">
        <w:rPr>
          <w:rFonts w:ascii="Calibri" w:hAnsi="Calibri"/>
          <w:b/>
          <w:sz w:val="24"/>
          <w:szCs w:val="24"/>
        </w:rPr>
        <w:t xml:space="preserve">SM Figure S4. Effect of rs3863294 on </w:t>
      </w:r>
      <w:r w:rsidRPr="00DE50F8">
        <w:rPr>
          <w:rFonts w:ascii="Calibri" w:hAnsi="Calibri"/>
          <w:b/>
          <w:i/>
          <w:sz w:val="24"/>
          <w:szCs w:val="24"/>
        </w:rPr>
        <w:t>DRD2</w:t>
      </w:r>
      <w:r w:rsidRPr="00DE50F8">
        <w:rPr>
          <w:rFonts w:ascii="Calibri" w:hAnsi="Calibri"/>
          <w:b/>
          <w:sz w:val="24"/>
          <w:szCs w:val="24"/>
        </w:rPr>
        <w:t xml:space="preserve"> expression across tissues (based on </w:t>
      </w:r>
      <w:proofErr w:type="spellStart"/>
      <w:r w:rsidRPr="00DE50F8">
        <w:rPr>
          <w:rFonts w:ascii="Calibri" w:hAnsi="Calibri"/>
          <w:b/>
          <w:sz w:val="24"/>
          <w:szCs w:val="24"/>
        </w:rPr>
        <w:t>GTEx</w:t>
      </w:r>
      <w:proofErr w:type="spellEnd"/>
      <w:r w:rsidRPr="00DE50F8">
        <w:rPr>
          <w:rFonts w:ascii="Calibri" w:hAnsi="Calibri"/>
          <w:b/>
          <w:sz w:val="24"/>
          <w:szCs w:val="24"/>
        </w:rPr>
        <w:t xml:space="preserve"> data).</w:t>
      </w:r>
    </w:p>
    <w:p w14:paraId="272C90AF" w14:textId="73B7485C" w:rsidR="00EF3FB1" w:rsidRPr="00DE50F8" w:rsidRDefault="00EF3FB1">
      <w:pPr>
        <w:rPr>
          <w:b/>
          <w:sz w:val="24"/>
          <w:szCs w:val="24"/>
        </w:rPr>
      </w:pPr>
    </w:p>
    <w:p w14:paraId="595FF9DD" w14:textId="77777777" w:rsidR="00EF3FB1" w:rsidRPr="00DE50F8" w:rsidRDefault="00EF3FB1">
      <w:pPr>
        <w:rPr>
          <w:b/>
          <w:sz w:val="24"/>
          <w:szCs w:val="24"/>
        </w:rPr>
      </w:pPr>
    </w:p>
    <w:p w14:paraId="159480F6" w14:textId="77777777" w:rsidR="003F53EE" w:rsidRDefault="003F53EE">
      <w:pPr>
        <w:rPr>
          <w:b/>
          <w:sz w:val="24"/>
          <w:szCs w:val="24"/>
        </w:rPr>
      </w:pPr>
      <w:r>
        <w:rPr>
          <w:b/>
          <w:sz w:val="24"/>
          <w:szCs w:val="24"/>
        </w:rPr>
        <w:br w:type="page"/>
      </w:r>
    </w:p>
    <w:p w14:paraId="0922795E" w14:textId="3280E316" w:rsidR="00EF3C0F" w:rsidRPr="00DE50F8" w:rsidRDefault="00EF3C0F" w:rsidP="00B62227">
      <w:pPr>
        <w:spacing w:line="480" w:lineRule="auto"/>
        <w:rPr>
          <w:b/>
          <w:sz w:val="24"/>
          <w:szCs w:val="24"/>
        </w:rPr>
      </w:pPr>
      <w:r w:rsidRPr="00DE50F8">
        <w:rPr>
          <w:b/>
          <w:sz w:val="24"/>
          <w:szCs w:val="24"/>
        </w:rPr>
        <w:lastRenderedPageBreak/>
        <w:t>SM 2.</w:t>
      </w:r>
      <w:r w:rsidR="00EF3FB1" w:rsidRPr="00DE50F8">
        <w:rPr>
          <w:b/>
          <w:sz w:val="24"/>
          <w:szCs w:val="24"/>
        </w:rPr>
        <w:t>5</w:t>
      </w:r>
      <w:r w:rsidRPr="00DE50F8">
        <w:rPr>
          <w:b/>
          <w:sz w:val="24"/>
          <w:szCs w:val="24"/>
        </w:rPr>
        <w:t xml:space="preserve"> </w:t>
      </w:r>
      <w:r w:rsidR="00301721" w:rsidRPr="00DE50F8">
        <w:rPr>
          <w:b/>
          <w:sz w:val="24"/>
          <w:szCs w:val="24"/>
        </w:rPr>
        <w:t xml:space="preserve">SNP Effect Concordance Analysis (SECA): </w:t>
      </w:r>
      <w:r w:rsidRPr="00DE50F8">
        <w:rPr>
          <w:b/>
          <w:sz w:val="24"/>
          <w:szCs w:val="24"/>
        </w:rPr>
        <w:t>Conditional analyses</w:t>
      </w:r>
    </w:p>
    <w:p w14:paraId="559FE056" w14:textId="09B3087A" w:rsidR="00EF3C0F" w:rsidRDefault="00EF3C0F" w:rsidP="00B62227">
      <w:pPr>
        <w:spacing w:line="480" w:lineRule="auto"/>
        <w:rPr>
          <w:sz w:val="24"/>
          <w:szCs w:val="24"/>
        </w:rPr>
      </w:pPr>
    </w:p>
    <w:p w14:paraId="7F4F6F9C" w14:textId="69DA05B0" w:rsidR="00E543F4" w:rsidRDefault="00E543F4" w:rsidP="00B62227">
      <w:pPr>
        <w:spacing w:line="480" w:lineRule="auto"/>
        <w:rPr>
          <w:sz w:val="24"/>
          <w:szCs w:val="24"/>
        </w:rPr>
      </w:pPr>
      <w:r>
        <w:rPr>
          <w:noProof/>
          <w:sz w:val="24"/>
          <w:szCs w:val="24"/>
          <w:lang w:val="de-DE" w:eastAsia="de-DE"/>
        </w:rPr>
        <w:drawing>
          <wp:inline distT="0" distB="0" distL="0" distR="0" wp14:anchorId="672F381E" wp14:editId="570EB246">
            <wp:extent cx="4584700" cy="275590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3FBF616" w14:textId="5A483B03" w:rsidR="00EF3C0F" w:rsidRPr="003F53EE" w:rsidRDefault="00E543F4" w:rsidP="00B62227">
      <w:pPr>
        <w:spacing w:line="480" w:lineRule="auto"/>
        <w:rPr>
          <w:b/>
          <w:sz w:val="24"/>
          <w:szCs w:val="24"/>
        </w:rPr>
      </w:pPr>
      <w:r w:rsidRPr="003F53EE">
        <w:rPr>
          <w:b/>
          <w:sz w:val="24"/>
          <w:szCs w:val="24"/>
        </w:rPr>
        <w:t>Supplementary Figure S</w:t>
      </w:r>
      <w:r w:rsidR="00854A8E" w:rsidRPr="003F53EE">
        <w:rPr>
          <w:b/>
          <w:sz w:val="24"/>
          <w:szCs w:val="24"/>
        </w:rPr>
        <w:t>5</w:t>
      </w:r>
      <w:r w:rsidRPr="003F53EE">
        <w:rPr>
          <w:b/>
          <w:sz w:val="24"/>
          <w:szCs w:val="24"/>
        </w:rPr>
        <w:t>. Conditional effects for four SNPs</w:t>
      </w:r>
      <w:r w:rsidR="004D71EC" w:rsidRPr="003F53EE">
        <w:rPr>
          <w:b/>
          <w:sz w:val="24"/>
          <w:szCs w:val="24"/>
        </w:rPr>
        <w:t xml:space="preserve"> (differently colored lines)</w:t>
      </w:r>
      <w:r w:rsidRPr="003F53EE">
        <w:rPr>
          <w:b/>
          <w:sz w:val="24"/>
          <w:szCs w:val="24"/>
        </w:rPr>
        <w:t>, reported to gain in significance with AN (</w:t>
      </w:r>
      <w:r w:rsidR="004D71EC" w:rsidRPr="003F53EE">
        <w:rPr>
          <w:b/>
          <w:sz w:val="24"/>
          <w:szCs w:val="24"/>
        </w:rPr>
        <w:t>y-axis</w:t>
      </w:r>
      <w:r w:rsidRPr="003F53EE">
        <w:rPr>
          <w:b/>
          <w:sz w:val="24"/>
          <w:szCs w:val="24"/>
        </w:rPr>
        <w:t>) after conditioning on brain volume (related to the caudate</w:t>
      </w:r>
      <w:r w:rsidR="009713CB" w:rsidRPr="003F53EE">
        <w:rPr>
          <w:b/>
          <w:sz w:val="24"/>
          <w:szCs w:val="24"/>
        </w:rPr>
        <w:t xml:space="preserve"> (blue)</w:t>
      </w:r>
      <w:r w:rsidRPr="003F53EE">
        <w:rPr>
          <w:b/>
          <w:sz w:val="24"/>
          <w:szCs w:val="24"/>
        </w:rPr>
        <w:t>, hippocampus</w:t>
      </w:r>
      <w:r w:rsidR="009713CB" w:rsidRPr="003F53EE">
        <w:rPr>
          <w:b/>
          <w:sz w:val="24"/>
          <w:szCs w:val="24"/>
        </w:rPr>
        <w:t xml:space="preserve"> (orange)</w:t>
      </w:r>
      <w:r w:rsidRPr="003F53EE">
        <w:rPr>
          <w:b/>
          <w:sz w:val="24"/>
          <w:szCs w:val="24"/>
        </w:rPr>
        <w:t xml:space="preserve">, pallidum </w:t>
      </w:r>
      <w:r w:rsidR="009713CB" w:rsidRPr="003F53EE">
        <w:rPr>
          <w:b/>
          <w:sz w:val="24"/>
          <w:szCs w:val="24"/>
        </w:rPr>
        <w:t xml:space="preserve">(grey) </w:t>
      </w:r>
      <w:r w:rsidRPr="003F53EE">
        <w:rPr>
          <w:b/>
          <w:sz w:val="24"/>
          <w:szCs w:val="24"/>
        </w:rPr>
        <w:t xml:space="preserve">and </w:t>
      </w:r>
      <w:proofErr w:type="spellStart"/>
      <w:r w:rsidRPr="003F53EE">
        <w:rPr>
          <w:b/>
          <w:sz w:val="24"/>
          <w:szCs w:val="24"/>
        </w:rPr>
        <w:t>accumbens</w:t>
      </w:r>
      <w:proofErr w:type="spellEnd"/>
      <w:r w:rsidR="009713CB" w:rsidRPr="003F53EE">
        <w:rPr>
          <w:b/>
          <w:sz w:val="24"/>
          <w:szCs w:val="24"/>
        </w:rPr>
        <w:t xml:space="preserve"> (yellow)</w:t>
      </w:r>
      <w:r w:rsidR="004D71EC" w:rsidRPr="003F53EE">
        <w:rPr>
          <w:b/>
          <w:sz w:val="24"/>
          <w:szCs w:val="24"/>
        </w:rPr>
        <w:t>; x-axis</w:t>
      </w:r>
      <w:r w:rsidRPr="003F53EE">
        <w:rPr>
          <w:b/>
          <w:sz w:val="24"/>
          <w:szCs w:val="24"/>
        </w:rPr>
        <w:t xml:space="preserve">). </w:t>
      </w:r>
      <w:r w:rsidR="009713CB" w:rsidRPr="003F53EE">
        <w:rPr>
          <w:b/>
          <w:sz w:val="24"/>
          <w:szCs w:val="24"/>
        </w:rPr>
        <w:t>All e</w:t>
      </w:r>
      <w:r w:rsidRPr="003F53EE">
        <w:rPr>
          <w:b/>
          <w:sz w:val="24"/>
          <w:szCs w:val="24"/>
        </w:rPr>
        <w:t>ffect</w:t>
      </w:r>
      <w:r w:rsidR="009713CB" w:rsidRPr="003F53EE">
        <w:rPr>
          <w:b/>
          <w:sz w:val="24"/>
          <w:szCs w:val="24"/>
        </w:rPr>
        <w:t>s</w:t>
      </w:r>
      <w:r w:rsidRPr="003F53EE">
        <w:rPr>
          <w:b/>
          <w:sz w:val="24"/>
          <w:szCs w:val="24"/>
        </w:rPr>
        <w:t xml:space="preserve"> </w:t>
      </w:r>
      <w:r w:rsidR="009713CB" w:rsidRPr="003F53EE">
        <w:rPr>
          <w:b/>
          <w:sz w:val="24"/>
          <w:szCs w:val="24"/>
        </w:rPr>
        <w:t xml:space="preserve">were </w:t>
      </w:r>
      <w:r w:rsidRPr="003F53EE">
        <w:rPr>
          <w:b/>
          <w:sz w:val="24"/>
          <w:szCs w:val="24"/>
        </w:rPr>
        <w:t>specific to more stringent FDR-corrected p-values (</w:t>
      </w:r>
      <w:r w:rsidR="001B1F06" w:rsidRPr="003F53EE">
        <w:rPr>
          <w:b/>
          <w:sz w:val="24"/>
          <w:szCs w:val="24"/>
        </w:rPr>
        <w:t xml:space="preserve">in the GWAS on brain volumes, </w:t>
      </w:r>
      <w:r w:rsidR="004D71EC" w:rsidRPr="003F53EE">
        <w:rPr>
          <w:b/>
          <w:sz w:val="24"/>
          <w:szCs w:val="24"/>
        </w:rPr>
        <w:t>x-axis</w:t>
      </w:r>
      <w:r w:rsidRPr="003F53EE">
        <w:rPr>
          <w:b/>
          <w:sz w:val="24"/>
          <w:szCs w:val="24"/>
        </w:rPr>
        <w:t xml:space="preserve">) with a decrease in AN-significance at moderately stringent cutoffs (0.4 &gt; </w:t>
      </w:r>
      <w:proofErr w:type="spellStart"/>
      <w:r w:rsidRPr="003F53EE">
        <w:rPr>
          <w:b/>
          <w:sz w:val="24"/>
          <w:szCs w:val="24"/>
        </w:rPr>
        <w:t>p</w:t>
      </w:r>
      <w:r w:rsidR="004D71EC" w:rsidRPr="003F53EE">
        <w:rPr>
          <w:b/>
          <w:sz w:val="24"/>
          <w:szCs w:val="24"/>
          <w:vertAlign w:val="subscript"/>
        </w:rPr>
        <w:t>FDR</w:t>
      </w:r>
      <w:proofErr w:type="spellEnd"/>
      <w:r w:rsidRPr="003F53EE">
        <w:rPr>
          <w:b/>
          <w:sz w:val="24"/>
          <w:szCs w:val="24"/>
        </w:rPr>
        <w:t xml:space="preserve"> &gt; 0.05). Only the SNP associated with effects conditional on pallidum volume (rs873507) show</w:t>
      </w:r>
      <w:r w:rsidR="0084631A">
        <w:rPr>
          <w:b/>
          <w:sz w:val="24"/>
          <w:szCs w:val="24"/>
        </w:rPr>
        <w:t>ed</w:t>
      </w:r>
      <w:r w:rsidRPr="003F53EE">
        <w:rPr>
          <w:b/>
          <w:sz w:val="24"/>
          <w:szCs w:val="24"/>
        </w:rPr>
        <w:t xml:space="preserve"> a continuous gain in significance with AN, especially at p-value thresholds of 0.1 and 0.5</w:t>
      </w:r>
      <w:r w:rsidR="009713CB" w:rsidRPr="003F53EE">
        <w:rPr>
          <w:b/>
          <w:sz w:val="24"/>
          <w:szCs w:val="24"/>
        </w:rPr>
        <w:t xml:space="preserve"> (note that analyses for the last two thresholds (p=0.01 and 0.003) did not converge)</w:t>
      </w:r>
      <w:r w:rsidRPr="003F53EE">
        <w:rPr>
          <w:b/>
          <w:sz w:val="24"/>
          <w:szCs w:val="24"/>
        </w:rPr>
        <w:t>.</w:t>
      </w:r>
    </w:p>
    <w:p w14:paraId="1FE6ACFF" w14:textId="7D241928" w:rsidR="00B62227" w:rsidRPr="00EF4B22" w:rsidRDefault="00EF4B22" w:rsidP="00B62227">
      <w:pPr>
        <w:spacing w:line="480" w:lineRule="auto"/>
        <w:rPr>
          <w:sz w:val="24"/>
          <w:szCs w:val="24"/>
        </w:rPr>
      </w:pPr>
      <w:r>
        <w:rPr>
          <w:sz w:val="24"/>
          <w:szCs w:val="24"/>
        </w:rPr>
        <w:t>SM 2.</w:t>
      </w:r>
      <w:r w:rsidR="00EF3FB1">
        <w:rPr>
          <w:sz w:val="24"/>
          <w:szCs w:val="24"/>
        </w:rPr>
        <w:t>6</w:t>
      </w:r>
      <w:r w:rsidR="006C1DE9" w:rsidRPr="00EF4B22">
        <w:rPr>
          <w:sz w:val="24"/>
          <w:szCs w:val="24"/>
        </w:rPr>
        <w:t xml:space="preserve"> Mendelian randomization analysis</w:t>
      </w:r>
    </w:p>
    <w:tbl>
      <w:tblPr>
        <w:tblStyle w:val="GridTable1Light1"/>
        <w:tblW w:w="5000" w:type="pct"/>
        <w:tblLook w:val="04A0" w:firstRow="1" w:lastRow="0" w:firstColumn="1" w:lastColumn="0" w:noHBand="0" w:noVBand="1"/>
      </w:tblPr>
      <w:tblGrid>
        <w:gridCol w:w="2065"/>
        <w:gridCol w:w="1447"/>
        <w:gridCol w:w="1788"/>
        <w:gridCol w:w="1350"/>
        <w:gridCol w:w="1350"/>
        <w:gridCol w:w="1350"/>
      </w:tblGrid>
      <w:tr w:rsidR="00247FDF" w:rsidRPr="00EF4B22" w14:paraId="22182077" w14:textId="77777777" w:rsidTr="00FF106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4" w:type="pct"/>
            <w:noWrap/>
            <w:hideMark/>
          </w:tcPr>
          <w:p w14:paraId="087D3AE4" w14:textId="77777777" w:rsidR="00247FDF" w:rsidRPr="00EF4B22" w:rsidRDefault="00247FDF" w:rsidP="00247FDF">
            <w:pPr>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exposure</w:t>
            </w:r>
          </w:p>
        </w:tc>
        <w:tc>
          <w:tcPr>
            <w:tcW w:w="774" w:type="pct"/>
            <w:noWrap/>
            <w:hideMark/>
          </w:tcPr>
          <w:p w14:paraId="4748FB51" w14:textId="77777777" w:rsidR="00247FDF" w:rsidRPr="00EF4B22" w:rsidRDefault="00247FDF" w:rsidP="00247FD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outcome</w:t>
            </w:r>
          </w:p>
        </w:tc>
        <w:tc>
          <w:tcPr>
            <w:tcW w:w="956" w:type="pct"/>
            <w:noWrap/>
            <w:hideMark/>
          </w:tcPr>
          <w:p w14:paraId="55DE3EFF" w14:textId="77777777" w:rsidR="00247FDF" w:rsidRPr="00EF4B22" w:rsidRDefault="00247FDF" w:rsidP="00247FD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SNP</w:t>
            </w:r>
          </w:p>
        </w:tc>
        <w:tc>
          <w:tcPr>
            <w:tcW w:w="722" w:type="pct"/>
            <w:noWrap/>
            <w:hideMark/>
          </w:tcPr>
          <w:p w14:paraId="4A239E0B" w14:textId="77777777" w:rsidR="00247FDF" w:rsidRPr="00EF4B22" w:rsidRDefault="00247FDF" w:rsidP="00247FD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b</w:t>
            </w:r>
          </w:p>
        </w:tc>
        <w:tc>
          <w:tcPr>
            <w:tcW w:w="722" w:type="pct"/>
            <w:noWrap/>
            <w:hideMark/>
          </w:tcPr>
          <w:p w14:paraId="5372EAEE" w14:textId="77777777" w:rsidR="00247FDF" w:rsidRPr="00EF4B22" w:rsidRDefault="00247FDF" w:rsidP="00247FD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se</w:t>
            </w:r>
          </w:p>
        </w:tc>
        <w:tc>
          <w:tcPr>
            <w:tcW w:w="722" w:type="pct"/>
            <w:noWrap/>
            <w:hideMark/>
          </w:tcPr>
          <w:p w14:paraId="7AAB8B9E" w14:textId="77777777" w:rsidR="00247FDF" w:rsidRPr="00EF4B22" w:rsidRDefault="00247FDF" w:rsidP="00247FD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p</w:t>
            </w:r>
          </w:p>
        </w:tc>
      </w:tr>
      <w:tr w:rsidR="00247FDF" w:rsidRPr="00EF4B22" w14:paraId="1124FEDB" w14:textId="77777777" w:rsidTr="00FF1067">
        <w:trPr>
          <w:trHeight w:val="300"/>
        </w:trPr>
        <w:tc>
          <w:tcPr>
            <w:cnfStyle w:val="001000000000" w:firstRow="0" w:lastRow="0" w:firstColumn="1" w:lastColumn="0" w:oddVBand="0" w:evenVBand="0" w:oddHBand="0" w:evenHBand="0" w:firstRowFirstColumn="0" w:firstRowLastColumn="0" w:lastRowFirstColumn="0" w:lastRowLastColumn="0"/>
            <w:tcW w:w="1104" w:type="pct"/>
            <w:noWrap/>
            <w:hideMark/>
          </w:tcPr>
          <w:p w14:paraId="12A236A5" w14:textId="77777777" w:rsidR="00247FDF" w:rsidRPr="00EF4B22" w:rsidRDefault="00247FDF" w:rsidP="00247FDF">
            <w:pPr>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Caudate</w:t>
            </w:r>
          </w:p>
        </w:tc>
        <w:tc>
          <w:tcPr>
            <w:tcW w:w="774" w:type="pct"/>
            <w:noWrap/>
            <w:hideMark/>
          </w:tcPr>
          <w:p w14:paraId="7417215E" w14:textId="77777777" w:rsidR="00247FDF" w:rsidRPr="00EF4B22" w:rsidRDefault="00247FDF" w:rsidP="00247F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AN</w:t>
            </w:r>
          </w:p>
        </w:tc>
        <w:tc>
          <w:tcPr>
            <w:tcW w:w="956" w:type="pct"/>
            <w:noWrap/>
            <w:hideMark/>
          </w:tcPr>
          <w:p w14:paraId="366813A7" w14:textId="77777777" w:rsidR="00247FDF" w:rsidRPr="00EF4B22" w:rsidRDefault="00247FDF" w:rsidP="00247F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rs1318862</w:t>
            </w:r>
          </w:p>
        </w:tc>
        <w:tc>
          <w:tcPr>
            <w:tcW w:w="722" w:type="pct"/>
            <w:noWrap/>
            <w:hideMark/>
          </w:tcPr>
          <w:p w14:paraId="51C6B4ED" w14:textId="77777777" w:rsidR="00247FDF" w:rsidRPr="00EF4B22" w:rsidRDefault="00247FDF" w:rsidP="00247FD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-5.95E-04</w:t>
            </w:r>
          </w:p>
        </w:tc>
        <w:tc>
          <w:tcPr>
            <w:tcW w:w="722" w:type="pct"/>
            <w:noWrap/>
            <w:hideMark/>
          </w:tcPr>
          <w:p w14:paraId="4F17B7F8" w14:textId="77777777" w:rsidR="00247FDF" w:rsidRPr="00EF4B22" w:rsidRDefault="00247FDF" w:rsidP="00247FD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1.11E-03</w:t>
            </w:r>
          </w:p>
        </w:tc>
        <w:tc>
          <w:tcPr>
            <w:tcW w:w="722" w:type="pct"/>
            <w:noWrap/>
            <w:hideMark/>
          </w:tcPr>
          <w:p w14:paraId="5BF9970F" w14:textId="77777777" w:rsidR="00247FDF" w:rsidRPr="00EF4B22" w:rsidRDefault="00247FDF" w:rsidP="00247FD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0.592</w:t>
            </w:r>
          </w:p>
        </w:tc>
      </w:tr>
      <w:tr w:rsidR="00247FDF" w:rsidRPr="00EF4B22" w14:paraId="7FFD4BA1" w14:textId="77777777" w:rsidTr="00FF1067">
        <w:trPr>
          <w:trHeight w:val="300"/>
        </w:trPr>
        <w:tc>
          <w:tcPr>
            <w:cnfStyle w:val="001000000000" w:firstRow="0" w:lastRow="0" w:firstColumn="1" w:lastColumn="0" w:oddVBand="0" w:evenVBand="0" w:oddHBand="0" w:evenHBand="0" w:firstRowFirstColumn="0" w:firstRowLastColumn="0" w:lastRowFirstColumn="0" w:lastRowLastColumn="0"/>
            <w:tcW w:w="1104" w:type="pct"/>
            <w:noWrap/>
            <w:hideMark/>
          </w:tcPr>
          <w:p w14:paraId="5351DA52" w14:textId="77777777" w:rsidR="00247FDF" w:rsidRPr="00EF4B22" w:rsidRDefault="00247FDF" w:rsidP="00247FDF">
            <w:pPr>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lastRenderedPageBreak/>
              <w:t>Hippocampus</w:t>
            </w:r>
          </w:p>
        </w:tc>
        <w:tc>
          <w:tcPr>
            <w:tcW w:w="774" w:type="pct"/>
            <w:noWrap/>
            <w:hideMark/>
          </w:tcPr>
          <w:p w14:paraId="06314F90" w14:textId="77777777" w:rsidR="00247FDF" w:rsidRPr="00EF4B22" w:rsidRDefault="00247FDF" w:rsidP="00247F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AN</w:t>
            </w:r>
          </w:p>
        </w:tc>
        <w:tc>
          <w:tcPr>
            <w:tcW w:w="956" w:type="pct"/>
            <w:noWrap/>
            <w:hideMark/>
          </w:tcPr>
          <w:p w14:paraId="2CC5FDA3" w14:textId="77777777" w:rsidR="00247FDF" w:rsidRPr="00EF4B22" w:rsidRDefault="00247FDF" w:rsidP="00247F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rs61921502</w:t>
            </w:r>
          </w:p>
        </w:tc>
        <w:tc>
          <w:tcPr>
            <w:tcW w:w="722" w:type="pct"/>
            <w:noWrap/>
            <w:hideMark/>
          </w:tcPr>
          <w:p w14:paraId="42A02424" w14:textId="77777777" w:rsidR="00247FDF" w:rsidRPr="00EF4B22" w:rsidRDefault="00247FDF" w:rsidP="00247FD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2.16E-04</w:t>
            </w:r>
          </w:p>
        </w:tc>
        <w:tc>
          <w:tcPr>
            <w:tcW w:w="722" w:type="pct"/>
            <w:noWrap/>
            <w:hideMark/>
          </w:tcPr>
          <w:p w14:paraId="14974F53" w14:textId="77777777" w:rsidR="00247FDF" w:rsidRPr="00EF4B22" w:rsidRDefault="00247FDF" w:rsidP="00247FD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1.11E-03</w:t>
            </w:r>
          </w:p>
        </w:tc>
        <w:tc>
          <w:tcPr>
            <w:tcW w:w="722" w:type="pct"/>
            <w:noWrap/>
            <w:hideMark/>
          </w:tcPr>
          <w:p w14:paraId="0BCAD941" w14:textId="77777777" w:rsidR="00247FDF" w:rsidRPr="00EF4B22" w:rsidRDefault="00247FDF" w:rsidP="00247FD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0.846</w:t>
            </w:r>
          </w:p>
        </w:tc>
      </w:tr>
      <w:tr w:rsidR="00247FDF" w:rsidRPr="00EF4B22" w14:paraId="796B1B4D" w14:textId="77777777" w:rsidTr="00FF1067">
        <w:trPr>
          <w:trHeight w:val="300"/>
        </w:trPr>
        <w:tc>
          <w:tcPr>
            <w:cnfStyle w:val="001000000000" w:firstRow="0" w:lastRow="0" w:firstColumn="1" w:lastColumn="0" w:oddVBand="0" w:evenVBand="0" w:oddHBand="0" w:evenHBand="0" w:firstRowFirstColumn="0" w:firstRowLastColumn="0" w:lastRowFirstColumn="0" w:lastRowLastColumn="0"/>
            <w:tcW w:w="1104" w:type="pct"/>
            <w:noWrap/>
            <w:hideMark/>
          </w:tcPr>
          <w:p w14:paraId="334B6875" w14:textId="77777777" w:rsidR="00247FDF" w:rsidRPr="00EF4B22" w:rsidRDefault="00247FDF" w:rsidP="00247FDF">
            <w:pPr>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Hippocampus</w:t>
            </w:r>
          </w:p>
        </w:tc>
        <w:tc>
          <w:tcPr>
            <w:tcW w:w="774" w:type="pct"/>
            <w:noWrap/>
            <w:hideMark/>
          </w:tcPr>
          <w:p w14:paraId="6EF32BD7" w14:textId="77777777" w:rsidR="00247FDF" w:rsidRPr="00EF4B22" w:rsidRDefault="00247FDF" w:rsidP="00247F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AN</w:t>
            </w:r>
          </w:p>
        </w:tc>
        <w:tc>
          <w:tcPr>
            <w:tcW w:w="956" w:type="pct"/>
            <w:noWrap/>
            <w:hideMark/>
          </w:tcPr>
          <w:p w14:paraId="01E5C10F" w14:textId="77777777" w:rsidR="00247FDF" w:rsidRPr="00EF4B22" w:rsidRDefault="00247FDF" w:rsidP="00247F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rs77956314</w:t>
            </w:r>
          </w:p>
        </w:tc>
        <w:tc>
          <w:tcPr>
            <w:tcW w:w="722" w:type="pct"/>
            <w:noWrap/>
            <w:hideMark/>
          </w:tcPr>
          <w:p w14:paraId="662C09EE" w14:textId="77777777" w:rsidR="00247FDF" w:rsidRPr="00EF4B22" w:rsidRDefault="00247FDF" w:rsidP="00247FD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-1.66E-04</w:t>
            </w:r>
          </w:p>
        </w:tc>
        <w:tc>
          <w:tcPr>
            <w:tcW w:w="722" w:type="pct"/>
            <w:noWrap/>
            <w:hideMark/>
          </w:tcPr>
          <w:p w14:paraId="4285D31E" w14:textId="77777777" w:rsidR="00247FDF" w:rsidRPr="00EF4B22" w:rsidRDefault="00247FDF" w:rsidP="00247FD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9.86E-04</w:t>
            </w:r>
          </w:p>
        </w:tc>
        <w:tc>
          <w:tcPr>
            <w:tcW w:w="722" w:type="pct"/>
            <w:noWrap/>
            <w:hideMark/>
          </w:tcPr>
          <w:p w14:paraId="230106B5" w14:textId="77777777" w:rsidR="00247FDF" w:rsidRPr="00EF4B22" w:rsidRDefault="00247FDF" w:rsidP="00247FD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0.866</w:t>
            </w:r>
          </w:p>
        </w:tc>
      </w:tr>
      <w:tr w:rsidR="00247FDF" w:rsidRPr="00EF4B22" w14:paraId="7FB4134C" w14:textId="77777777" w:rsidTr="00FF1067">
        <w:trPr>
          <w:trHeight w:val="300"/>
        </w:trPr>
        <w:tc>
          <w:tcPr>
            <w:cnfStyle w:val="001000000000" w:firstRow="0" w:lastRow="0" w:firstColumn="1" w:lastColumn="0" w:oddVBand="0" w:evenVBand="0" w:oddHBand="0" w:evenHBand="0" w:firstRowFirstColumn="0" w:firstRowLastColumn="0" w:lastRowFirstColumn="0" w:lastRowLastColumn="0"/>
            <w:tcW w:w="1104" w:type="pct"/>
            <w:noWrap/>
            <w:hideMark/>
          </w:tcPr>
          <w:p w14:paraId="1D03591A" w14:textId="77777777" w:rsidR="00247FDF" w:rsidRPr="00EF4B22" w:rsidRDefault="00247FDF" w:rsidP="00247FDF">
            <w:pPr>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Putamen</w:t>
            </w:r>
          </w:p>
        </w:tc>
        <w:tc>
          <w:tcPr>
            <w:tcW w:w="774" w:type="pct"/>
            <w:noWrap/>
            <w:hideMark/>
          </w:tcPr>
          <w:p w14:paraId="247E054D" w14:textId="77777777" w:rsidR="00247FDF" w:rsidRPr="00EF4B22" w:rsidRDefault="00247FDF" w:rsidP="00247F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AN</w:t>
            </w:r>
          </w:p>
        </w:tc>
        <w:tc>
          <w:tcPr>
            <w:tcW w:w="956" w:type="pct"/>
            <w:noWrap/>
            <w:hideMark/>
          </w:tcPr>
          <w:p w14:paraId="119E200F" w14:textId="77777777" w:rsidR="00247FDF" w:rsidRPr="00EF4B22" w:rsidRDefault="00247FDF" w:rsidP="00247F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rs6087771</w:t>
            </w:r>
          </w:p>
        </w:tc>
        <w:tc>
          <w:tcPr>
            <w:tcW w:w="722" w:type="pct"/>
            <w:noWrap/>
            <w:hideMark/>
          </w:tcPr>
          <w:p w14:paraId="7A40A50E" w14:textId="77777777" w:rsidR="00247FDF" w:rsidRPr="00EF4B22" w:rsidRDefault="00247FDF" w:rsidP="00247FD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1.80E-04</w:t>
            </w:r>
          </w:p>
        </w:tc>
        <w:tc>
          <w:tcPr>
            <w:tcW w:w="722" w:type="pct"/>
            <w:noWrap/>
            <w:hideMark/>
          </w:tcPr>
          <w:p w14:paraId="1D09007A" w14:textId="77777777" w:rsidR="00247FDF" w:rsidRPr="00EF4B22" w:rsidRDefault="00247FDF" w:rsidP="00247FD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9.44E-04</w:t>
            </w:r>
          </w:p>
        </w:tc>
        <w:tc>
          <w:tcPr>
            <w:tcW w:w="722" w:type="pct"/>
            <w:noWrap/>
            <w:hideMark/>
          </w:tcPr>
          <w:p w14:paraId="7D63FB7E" w14:textId="77777777" w:rsidR="00247FDF" w:rsidRPr="00EF4B22" w:rsidRDefault="00247FDF" w:rsidP="00247FD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0.849</w:t>
            </w:r>
          </w:p>
        </w:tc>
      </w:tr>
      <w:tr w:rsidR="00247FDF" w:rsidRPr="00EF4B22" w14:paraId="3647760B" w14:textId="77777777" w:rsidTr="00FF1067">
        <w:trPr>
          <w:trHeight w:val="300"/>
        </w:trPr>
        <w:tc>
          <w:tcPr>
            <w:cnfStyle w:val="001000000000" w:firstRow="0" w:lastRow="0" w:firstColumn="1" w:lastColumn="0" w:oddVBand="0" w:evenVBand="0" w:oddHBand="0" w:evenHBand="0" w:firstRowFirstColumn="0" w:firstRowLastColumn="0" w:lastRowFirstColumn="0" w:lastRowLastColumn="0"/>
            <w:tcW w:w="1104" w:type="pct"/>
            <w:noWrap/>
            <w:hideMark/>
          </w:tcPr>
          <w:p w14:paraId="3A5534A2" w14:textId="77777777" w:rsidR="00247FDF" w:rsidRPr="00EF4B22" w:rsidRDefault="00247FDF" w:rsidP="00247FDF">
            <w:pPr>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Putamen</w:t>
            </w:r>
          </w:p>
        </w:tc>
        <w:tc>
          <w:tcPr>
            <w:tcW w:w="774" w:type="pct"/>
            <w:noWrap/>
            <w:hideMark/>
          </w:tcPr>
          <w:p w14:paraId="71D10596" w14:textId="77777777" w:rsidR="00247FDF" w:rsidRPr="00EF4B22" w:rsidRDefault="00247FDF" w:rsidP="00247F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AN</w:t>
            </w:r>
          </w:p>
        </w:tc>
        <w:tc>
          <w:tcPr>
            <w:tcW w:w="956" w:type="pct"/>
            <w:noWrap/>
            <w:hideMark/>
          </w:tcPr>
          <w:p w14:paraId="7AD04A6B" w14:textId="77777777" w:rsidR="00247FDF" w:rsidRPr="00EF4B22" w:rsidRDefault="00247FDF" w:rsidP="00247F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rs62097986</w:t>
            </w:r>
          </w:p>
        </w:tc>
        <w:tc>
          <w:tcPr>
            <w:tcW w:w="722" w:type="pct"/>
            <w:noWrap/>
            <w:hideMark/>
          </w:tcPr>
          <w:p w14:paraId="23C3DFB0" w14:textId="77777777" w:rsidR="00247FDF" w:rsidRPr="00EF4B22" w:rsidRDefault="00247FDF" w:rsidP="00247FD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2.40E-04</w:t>
            </w:r>
          </w:p>
        </w:tc>
        <w:tc>
          <w:tcPr>
            <w:tcW w:w="722" w:type="pct"/>
            <w:noWrap/>
            <w:hideMark/>
          </w:tcPr>
          <w:p w14:paraId="2C691D4F" w14:textId="77777777" w:rsidR="00247FDF" w:rsidRPr="00EF4B22" w:rsidRDefault="00247FDF" w:rsidP="00247FD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9.78E-04</w:t>
            </w:r>
          </w:p>
        </w:tc>
        <w:tc>
          <w:tcPr>
            <w:tcW w:w="722" w:type="pct"/>
            <w:noWrap/>
            <w:hideMark/>
          </w:tcPr>
          <w:p w14:paraId="57962648" w14:textId="77777777" w:rsidR="00247FDF" w:rsidRPr="00EF4B22" w:rsidRDefault="00247FDF" w:rsidP="00247FD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0.806</w:t>
            </w:r>
          </w:p>
        </w:tc>
      </w:tr>
      <w:tr w:rsidR="00247FDF" w:rsidRPr="00EF4B22" w14:paraId="0FB5D9BF" w14:textId="77777777" w:rsidTr="00FF1067">
        <w:trPr>
          <w:trHeight w:val="300"/>
        </w:trPr>
        <w:tc>
          <w:tcPr>
            <w:cnfStyle w:val="001000000000" w:firstRow="0" w:lastRow="0" w:firstColumn="1" w:lastColumn="0" w:oddVBand="0" w:evenVBand="0" w:oddHBand="0" w:evenHBand="0" w:firstRowFirstColumn="0" w:firstRowLastColumn="0" w:lastRowFirstColumn="0" w:lastRowLastColumn="0"/>
            <w:tcW w:w="1104" w:type="pct"/>
            <w:noWrap/>
            <w:hideMark/>
          </w:tcPr>
          <w:p w14:paraId="6E884E53" w14:textId="77777777" w:rsidR="00247FDF" w:rsidRPr="00EF4B22" w:rsidRDefault="00247FDF" w:rsidP="00247FDF">
            <w:pPr>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Putamen</w:t>
            </w:r>
          </w:p>
        </w:tc>
        <w:tc>
          <w:tcPr>
            <w:tcW w:w="774" w:type="pct"/>
            <w:noWrap/>
            <w:hideMark/>
          </w:tcPr>
          <w:p w14:paraId="7E31A72E" w14:textId="77777777" w:rsidR="00247FDF" w:rsidRPr="00EF4B22" w:rsidRDefault="00247FDF" w:rsidP="00247F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AN</w:t>
            </w:r>
          </w:p>
        </w:tc>
        <w:tc>
          <w:tcPr>
            <w:tcW w:w="956" w:type="pct"/>
            <w:noWrap/>
            <w:hideMark/>
          </w:tcPr>
          <w:p w14:paraId="51E7989B" w14:textId="77777777" w:rsidR="00247FDF" w:rsidRPr="00EF4B22" w:rsidRDefault="00247FDF" w:rsidP="00247F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rs683250</w:t>
            </w:r>
          </w:p>
        </w:tc>
        <w:tc>
          <w:tcPr>
            <w:tcW w:w="722" w:type="pct"/>
            <w:noWrap/>
            <w:hideMark/>
          </w:tcPr>
          <w:p w14:paraId="3CD646C1" w14:textId="77777777" w:rsidR="00247FDF" w:rsidRPr="00EF4B22" w:rsidRDefault="00247FDF" w:rsidP="00247FD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-1.37E-03</w:t>
            </w:r>
          </w:p>
        </w:tc>
        <w:tc>
          <w:tcPr>
            <w:tcW w:w="722" w:type="pct"/>
            <w:noWrap/>
            <w:hideMark/>
          </w:tcPr>
          <w:p w14:paraId="036528CB" w14:textId="77777777" w:rsidR="00247FDF" w:rsidRPr="00EF4B22" w:rsidRDefault="00247FDF" w:rsidP="00247FD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1.09E-03</w:t>
            </w:r>
          </w:p>
        </w:tc>
        <w:tc>
          <w:tcPr>
            <w:tcW w:w="722" w:type="pct"/>
            <w:noWrap/>
            <w:hideMark/>
          </w:tcPr>
          <w:p w14:paraId="5ADA9C95" w14:textId="77777777" w:rsidR="00247FDF" w:rsidRPr="00EF4B22" w:rsidRDefault="00247FDF" w:rsidP="00247FD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0.209</w:t>
            </w:r>
          </w:p>
        </w:tc>
      </w:tr>
      <w:tr w:rsidR="00247FDF" w:rsidRPr="00EF4B22" w14:paraId="14EF8FFC" w14:textId="77777777" w:rsidTr="00FF1067">
        <w:trPr>
          <w:trHeight w:val="300"/>
        </w:trPr>
        <w:tc>
          <w:tcPr>
            <w:cnfStyle w:val="001000000000" w:firstRow="0" w:lastRow="0" w:firstColumn="1" w:lastColumn="0" w:oddVBand="0" w:evenVBand="0" w:oddHBand="0" w:evenHBand="0" w:firstRowFirstColumn="0" w:firstRowLastColumn="0" w:lastRowFirstColumn="0" w:lastRowLastColumn="0"/>
            <w:tcW w:w="1104" w:type="pct"/>
            <w:noWrap/>
            <w:hideMark/>
          </w:tcPr>
          <w:p w14:paraId="4E6F3127" w14:textId="77777777" w:rsidR="00247FDF" w:rsidRPr="00EF4B22" w:rsidRDefault="00247FDF" w:rsidP="00247FDF">
            <w:pPr>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ICV</w:t>
            </w:r>
          </w:p>
        </w:tc>
        <w:tc>
          <w:tcPr>
            <w:tcW w:w="774" w:type="pct"/>
            <w:noWrap/>
            <w:hideMark/>
          </w:tcPr>
          <w:p w14:paraId="1ABD8AEC" w14:textId="77777777" w:rsidR="00247FDF" w:rsidRPr="00EF4B22" w:rsidRDefault="00247FDF" w:rsidP="00247F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AN</w:t>
            </w:r>
          </w:p>
        </w:tc>
        <w:tc>
          <w:tcPr>
            <w:tcW w:w="956" w:type="pct"/>
            <w:noWrap/>
            <w:hideMark/>
          </w:tcPr>
          <w:p w14:paraId="74874CD5" w14:textId="77777777" w:rsidR="00247FDF" w:rsidRPr="00EF4B22" w:rsidRDefault="00247FDF" w:rsidP="00247F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rs17689882</w:t>
            </w:r>
          </w:p>
        </w:tc>
        <w:tc>
          <w:tcPr>
            <w:tcW w:w="722" w:type="pct"/>
            <w:noWrap/>
            <w:hideMark/>
          </w:tcPr>
          <w:p w14:paraId="059B8410" w14:textId="77777777" w:rsidR="00247FDF" w:rsidRPr="00EF4B22" w:rsidRDefault="00247FDF" w:rsidP="00247FD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-5.23E-07</w:t>
            </w:r>
          </w:p>
        </w:tc>
        <w:tc>
          <w:tcPr>
            <w:tcW w:w="722" w:type="pct"/>
            <w:noWrap/>
            <w:hideMark/>
          </w:tcPr>
          <w:p w14:paraId="3A2616E1" w14:textId="77777777" w:rsidR="00247FDF" w:rsidRPr="00EF4B22" w:rsidRDefault="00247FDF" w:rsidP="00247FD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2.66E-06</w:t>
            </w:r>
          </w:p>
        </w:tc>
        <w:tc>
          <w:tcPr>
            <w:tcW w:w="722" w:type="pct"/>
            <w:noWrap/>
            <w:hideMark/>
          </w:tcPr>
          <w:p w14:paraId="62489100" w14:textId="77777777" w:rsidR="00247FDF" w:rsidRPr="00EF4B22" w:rsidRDefault="00247FDF" w:rsidP="00247FD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eastAsia="en-GB"/>
              </w:rPr>
            </w:pPr>
            <w:r w:rsidRPr="00EF4B22">
              <w:rPr>
                <w:rFonts w:eastAsia="Times New Roman" w:cs="Times New Roman"/>
                <w:color w:val="000000"/>
                <w:sz w:val="24"/>
                <w:szCs w:val="24"/>
                <w:lang w:val="en-GB" w:eastAsia="en-GB"/>
              </w:rPr>
              <w:t>0.844</w:t>
            </w:r>
          </w:p>
        </w:tc>
      </w:tr>
    </w:tbl>
    <w:p w14:paraId="28C5E85E" w14:textId="77777777" w:rsidR="00247FDF" w:rsidRPr="00EF4B22" w:rsidRDefault="00247FDF" w:rsidP="00CB136D">
      <w:pPr>
        <w:spacing w:line="480" w:lineRule="auto"/>
        <w:rPr>
          <w:sz w:val="24"/>
          <w:szCs w:val="24"/>
        </w:rPr>
      </w:pPr>
    </w:p>
    <w:p w14:paraId="2F2B3AF3" w14:textId="7EC01F65" w:rsidR="00494D2F" w:rsidRPr="00EF4B22" w:rsidRDefault="002C0698" w:rsidP="00CB136D">
      <w:pPr>
        <w:spacing w:line="480" w:lineRule="auto"/>
        <w:rPr>
          <w:sz w:val="24"/>
          <w:szCs w:val="24"/>
        </w:rPr>
      </w:pPr>
      <w:r>
        <w:rPr>
          <w:sz w:val="24"/>
          <w:szCs w:val="24"/>
        </w:rPr>
        <w:t>Supplementary</w:t>
      </w:r>
      <w:r w:rsidR="00EF4B22">
        <w:rPr>
          <w:sz w:val="24"/>
          <w:szCs w:val="24"/>
        </w:rPr>
        <w:t xml:space="preserve"> Table </w:t>
      </w:r>
      <w:r>
        <w:rPr>
          <w:sz w:val="24"/>
          <w:szCs w:val="24"/>
        </w:rPr>
        <w:t>S</w:t>
      </w:r>
      <w:r w:rsidR="00EF4B22">
        <w:rPr>
          <w:sz w:val="24"/>
          <w:szCs w:val="24"/>
        </w:rPr>
        <w:t>5</w:t>
      </w:r>
      <w:r w:rsidR="00247FDF" w:rsidRPr="00EF4B22">
        <w:rPr>
          <w:sz w:val="24"/>
          <w:szCs w:val="24"/>
        </w:rPr>
        <w:t>. Mendelian randomization analysis to investigate a causal effect of brain volume on AN. Only brain volumes with genetic variants associated at a genome-wide level were investigated (caudate (1 SNP), hippocampus (2 SNPs), putamen (4 SNPs, of which 3 were available in the AN GWAS summary data), and ICV (1 SNP); as reported in Hibar et al.</w:t>
      </w:r>
      <w:r w:rsidR="00913BC2">
        <w:rPr>
          <w:sz w:val="24"/>
          <w:szCs w:val="24"/>
        </w:rPr>
        <w:t xml:space="preserve"> </w:t>
      </w:r>
      <w:r w:rsidR="00247FDF" w:rsidRPr="00EF4B22">
        <w:rPr>
          <w:sz w:val="24"/>
          <w:szCs w:val="24"/>
        </w:rPr>
        <w:fldChar w:fldCharType="begin"/>
      </w:r>
      <w:r w:rsidR="000B5937">
        <w:rPr>
          <w:sz w:val="24"/>
          <w:szCs w:val="24"/>
        </w:rPr>
        <w:instrText xml:space="preserve"> ADDIN ZOTERO_ITEM CSL_CITATION {"citationID":"1q1ilr93c7","properties":{"formattedCitation":"[1]","plainCitation":"[1]","noteIndex":0},"citationItems":[{"id":"XktMMXBT/cP1ujbma","uris":["http://zotero.org/users/local/mY0JhLU1/items/E2U4KHX2"],"uri":["http://zotero.org/users/local/mY0JhLU1/items/E2U4KHX2"],"itemData":{"id":"rRRasdxc/gBXCIgZJ","type":"article-journal","title":"Common genetic variants influence human subcortical brain structures","container-title":"Nature","page":"224-229","volume":"520","issue":"7546","source":"PubMed Central","abstract":"The highly complex structure of the human brain is strongly shaped by genetic influences. Subcortical brain regions form circuits with cortical areas to coordinate movement, learning, memory and motivation, and altered circuits can lead to abnormal behaviour and disease. To investigate how common genetic variants affect the structure of these brain regions, here we conduct genome-wide association studies of the volumes of seven subcortical regions and the intracranial volume derived from magnetic resonance images of 30,717 individuals from 50 cohorts. We identify five novel genetic variants influencing the volumes of the putamen and caudate nucleus. We also find stronger evidence for three loci with previously established influences on hippocampal volume and intracranial volume. These variants show specific volumetric effects on brain structures rather than global effects across structures. The strongest effects were found for the putamen, where a novel intergenic locus with replicable influence on volume (rs945270; P = 1.08 × 10−33; 0.52% variance explained) showed evidence of altering the expression of the KTN1 gene in both brain and blood tissue. Variants influencing putamen volume clustered near developmental genes that regulate apoptosis, axon guidance and vesicle transport. Identification of these genetic variants provides insight into the causes of variability inhuman brain development, and may help to determine mechanisms of neuropsychiatric dysfunction.","DOI":"10.1038/nature14101","ISSN":"0028-0836","note":"PMID: 25607358\nPMCID: PMC4393366","journalAbbreviation":"Nature","author":[{"family":"Hibar","given":"Derrek P."},{"family":"Stein","given":"Jason L."},{"family":"Renteria","given":"Miguel E."},{"family":"Arias-Vasquez","given":"Alejandro"},{"family":"Desrivières","given":"Sylvane"},{"family":"Jahanshad","given":"Neda"},{"family":"Toro","given":"Roberto"},{"family":"Wittfeld","given":"Katharina"},{"family":"Abramovic","given":"Lucija"},{"family":"Andersson","given":"Micael"},{"family":"Aribisala","given":"Benjamin S."},{"family":"Armstrong","given":"Nicola J."},{"family":"Bernard","given":"Manon"},{"family":"Bohlken","given":"Marc M."},{"family":"Boks","given":"Marco P."},{"family":"Bralten","given":"Janita"},{"family":"Brown","given":"Andrew A."},{"family":"Chakravarty","given":"M. Mallar"},{"family":"Chen","given":"Qiang"},{"family":"Ching","given":"Christopher R. K."},{"family":"Cuellar-Partida","given":"Gabriel"},{"family":"Braber","given":"Anouk","non-dropping-particle":"den"},{"family":"Giddaluru","given":"Sudheer"},{"family":"Goldman","given":"Aaron L."},{"family":"Grimm","given":"Oliver"},{"family":"Guadalupe","given":"Tulio"},{"family":"Hass","given":"Johanna"},{"family":"Woldehawariat","given":"Girma"},{"family":"Holmes","given":"Avram J."},{"family":"Hoogman","given":"Martine"},{"family":"Janowitz","given":"Deborah"},{"family":"Jia","given":"Tianye"},{"family":"Kim","given":"Sungeun"},{"family":"Klein","given":"Marieke"},{"family":"Kraemer","given":"Bernd"},{"family":"Lee","given":"Phil H."},{"family":"Olde Loohuis","given":"Loes M."},{"family":"Luciano","given":"Michelle"},{"family":"Macare","given":"Christine"},{"family":"Mather","given":"Karen A."},{"family":"Mattheisen","given":"Manuel"},{"family":"Milaneschi","given":"Yuri"},{"family":"Nho","given":"Kwangsik"},{"family":"Papmeyer","given":"Martina"},{"family":"Ramasamy","given":"Adaikalavan"},{"family":"Risacher","given":"Shannon L."},{"family":"Roiz-Santiañez","given":"Roberto"},{"family":"Rose","given":"Emma J."},{"family":"Salami","given":"Alireza"},{"family":"Sämann","given":"Philipp G."},{"family":"Schmaal","given":"Lianne"},{"family":"Schork","given":"Andrew J."},{"family":"Shin","given":"Jean"},{"family":"Strike","given":"Lachlan T."},{"family":"Teumer","given":"Alexander"},{"family":"Donkelaar","given":"Marjolein M. J.","non-dropping-particle":"van"},{"family":"Eijk","given":"Kristel R.","non-dropping-particle":"van"},{"family":"Walters","given":"Raymond K."},{"family":"Westlye","given":"Lars T."},{"family":"Whelan","given":"Christopher D."},{"family":"Winkler","given":"Anderson M."},{"family":"Zwiers","given":"Marcel P."},{"family":"Alhusaini","given":"Saud"},{"family":"Athanasiu","given":"Lavinia"},{"family":"Ehrlich","given":"Stefan"},{"family":"Hakobjan","given":"Marina M. H."},{"family":"Hartberg","given":"Cecilie B."},{"family":"Haukvik","given":"Unn K."},{"family":"Heister","given":"Angelien J. G. A. M."},{"family":"Hoehn","given":"David"},{"family":"Kasperaviciute","given":"Dalia"},{"family":"Liewald","given":"David C. M."},{"family":"Lopez","given":"Lorna M."},{"family":"Makkinje","given":"Remco R. R."},{"family":"Matarin","given":"Mar"},{"family":"Naber","given":"Marlies A. M."},{"family":"McKay","given":"D. Reese"},{"family":"Needham","given":"Margaret"},{"family":"Nugent","given":"Allison C."},{"family":"Pütz","given":"Benno"},{"family":"Royle","given":"Natalie A."},{"family":"Shen","given":"Li"},{"family":"Sprooten","given":"Emma"},{"family":"Trabzuni","given":"Daniah"},{"family":"Marel","given":"Saskia S. L.","non-dropping-particle":"van der"},{"family":"Hulzen","given":"Kimm J. E.","non-dropping-particle":"van"},{"family":"Walton","given":"Esther"},{"family":"Wolf","given":"Christiane"},{"family":"Almasy","given":"Laura"},{"family":"Ames","given":"David"},{"family":"Arepalli","given":"Sampath"},{"family":"Assareh","given":"Amelia A."},{"family":"Bastin","given":"Mark E."},{"family":"Brodaty","given":"Henry"},{"family":"Bulayeva","given":"Kazima B."},{"family":"Carless","given":"Melanie A."},{"family":"Cichon","given":"Sven"},{"family":"Corvin","given":"Aiden"},{"family":"Curran","given":"Joanne E."},{"family":"Czisch","given":"Michael"},{"family":"Zubicaray","given":"Greig I.","non-dropping-particle":"de"},{"family":"Dillman","given":"Allissa"},{"family":"Duggirala","given":"Ravi"},{"family":"Dyer","given":"Thomas D."},{"family":"Erk","given":"Susanne"},{"family":"Fedko","given":"Iryna O."},{"family":"Ferrucci","given":"Luigi"},{"family":"Foroud","given":"Tatiana M."},{"family":"Fox","given":"Peter T."},{"family":"Fukunaga","given":"Masaki"},{"family":"Gibbs","given":"J. Raphael"},{"family":"Göring","given":"Harald H. H."},{"family":"Green","given":"Robert C."},{"family":"Guelfi","given":"Sebastian"},{"family":"Hansell","given":"Narelle K."},{"family":"Hartman","given":"Catharina A."},{"family":"Hegenscheid","given":"Katrin"},{"family":"Heinz","given":"Andreas"},{"family":"Hernandez","given":"Dena G."},{"family":"Heslenfeld","given":"Dirk J."},{"family":"Hoekstra","given":"Pieter J."},{"family":"Holsboer","given":"Florian"},{"family":"Homuth","given":"Georg"},{"family":"Hottenga","given":"Jouke-Jan"},{"family":"Ikeda","given":"Masashi"},{"family":"Jack","given":"Clifford R."},{"family":"Jenkinson","given":"Mark"},{"family":"Johnson","given":"Robert"},{"family":"Kanai","given":"Ryota"},{"family":"Keil","given":"Maria"},{"family":"Kent","given":"Jack W."},{"family":"Kochunov","given":"Peter"},{"family":"Kwok","given":"John B."},{"family":"Lawrie","given":"Stephen M."},{"family":"Liu","given":"Xinmin"},{"family":"Longo","given":"Dan L."},{"family":"McMahon","given":"Katie L."},{"family":"Meisenzahl","given":"Eva"},{"family":"Melle","given":"Ingrid"},{"family":"Mohnke","given":"Sebastian"},{"family":"Montgomery","given":"Grant W."},{"family":"Mostert","given":"Jeanette C."},{"family":"Mühleisen","given":"Thomas W."},{"family":"Nalls","given":"Michael A."},{"family":"Nichols","given":"Thomas E."},{"family":"Nilsson","given":"Lars G."},{"family":"Nöthen","given":"Markus M."},{"family":"Ohi","given":"Kazutaka"},{"family":"Olvera","given":"Rene L."},{"family":"Perez-Iglesias","given":"Rocio"},{"family":"Pike","given":"G. Bruce"},{"family":"Potkin","given":"Steven G."},{"family":"Reinvang","given":"Ivar"},{"family":"Reppermund","given":"Simone"},{"family":"Rietschel","given":"Marcella"},{"family":"Romanczuk-Seiferth","given":"Nina"},{"family":"Rosen","given":"Glenn D."},{"family":"Rujescu","given":"Dan"},{"family":"Schnell","given":"Knut"},{"family":"Schofield","given":"Peter R."},{"family":"Smith","given":"Colin"},{"family":"Steen","given":"Vidar M."},{"family":"Sussmann","given":"Jessika E."},{"family":"Thalamuthu","given":"Anbupalam"},{"family":"Toga","given":"Arthur W."},{"family":"Traynor","given":"Bryan J."},{"family":"Troncoso","given":"Juan"},{"family":"Turner","given":"Jessica A."},{"family":"Valdés Hernández","given":"Maria C."},{"family":"Ent","given":"Dennis","non-dropping-particle":"van ’t"},{"family":"Brug","given":"Marcel","non-dropping-particle":"van der"},{"family":"Wee","given":"Nic J. A.","non-dropping-particle":"van der"},{"family":"Tol","given":"Marie-Jose","non-dropping-particle":"van"},{"family":"Veltman","given":"Dick J."},{"family":"Wassink","given":"Thomas H."},{"family":"Westman","given":"Eric"},{"family":"Zielke","given":"Ronald H."},{"family":"Zonderman","given":"Alan B."},{"family":"Ashbrook","given":"David G."},{"family":"Hager","given":"Reinmar"},{"family":"Lu","given":"Lu"},{"family":"McMahon","given":"Francis J."},{"family":"Morris","given":"Derek W."},{"family":"Williams","given":"Robert W."},{"family":"Brunner","given":"Han G."},{"family":"Buckner","given":"Randy L."},{"family":"Buitelaar","given":"Jan K."},{"family":"Cahn","given":"Wiepke"},{"family":"Calhoun","given":"Vince D."},{"family":"Cavalleri","given":"Gianpiero L."},{"family":"Crespo-Facorro","given":"Benedicto"},{"family":"Dale","given":"Anders M."},{"family":"Davies","given":"Gareth E."},{"family":"Delanty","given":"Norman"},{"family":"Depondt","given":"Chantal"},{"family":"Djurovic","given":"Srdjan"},{"family":"Drevets","given":"Wayne C."},{"family":"Espeseth","given":"Thomas"},{"family":"Gollub","given":"Randy L."},{"family":"Ho","given":"Beng-Choon"},{"family":"Hoffmann","given":"Wolfgang"},{"family":"Hosten","given":"Norbert"},{"family":"Kahn","given":"René S."},{"family":"Le Hellard","given":"Stephanie"},{"family":"Meyer-Lindenberg","given":"Andreas"},{"family":"Müller-Myhsok","given":"Bertram"},{"family":"Nauck","given":"Matthias"},{"family":"Nyberg","given":"Lars"},{"family":"Pandolfo","given":"Massimo"},{"family":"Penninx","given":"Brenda W. J. H."},{"family":"Roffman","given":"Joshua L."},{"family":"Sisodiya","given":"Sanjay M."},{"family":"Smoller","given":"Jordan W."},{"family":"Bokhoven","given":"Hans","non-dropping-particle":"van"},{"family":"Haren","given":"Neeltje E. M.","non-dropping-particle":"van"},{"family":"Völzke","given":"Henry"},{"family":"Walter","given":"Henrik"},{"family":"Weiner","given":"Michael W."},{"family":"Wen","given":"Wei"},{"family":"White","given":"Tonya"},{"family":"Agartz","given":"Ingrid"},{"family":"Andreassen","given":"Ole A."},{"family":"Blangero","given":"John"},{"family":"Boomsma","given":"Dorret I."},{"family":"Brouwer","given":"Rachel M."},{"family":"Cannon","given":"Dara M."},{"family":"Cookson","given":"Mark R."},{"family":"Geus","given":"Eco J. C.","non-dropping-particle":"de"},{"family":"Deary","given":"Ian J."},{"family":"Donohoe","given":"Gary"},{"family":"Fernández","given":"Guillén"},{"family":"Fisher","given":"Simon E."},{"family":"Francks","given":"Clyde"},{"family":"Glahn","given":"David C."},{"family":"Grabe","given":"Hans J."},{"family":"Gruber","given":"Oliver"},{"family":"Hardy","given":"John"},{"family":"Hashimoto","given":"Ryota"},{"family":"Hulshoff Pol","given":"Hilleke E."},{"family":"Jönsson","given":"Erik G."},{"family":"Kloszewska","given":"Iwona"},{"family":"Lovestone","given":"Simon"},{"family":"Mattay","given":"Venkata S."},{"family":"Mecocci","given":"Patrizia"},{"family":"McDonald","given":"Colm"},{"family":"McIntosh","given":"Andrew M."},{"family":"Ophoff","given":"Roel A."},{"family":"Paus","given":"Tomas"},{"family":"Pausova","given":"Zdenka"},{"family":"Ryten","given":"Mina"},{"family":"Sachdev","given":"Perminder S."},{"family":"Saykin","given":"Andrew J."},{"family":"Simmons","given":"Andy"},{"family":"Singleton","given":"Andrew"},{"family":"Soininen","given":"Hilkka"},{"family":"Wardlaw","given":"Joanna M."},{"family":"Weale","given":"Michael E."},{"family":"Weinberger","given":"Daniel R."},{"family":"Adams","given":"Hieab H. H."},{"family":"Launer","given":"Lenore J."},{"family":"Seiler","given":"Stephan"},{"family":"Schmidt","given":"Reinhold"},{"family":"Chauhan","given":"Ganesh"},{"family":"Satizabal","given":"Claudia L."},{"family":"Becker","given":"James T."},{"family":"Yanek","given":"Lisa"},{"family":"Lee","given":"Sven J.","non-dropping-particle":"van der"},{"family":"Ebling","given":"Maritza"},{"family":"Fischl","given":"Bruce"},{"family":"Longstreth","given":"W. T."},{"family":"Greve","given":"Douglas"},{"family":"Schmidt","given":"Helena"},{"family":"Nyquist","given":"Paul"},{"family":"Vinke","given":"Louis N."},{"family":"Duijn","given":"Cornelia M.","non-dropping-particle":"van"},{"family":"Xue","given":"Luting"},{"family":"Mazoyer","given":"Bernard"},{"family":"Bis","given":"Joshua C."},{"family":"Gudnason","given":"Vilmundur"},{"family":"Seshadri","given":"Sudha"},{"family":"Ikram","given":"M. Arfan"},{"family":"Martin","given":"Nicholas G."},{"family":"Wright","given":"Margaret J."},{"family":"Schumann","given":"Gunter"},{"family":"Franke","given":"Barbara"},{"family":"Thompson","given":"Paul M."},{"family":"Medland","given":"Sarah E."}],"issued":{"year":2015,"month":4,"day":9},"PMID":"25607358","PMCID":"PMC4393366","page-first":"224","container-title-short":"Nature"},"suppress-author":true}],"schema":"https://github.com/citation-style-language/schema/raw/master/csl-citation.json"} </w:instrText>
      </w:r>
      <w:r w:rsidR="00247FDF" w:rsidRPr="00EF4B22">
        <w:rPr>
          <w:sz w:val="24"/>
          <w:szCs w:val="24"/>
        </w:rPr>
        <w:fldChar w:fldCharType="separate"/>
      </w:r>
      <w:r w:rsidR="000B5937" w:rsidRPr="000B5937">
        <w:rPr>
          <w:rFonts w:ascii="Calibri" w:hAnsi="Calibri"/>
          <w:sz w:val="24"/>
        </w:rPr>
        <w:t>[1]</w:t>
      </w:r>
      <w:r w:rsidR="00247FDF" w:rsidRPr="00EF4B22">
        <w:rPr>
          <w:sz w:val="24"/>
          <w:szCs w:val="24"/>
        </w:rPr>
        <w:fldChar w:fldCharType="end"/>
      </w:r>
      <w:r w:rsidR="00247FDF" w:rsidRPr="00EF4B22">
        <w:rPr>
          <w:sz w:val="24"/>
          <w:szCs w:val="24"/>
        </w:rPr>
        <w:t>).</w:t>
      </w:r>
    </w:p>
    <w:p w14:paraId="7C05BFA5" w14:textId="03961C66" w:rsidR="00FF1067" w:rsidRPr="00EF4B22" w:rsidRDefault="00FF1067" w:rsidP="00CB136D">
      <w:pPr>
        <w:spacing w:line="480" w:lineRule="auto"/>
        <w:rPr>
          <w:sz w:val="24"/>
          <w:szCs w:val="24"/>
        </w:rPr>
      </w:pPr>
    </w:p>
    <w:p w14:paraId="30CC277C" w14:textId="1F10E729" w:rsidR="00FF1067" w:rsidRPr="00EF4B22" w:rsidRDefault="00FF1067" w:rsidP="000B5937">
      <w:pPr>
        <w:spacing w:line="480" w:lineRule="auto"/>
        <w:rPr>
          <w:sz w:val="24"/>
          <w:szCs w:val="24"/>
        </w:rPr>
      </w:pPr>
      <w:r w:rsidRPr="00EF4B22">
        <w:rPr>
          <w:sz w:val="24"/>
          <w:szCs w:val="24"/>
        </w:rPr>
        <w:t>References</w:t>
      </w:r>
    </w:p>
    <w:p w14:paraId="08AD7189" w14:textId="77777777" w:rsidR="000B5937" w:rsidRPr="000B5937" w:rsidRDefault="00516350" w:rsidP="000B5937">
      <w:pPr>
        <w:pStyle w:val="Bibliography"/>
        <w:spacing w:line="480" w:lineRule="auto"/>
        <w:rPr>
          <w:rFonts w:ascii="Calibri" w:hAnsi="Calibri"/>
          <w:sz w:val="24"/>
        </w:rPr>
      </w:pPr>
      <w:r w:rsidRPr="00EF4B22">
        <w:fldChar w:fldCharType="begin"/>
      </w:r>
      <w:r w:rsidR="000B5937">
        <w:instrText xml:space="preserve"> ADDIN ZOTERO_BIBL {"uncited":[],"omitted":[],"custom":[]} CSL_BIBLIOGRAPHY </w:instrText>
      </w:r>
      <w:r w:rsidRPr="00EF4B22">
        <w:fldChar w:fldCharType="separate"/>
      </w:r>
      <w:r w:rsidR="000B5937" w:rsidRPr="000B5937">
        <w:rPr>
          <w:rFonts w:ascii="Calibri" w:hAnsi="Calibri"/>
          <w:sz w:val="24"/>
        </w:rPr>
        <w:t xml:space="preserve">1. </w:t>
      </w:r>
      <w:r w:rsidR="000B5937" w:rsidRPr="000B5937">
        <w:rPr>
          <w:rFonts w:ascii="Calibri" w:hAnsi="Calibri"/>
          <w:sz w:val="24"/>
        </w:rPr>
        <w:tab/>
        <w:t>Hibar DP, Stein JL, Renteria ME, et al (2015) Common genetic variants influence human subcortical brain structures. Nature 520:224–229 . doi: 10.1038/nature14101</w:t>
      </w:r>
    </w:p>
    <w:p w14:paraId="00E93C43" w14:textId="77777777" w:rsidR="000B5937" w:rsidRPr="000B5937" w:rsidRDefault="000B5937" w:rsidP="000B5937">
      <w:pPr>
        <w:pStyle w:val="Bibliography"/>
        <w:spacing w:line="480" w:lineRule="auto"/>
        <w:rPr>
          <w:rFonts w:ascii="Calibri" w:hAnsi="Calibri"/>
          <w:sz w:val="24"/>
        </w:rPr>
      </w:pPr>
      <w:r w:rsidRPr="000B5937">
        <w:rPr>
          <w:rFonts w:ascii="Calibri" w:hAnsi="Calibri"/>
          <w:sz w:val="24"/>
        </w:rPr>
        <w:t xml:space="preserve">2. </w:t>
      </w:r>
      <w:r w:rsidRPr="000B5937">
        <w:rPr>
          <w:rFonts w:ascii="Calibri" w:hAnsi="Calibri"/>
          <w:sz w:val="24"/>
        </w:rPr>
        <w:tab/>
        <w:t>Patenaude B, Smith SM, Kennedy DN, Jenkinson M (2011) A Bayesian model of shape and appearance for subcortical brain segmentation. NeuroImage 56:907–922 . doi: 10.1016/j.neuroimage.2011.02.046</w:t>
      </w:r>
    </w:p>
    <w:p w14:paraId="0EB97F41" w14:textId="77777777" w:rsidR="000B5937" w:rsidRPr="000B5937" w:rsidRDefault="000B5937" w:rsidP="000B5937">
      <w:pPr>
        <w:pStyle w:val="Bibliography"/>
        <w:spacing w:line="480" w:lineRule="auto"/>
        <w:rPr>
          <w:rFonts w:ascii="Calibri" w:hAnsi="Calibri"/>
          <w:sz w:val="24"/>
        </w:rPr>
      </w:pPr>
      <w:r w:rsidRPr="000B5937">
        <w:rPr>
          <w:rFonts w:ascii="Calibri" w:hAnsi="Calibri"/>
          <w:sz w:val="24"/>
        </w:rPr>
        <w:t xml:space="preserve">3. </w:t>
      </w:r>
      <w:r w:rsidRPr="000B5937">
        <w:rPr>
          <w:rFonts w:ascii="Calibri" w:hAnsi="Calibri"/>
          <w:sz w:val="24"/>
        </w:rPr>
        <w:tab/>
        <w:t>Fischl B, Salat DH, Busa E, et al (2002) Whole Brain Segmentation: Automated Labeling of Neuroanatomical Structures in the Human Brain. Neuron 33:341–355 . doi: 10.1016/S0896-6273(02)00569-X</w:t>
      </w:r>
    </w:p>
    <w:p w14:paraId="7D539AD5" w14:textId="77777777" w:rsidR="000B5937" w:rsidRPr="000B5937" w:rsidRDefault="000B5937" w:rsidP="000B5937">
      <w:pPr>
        <w:pStyle w:val="Bibliography"/>
        <w:spacing w:line="480" w:lineRule="auto"/>
        <w:rPr>
          <w:rFonts w:ascii="Calibri" w:hAnsi="Calibri"/>
          <w:sz w:val="24"/>
        </w:rPr>
      </w:pPr>
      <w:r w:rsidRPr="000B5937">
        <w:rPr>
          <w:rFonts w:ascii="Calibri" w:hAnsi="Calibri"/>
          <w:sz w:val="24"/>
        </w:rPr>
        <w:lastRenderedPageBreak/>
        <w:t xml:space="preserve">4. </w:t>
      </w:r>
      <w:r w:rsidRPr="000B5937">
        <w:rPr>
          <w:rFonts w:ascii="Calibri" w:hAnsi="Calibri"/>
          <w:sz w:val="24"/>
        </w:rPr>
        <w:tab/>
        <w:t>Li Y, Willer CJ, Ding J, et al (2010) MaCH: Using Sequence and Genotype Data to Estimate Haplotypes and Unobserved Genotypes. Genet Epidemiol 34:816–834 . doi: 10.1002/gepi.20533</w:t>
      </w:r>
    </w:p>
    <w:p w14:paraId="0B67C7E5" w14:textId="77777777" w:rsidR="000B5937" w:rsidRPr="000B5937" w:rsidRDefault="000B5937" w:rsidP="000B5937">
      <w:pPr>
        <w:pStyle w:val="Bibliography"/>
        <w:spacing w:line="480" w:lineRule="auto"/>
        <w:rPr>
          <w:rFonts w:ascii="Calibri" w:hAnsi="Calibri"/>
          <w:sz w:val="24"/>
        </w:rPr>
      </w:pPr>
      <w:r w:rsidRPr="000B5937">
        <w:rPr>
          <w:rFonts w:ascii="Calibri" w:hAnsi="Calibri"/>
          <w:sz w:val="24"/>
        </w:rPr>
        <w:t xml:space="preserve">5. </w:t>
      </w:r>
      <w:r w:rsidRPr="000B5937">
        <w:rPr>
          <w:rFonts w:ascii="Calibri" w:hAnsi="Calibri"/>
          <w:sz w:val="24"/>
        </w:rPr>
        <w:tab/>
        <w:t>Howie B, Fuchsberger C, Stephens M, et al (2012) Fast and accurate genotype imputation in genome-wide association studies through pre-phasing. Nat Genet 44:955–959 . doi: 10.1038/ng.2354</w:t>
      </w:r>
    </w:p>
    <w:p w14:paraId="276C4448" w14:textId="77777777" w:rsidR="000B5937" w:rsidRPr="000B5937" w:rsidRDefault="000B5937" w:rsidP="000B5937">
      <w:pPr>
        <w:pStyle w:val="Bibliography"/>
        <w:spacing w:line="480" w:lineRule="auto"/>
        <w:rPr>
          <w:rFonts w:ascii="Calibri" w:hAnsi="Calibri"/>
          <w:sz w:val="24"/>
        </w:rPr>
      </w:pPr>
      <w:r w:rsidRPr="000B5937">
        <w:rPr>
          <w:rFonts w:ascii="Calibri" w:hAnsi="Calibri"/>
          <w:sz w:val="24"/>
        </w:rPr>
        <w:t xml:space="preserve">6. </w:t>
      </w:r>
      <w:r w:rsidRPr="000B5937">
        <w:rPr>
          <w:rFonts w:ascii="Calibri" w:hAnsi="Calibri"/>
          <w:sz w:val="24"/>
        </w:rPr>
        <w:tab/>
        <w:t>Willer CJ, Li Y, Abecasis GR (2010) METAL: fast and efficient meta-analysis of genomewide association scans. Bioinformatics 26:2190–2191 . doi: 10.1093/bioinformatics/btq340</w:t>
      </w:r>
    </w:p>
    <w:p w14:paraId="7F843872" w14:textId="77777777" w:rsidR="000B5937" w:rsidRPr="000B5937" w:rsidRDefault="000B5937" w:rsidP="000B5937">
      <w:pPr>
        <w:pStyle w:val="Bibliography"/>
        <w:spacing w:line="480" w:lineRule="auto"/>
        <w:rPr>
          <w:rFonts w:ascii="Calibri" w:hAnsi="Calibri"/>
          <w:sz w:val="24"/>
        </w:rPr>
      </w:pPr>
      <w:r w:rsidRPr="000B5937">
        <w:rPr>
          <w:rFonts w:ascii="Calibri" w:hAnsi="Calibri"/>
          <w:sz w:val="24"/>
        </w:rPr>
        <w:t xml:space="preserve">7. </w:t>
      </w:r>
      <w:r w:rsidRPr="000B5937">
        <w:rPr>
          <w:rFonts w:ascii="Calibri" w:hAnsi="Calibri"/>
          <w:sz w:val="24"/>
        </w:rPr>
        <w:tab/>
        <w:t>American Psychiatric Association (1995) Diagnostic and statistical manual of mental disorders / DSM-IV, 4. ed., 4. pr. American Psychiatric Association</w:t>
      </w:r>
    </w:p>
    <w:p w14:paraId="0E7679C2" w14:textId="77777777" w:rsidR="000B5937" w:rsidRPr="000B5937" w:rsidRDefault="000B5937" w:rsidP="000B5937">
      <w:pPr>
        <w:pStyle w:val="Bibliography"/>
        <w:spacing w:line="480" w:lineRule="auto"/>
        <w:rPr>
          <w:rFonts w:ascii="Calibri" w:hAnsi="Calibri"/>
          <w:sz w:val="24"/>
        </w:rPr>
      </w:pPr>
      <w:r w:rsidRPr="000B5937">
        <w:rPr>
          <w:rFonts w:ascii="Calibri" w:hAnsi="Calibri"/>
          <w:sz w:val="24"/>
        </w:rPr>
        <w:t xml:space="preserve">8. </w:t>
      </w:r>
      <w:r w:rsidRPr="000B5937">
        <w:rPr>
          <w:rFonts w:ascii="Calibri" w:hAnsi="Calibri"/>
          <w:sz w:val="24"/>
        </w:rPr>
        <w:tab/>
        <w:t>Boraska V, Franklin CS, Floyd J a. B, et al (2014) A genome-wide association study of anorexia nervosa. Mol Psychiatry 19:1085–1094 . doi: 10.1038/mp.2013.187</w:t>
      </w:r>
    </w:p>
    <w:p w14:paraId="7229C331" w14:textId="77777777" w:rsidR="000B5937" w:rsidRPr="000B5937" w:rsidRDefault="000B5937" w:rsidP="000B5937">
      <w:pPr>
        <w:pStyle w:val="Bibliography"/>
        <w:spacing w:line="480" w:lineRule="auto"/>
        <w:rPr>
          <w:rFonts w:ascii="Calibri" w:hAnsi="Calibri"/>
          <w:sz w:val="24"/>
        </w:rPr>
      </w:pPr>
      <w:r w:rsidRPr="000B5937">
        <w:rPr>
          <w:rFonts w:ascii="Calibri" w:hAnsi="Calibri"/>
          <w:sz w:val="24"/>
        </w:rPr>
        <w:t xml:space="preserve">9. </w:t>
      </w:r>
      <w:r w:rsidRPr="000B5937">
        <w:rPr>
          <w:rFonts w:ascii="Calibri" w:hAnsi="Calibri"/>
          <w:sz w:val="24"/>
        </w:rPr>
        <w:tab/>
        <w:t>Wang K, Zhang H, Bloss CS, et al (2011) A genome-wide association study on common SNPs and rare CNVs in anorexia nervosa. Mol Psychiatry 16:949–959 . doi: 10.1038/mp.2010.107</w:t>
      </w:r>
    </w:p>
    <w:p w14:paraId="47322616" w14:textId="77777777" w:rsidR="000B5937" w:rsidRPr="000B5937" w:rsidRDefault="000B5937" w:rsidP="000B5937">
      <w:pPr>
        <w:pStyle w:val="Bibliography"/>
        <w:spacing w:line="480" w:lineRule="auto"/>
        <w:rPr>
          <w:rFonts w:ascii="Calibri" w:hAnsi="Calibri"/>
          <w:sz w:val="24"/>
        </w:rPr>
      </w:pPr>
      <w:r w:rsidRPr="000B5937">
        <w:rPr>
          <w:rFonts w:ascii="Calibri" w:hAnsi="Calibri"/>
          <w:sz w:val="24"/>
        </w:rPr>
        <w:t xml:space="preserve">10. </w:t>
      </w:r>
      <w:r w:rsidRPr="000B5937">
        <w:rPr>
          <w:rFonts w:ascii="Calibri" w:hAnsi="Calibri"/>
          <w:sz w:val="24"/>
        </w:rPr>
        <w:tab/>
        <w:t>Duncan L, Yilmaz Z, Walters R, et al (2016) Genome-Wide Association Study Reveals First Locus for Anorexia Nervosa and Metabolic Correlations. bioRxiv 088815 . doi: 10.1101/088815</w:t>
      </w:r>
    </w:p>
    <w:p w14:paraId="69EBFA6C" w14:textId="77777777" w:rsidR="000B5937" w:rsidRPr="000B5937" w:rsidRDefault="000B5937" w:rsidP="000B5937">
      <w:pPr>
        <w:pStyle w:val="Bibliography"/>
        <w:spacing w:line="480" w:lineRule="auto"/>
        <w:rPr>
          <w:rFonts w:ascii="Calibri" w:hAnsi="Calibri"/>
          <w:sz w:val="24"/>
        </w:rPr>
      </w:pPr>
      <w:r w:rsidRPr="000B5937">
        <w:rPr>
          <w:rFonts w:ascii="Calibri" w:hAnsi="Calibri"/>
          <w:sz w:val="24"/>
        </w:rPr>
        <w:lastRenderedPageBreak/>
        <w:t xml:space="preserve">11. </w:t>
      </w:r>
      <w:r w:rsidRPr="000B5937">
        <w:rPr>
          <w:rFonts w:ascii="Calibri" w:hAnsi="Calibri"/>
          <w:sz w:val="24"/>
        </w:rPr>
        <w:tab/>
        <w:t>Purcell S, Neale B, Todd-Brown K, et al (2007) PLINK: A Tool Set for Whole-Genome Association and Population-Based Linkage Analyses. Am J Hum Genet 81:559–575</w:t>
      </w:r>
    </w:p>
    <w:p w14:paraId="1CF2F8AC" w14:textId="77777777" w:rsidR="000B5937" w:rsidRPr="000B5937" w:rsidRDefault="000B5937" w:rsidP="000B5937">
      <w:pPr>
        <w:pStyle w:val="Bibliography"/>
        <w:spacing w:line="480" w:lineRule="auto"/>
        <w:rPr>
          <w:rFonts w:ascii="Calibri" w:hAnsi="Calibri"/>
          <w:sz w:val="24"/>
        </w:rPr>
      </w:pPr>
      <w:r w:rsidRPr="000B5937">
        <w:rPr>
          <w:rFonts w:ascii="Calibri" w:hAnsi="Calibri"/>
          <w:sz w:val="24"/>
        </w:rPr>
        <w:t xml:space="preserve">12. </w:t>
      </w:r>
      <w:r w:rsidRPr="000B5937">
        <w:rPr>
          <w:rFonts w:ascii="Calibri" w:hAnsi="Calibri"/>
          <w:sz w:val="24"/>
        </w:rPr>
        <w:tab/>
        <w:t>Galinsky KJ, Bhatia G, Loh P-R, et al (2016) Fast Principal-Component Analysis Reveals Convergent Evolution of ADH1B in Europe and East Asia. Am J Hum Genet 98:456–472 . doi: 10.1016/j.ajhg.2015.12.022</w:t>
      </w:r>
    </w:p>
    <w:p w14:paraId="303AA67E" w14:textId="77777777" w:rsidR="000B5937" w:rsidRPr="000B5937" w:rsidRDefault="000B5937" w:rsidP="000B5937">
      <w:pPr>
        <w:pStyle w:val="Bibliography"/>
        <w:spacing w:line="480" w:lineRule="auto"/>
        <w:rPr>
          <w:rFonts w:ascii="Calibri" w:hAnsi="Calibri"/>
          <w:sz w:val="24"/>
        </w:rPr>
      </w:pPr>
      <w:r w:rsidRPr="000B5937">
        <w:rPr>
          <w:rFonts w:ascii="Calibri" w:hAnsi="Calibri"/>
          <w:sz w:val="24"/>
        </w:rPr>
        <w:t xml:space="preserve">13. </w:t>
      </w:r>
      <w:r w:rsidRPr="000B5937">
        <w:rPr>
          <w:rFonts w:ascii="Calibri" w:hAnsi="Calibri"/>
          <w:sz w:val="24"/>
        </w:rPr>
        <w:tab/>
        <w:t>Schizophrenia Working Group of the Psychiatric Genomics Consortium (2014) Biological insights from 108 schizophrenia-associated genetic loci. Nature 511:421–427 . doi: 10.1038/nature13595</w:t>
      </w:r>
    </w:p>
    <w:p w14:paraId="5511F89A" w14:textId="77777777" w:rsidR="000B5937" w:rsidRPr="000B5937" w:rsidRDefault="000B5937" w:rsidP="000B5937">
      <w:pPr>
        <w:pStyle w:val="Bibliography"/>
        <w:spacing w:line="480" w:lineRule="auto"/>
        <w:rPr>
          <w:rFonts w:ascii="Calibri" w:hAnsi="Calibri"/>
          <w:sz w:val="24"/>
        </w:rPr>
      </w:pPr>
      <w:r w:rsidRPr="000B5937">
        <w:rPr>
          <w:rFonts w:ascii="Calibri" w:hAnsi="Calibri"/>
          <w:sz w:val="24"/>
        </w:rPr>
        <w:t xml:space="preserve">14. </w:t>
      </w:r>
      <w:r w:rsidRPr="000B5937">
        <w:rPr>
          <w:rFonts w:ascii="Calibri" w:hAnsi="Calibri"/>
          <w:sz w:val="24"/>
        </w:rPr>
        <w:tab/>
        <w:t>1000 Genomes Project Consortium, Abecasis GR, Altshuler D, et al (2010) A map of human genome variation from population-scale sequencing. Nature 467:1061–1073 . doi: 10.1038/nature09534</w:t>
      </w:r>
    </w:p>
    <w:p w14:paraId="2D7B1B11" w14:textId="77777777" w:rsidR="000B5937" w:rsidRPr="000B5937" w:rsidRDefault="000B5937" w:rsidP="000B5937">
      <w:pPr>
        <w:pStyle w:val="Bibliography"/>
        <w:spacing w:line="480" w:lineRule="auto"/>
        <w:rPr>
          <w:rFonts w:ascii="Calibri" w:hAnsi="Calibri"/>
          <w:sz w:val="24"/>
        </w:rPr>
      </w:pPr>
      <w:r w:rsidRPr="000B5937">
        <w:rPr>
          <w:rFonts w:ascii="Calibri" w:hAnsi="Calibri"/>
          <w:sz w:val="24"/>
        </w:rPr>
        <w:t xml:space="preserve">15. </w:t>
      </w:r>
      <w:r w:rsidRPr="000B5937">
        <w:rPr>
          <w:rFonts w:ascii="Calibri" w:hAnsi="Calibri"/>
          <w:sz w:val="24"/>
        </w:rPr>
        <w:tab/>
        <w:t>Delaneau O, Marchini J, Zagury J-F (2012) A linear complexity phasing method for thousands of genomes. Nat Methods 9:179–181 . doi: 10.1038/nmeth.1785</w:t>
      </w:r>
    </w:p>
    <w:p w14:paraId="6680D547" w14:textId="5A165FD5" w:rsidR="00516350" w:rsidRPr="00EF4B22" w:rsidRDefault="000B5937" w:rsidP="00E70D39">
      <w:pPr>
        <w:pStyle w:val="Bibliography"/>
        <w:spacing w:line="480" w:lineRule="auto"/>
        <w:rPr>
          <w:sz w:val="24"/>
          <w:szCs w:val="24"/>
        </w:rPr>
      </w:pPr>
      <w:r w:rsidRPr="000B5937">
        <w:rPr>
          <w:rFonts w:ascii="Calibri" w:hAnsi="Calibri"/>
          <w:sz w:val="24"/>
        </w:rPr>
        <w:t xml:space="preserve">16. </w:t>
      </w:r>
      <w:r w:rsidRPr="000B5937">
        <w:rPr>
          <w:rFonts w:ascii="Calibri" w:hAnsi="Calibri"/>
          <w:sz w:val="24"/>
        </w:rPr>
        <w:tab/>
        <w:t>Howie BN, Donnelly P, Marchini J (2009) A flexible and accurate genotype imputation method for the next generation of genome-wide association studies. PLoS Genet 5:e1000529 . doi: 10.1371/journal.pgen.1000529</w:t>
      </w:r>
      <w:r w:rsidR="00516350" w:rsidRPr="00EF4B22">
        <w:rPr>
          <w:sz w:val="24"/>
          <w:szCs w:val="24"/>
        </w:rPr>
        <w:fldChar w:fldCharType="end"/>
      </w:r>
    </w:p>
    <w:sectPr w:rsidR="00516350" w:rsidRPr="00EF4B22" w:rsidSect="00B622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B0FFF" w14:textId="77777777" w:rsidR="00C77A06" w:rsidRDefault="00C77A06" w:rsidP="00336979">
      <w:pPr>
        <w:spacing w:after="0" w:line="240" w:lineRule="auto"/>
      </w:pPr>
      <w:r>
        <w:separator/>
      </w:r>
    </w:p>
  </w:endnote>
  <w:endnote w:type="continuationSeparator" w:id="0">
    <w:p w14:paraId="53FDE6E7" w14:textId="77777777" w:rsidR="00C77A06" w:rsidRDefault="00C77A06" w:rsidP="00336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6E9D36" w14:textId="77777777" w:rsidR="00C77A06" w:rsidRDefault="00C77A06" w:rsidP="00336979">
      <w:pPr>
        <w:spacing w:after="0" w:line="240" w:lineRule="auto"/>
      </w:pPr>
      <w:r>
        <w:separator/>
      </w:r>
    </w:p>
  </w:footnote>
  <w:footnote w:type="continuationSeparator" w:id="0">
    <w:p w14:paraId="7328CFDE" w14:textId="77777777" w:rsidR="00C77A06" w:rsidRDefault="00C77A06" w:rsidP="003369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217E3" w14:textId="390BEAAE" w:rsidR="00851830" w:rsidRDefault="00851830">
    <w:pPr>
      <w:pStyle w:val="Header"/>
    </w:pPr>
    <w:r>
      <w:t>Walton et al.</w:t>
    </w:r>
  </w:p>
  <w:p w14:paraId="42964A15" w14:textId="77777777" w:rsidR="00851830" w:rsidRDefault="008518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17D"/>
    <w:rsid w:val="00065367"/>
    <w:rsid w:val="000B5937"/>
    <w:rsid w:val="000C478F"/>
    <w:rsid w:val="000D5024"/>
    <w:rsid w:val="000E5196"/>
    <w:rsid w:val="001A33A1"/>
    <w:rsid w:val="001B1F06"/>
    <w:rsid w:val="001B284B"/>
    <w:rsid w:val="00200093"/>
    <w:rsid w:val="00201871"/>
    <w:rsid w:val="00247FDF"/>
    <w:rsid w:val="00255C64"/>
    <w:rsid w:val="002577BD"/>
    <w:rsid w:val="00272A25"/>
    <w:rsid w:val="00275EA9"/>
    <w:rsid w:val="00285A10"/>
    <w:rsid w:val="002C0698"/>
    <w:rsid w:val="002F1475"/>
    <w:rsid w:val="00301721"/>
    <w:rsid w:val="00336979"/>
    <w:rsid w:val="00394FC9"/>
    <w:rsid w:val="003A1DDB"/>
    <w:rsid w:val="003B270E"/>
    <w:rsid w:val="003F53EE"/>
    <w:rsid w:val="00413346"/>
    <w:rsid w:val="004300F1"/>
    <w:rsid w:val="0046050F"/>
    <w:rsid w:val="00460D2D"/>
    <w:rsid w:val="00494D2F"/>
    <w:rsid w:val="004B1005"/>
    <w:rsid w:val="004B3928"/>
    <w:rsid w:val="004C10B3"/>
    <w:rsid w:val="004C6E8D"/>
    <w:rsid w:val="004D71EC"/>
    <w:rsid w:val="004D7DCC"/>
    <w:rsid w:val="004E6E0C"/>
    <w:rsid w:val="004F44CE"/>
    <w:rsid w:val="00513881"/>
    <w:rsid w:val="00516350"/>
    <w:rsid w:val="005C3F4B"/>
    <w:rsid w:val="005C675F"/>
    <w:rsid w:val="005E6D78"/>
    <w:rsid w:val="005F0A97"/>
    <w:rsid w:val="00653F51"/>
    <w:rsid w:val="006C1DE9"/>
    <w:rsid w:val="006E6F63"/>
    <w:rsid w:val="006F0F7D"/>
    <w:rsid w:val="00794D86"/>
    <w:rsid w:val="007E12E4"/>
    <w:rsid w:val="0082317D"/>
    <w:rsid w:val="0084631A"/>
    <w:rsid w:val="00851830"/>
    <w:rsid w:val="00854A8E"/>
    <w:rsid w:val="008737D8"/>
    <w:rsid w:val="00897E54"/>
    <w:rsid w:val="008A4ECF"/>
    <w:rsid w:val="00913BC2"/>
    <w:rsid w:val="009231AB"/>
    <w:rsid w:val="00951770"/>
    <w:rsid w:val="00951C15"/>
    <w:rsid w:val="009546EC"/>
    <w:rsid w:val="009713CB"/>
    <w:rsid w:val="00976417"/>
    <w:rsid w:val="00A10199"/>
    <w:rsid w:val="00A64100"/>
    <w:rsid w:val="00AA74E1"/>
    <w:rsid w:val="00AF3C23"/>
    <w:rsid w:val="00B5207F"/>
    <w:rsid w:val="00B62227"/>
    <w:rsid w:val="00BA792C"/>
    <w:rsid w:val="00BB4B52"/>
    <w:rsid w:val="00BD26FD"/>
    <w:rsid w:val="00BF2303"/>
    <w:rsid w:val="00C008DC"/>
    <w:rsid w:val="00C15CFE"/>
    <w:rsid w:val="00C34CD3"/>
    <w:rsid w:val="00C619E3"/>
    <w:rsid w:val="00C77A06"/>
    <w:rsid w:val="00CB136D"/>
    <w:rsid w:val="00CB167A"/>
    <w:rsid w:val="00CC637E"/>
    <w:rsid w:val="00CF42C4"/>
    <w:rsid w:val="00D10A35"/>
    <w:rsid w:val="00D62CB0"/>
    <w:rsid w:val="00D77A2B"/>
    <w:rsid w:val="00D90719"/>
    <w:rsid w:val="00DA782B"/>
    <w:rsid w:val="00DB3428"/>
    <w:rsid w:val="00DD5E88"/>
    <w:rsid w:val="00DE50F8"/>
    <w:rsid w:val="00E420A7"/>
    <w:rsid w:val="00E543F4"/>
    <w:rsid w:val="00E70D39"/>
    <w:rsid w:val="00EE13FC"/>
    <w:rsid w:val="00EF3C0F"/>
    <w:rsid w:val="00EF3FB1"/>
    <w:rsid w:val="00EF4B22"/>
    <w:rsid w:val="00F12BD0"/>
    <w:rsid w:val="00F47017"/>
    <w:rsid w:val="00FA587F"/>
    <w:rsid w:val="00FB3F83"/>
    <w:rsid w:val="00FE7002"/>
    <w:rsid w:val="00FF1067"/>
    <w:rsid w:val="00FF3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E980D"/>
  <w15:docId w15:val="{DA84F4B0-DFDB-458B-9904-9B5E6DB26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9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6979"/>
  </w:style>
  <w:style w:type="paragraph" w:styleId="Footer">
    <w:name w:val="footer"/>
    <w:basedOn w:val="Normal"/>
    <w:link w:val="FooterChar"/>
    <w:uiPriority w:val="99"/>
    <w:unhideWhenUsed/>
    <w:rsid w:val="003369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6979"/>
  </w:style>
  <w:style w:type="paragraph" w:styleId="BalloonText">
    <w:name w:val="Balloon Text"/>
    <w:basedOn w:val="Normal"/>
    <w:link w:val="BalloonTextChar"/>
    <w:uiPriority w:val="99"/>
    <w:semiHidden/>
    <w:unhideWhenUsed/>
    <w:rsid w:val="003369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979"/>
    <w:rPr>
      <w:rFonts w:ascii="Tahoma" w:hAnsi="Tahoma" w:cs="Tahoma"/>
      <w:sz w:val="16"/>
      <w:szCs w:val="16"/>
    </w:rPr>
  </w:style>
  <w:style w:type="character" w:styleId="CommentReference">
    <w:name w:val="annotation reference"/>
    <w:basedOn w:val="DefaultParagraphFont"/>
    <w:unhideWhenUsed/>
    <w:rsid w:val="00A64100"/>
    <w:rPr>
      <w:sz w:val="16"/>
      <w:szCs w:val="16"/>
    </w:rPr>
  </w:style>
  <w:style w:type="paragraph" w:styleId="CommentText">
    <w:name w:val="annotation text"/>
    <w:basedOn w:val="Normal"/>
    <w:link w:val="CommentTextChar"/>
    <w:uiPriority w:val="99"/>
    <w:unhideWhenUsed/>
    <w:rsid w:val="00A64100"/>
    <w:pPr>
      <w:spacing w:line="240" w:lineRule="auto"/>
    </w:pPr>
    <w:rPr>
      <w:sz w:val="20"/>
      <w:szCs w:val="20"/>
    </w:rPr>
  </w:style>
  <w:style w:type="character" w:customStyle="1" w:styleId="CommentTextChar">
    <w:name w:val="Comment Text Char"/>
    <w:basedOn w:val="DefaultParagraphFont"/>
    <w:link w:val="CommentText"/>
    <w:uiPriority w:val="99"/>
    <w:rsid w:val="00A64100"/>
    <w:rPr>
      <w:sz w:val="20"/>
      <w:szCs w:val="20"/>
    </w:rPr>
  </w:style>
  <w:style w:type="paragraph" w:styleId="CommentSubject">
    <w:name w:val="annotation subject"/>
    <w:basedOn w:val="CommentText"/>
    <w:next w:val="CommentText"/>
    <w:link w:val="CommentSubjectChar"/>
    <w:uiPriority w:val="99"/>
    <w:semiHidden/>
    <w:unhideWhenUsed/>
    <w:rsid w:val="00A64100"/>
    <w:rPr>
      <w:b/>
      <w:bCs/>
    </w:rPr>
  </w:style>
  <w:style w:type="character" w:customStyle="1" w:styleId="CommentSubjectChar">
    <w:name w:val="Comment Subject Char"/>
    <w:basedOn w:val="CommentTextChar"/>
    <w:link w:val="CommentSubject"/>
    <w:uiPriority w:val="99"/>
    <w:semiHidden/>
    <w:rsid w:val="00A64100"/>
    <w:rPr>
      <w:b/>
      <w:bCs/>
      <w:sz w:val="20"/>
      <w:szCs w:val="20"/>
    </w:rPr>
  </w:style>
  <w:style w:type="character" w:styleId="Hyperlink">
    <w:name w:val="Hyperlink"/>
    <w:basedOn w:val="DefaultParagraphFont"/>
    <w:uiPriority w:val="99"/>
    <w:unhideWhenUsed/>
    <w:rsid w:val="00272A25"/>
    <w:rPr>
      <w:color w:val="0000FF" w:themeColor="hyperlink"/>
      <w:u w:val="single"/>
    </w:rPr>
  </w:style>
  <w:style w:type="table" w:customStyle="1" w:styleId="GridTable1Light1">
    <w:name w:val="Grid Table 1 Light1"/>
    <w:basedOn w:val="TableNormal"/>
    <w:uiPriority w:val="46"/>
    <w:rsid w:val="008737D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ibliography">
    <w:name w:val="Bibliography"/>
    <w:basedOn w:val="Normal"/>
    <w:next w:val="Normal"/>
    <w:uiPriority w:val="37"/>
    <w:unhideWhenUsed/>
    <w:rsid w:val="00516350"/>
    <w:pPr>
      <w:tabs>
        <w:tab w:val="left" w:pos="504"/>
      </w:tabs>
      <w:spacing w:after="240" w:line="240" w:lineRule="auto"/>
      <w:ind w:left="504" w:hanging="504"/>
    </w:pPr>
  </w:style>
  <w:style w:type="paragraph" w:styleId="Revision">
    <w:name w:val="Revision"/>
    <w:hidden/>
    <w:uiPriority w:val="99"/>
    <w:semiHidden/>
    <w:rsid w:val="002577BD"/>
    <w:pPr>
      <w:spacing w:after="0" w:line="240" w:lineRule="auto"/>
    </w:pPr>
  </w:style>
  <w:style w:type="paragraph" w:styleId="Subtitle">
    <w:name w:val="Subtitle"/>
    <w:basedOn w:val="Normal"/>
    <w:next w:val="Normal"/>
    <w:link w:val="SubtitleChar"/>
    <w:uiPriority w:val="11"/>
    <w:qFormat/>
    <w:rsid w:val="00DE50F8"/>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E50F8"/>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7017533">
      <w:bodyDiv w:val="1"/>
      <w:marLeft w:val="0"/>
      <w:marRight w:val="0"/>
      <w:marTop w:val="0"/>
      <w:marBottom w:val="0"/>
      <w:divBdr>
        <w:top w:val="none" w:sz="0" w:space="0" w:color="auto"/>
        <w:left w:val="none" w:sz="0" w:space="0" w:color="auto"/>
        <w:bottom w:val="none" w:sz="0" w:space="0" w:color="auto"/>
        <w:right w:val="none" w:sz="0" w:space="0" w:color="auto"/>
      </w:divBdr>
    </w:div>
    <w:div w:id="125266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igma.ini.usc.edu/protocols/imagingprotocols/" TargetMode="External"/><Relationship Id="rId13" Type="http://schemas.openxmlformats.org/officeDocument/2006/relationships/image" Target="media/image4.emf"/><Relationship Id="rId18" Type="http://schemas.openxmlformats.org/officeDocument/2006/relationships/image" Target="media/image8.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3.emf"/><Relationship Id="rId17" Type="http://schemas.openxmlformats.org/officeDocument/2006/relationships/image" Target="media/image7.emf"/><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image" Target="media/image5.tif"/><Relationship Id="rId10" Type="http://schemas.openxmlformats.org/officeDocument/2006/relationships/hyperlink" Target="http://enigma.ini.usc.edu/protocols/genetics-protocols/"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enigma.ini.usc.edu/publications/enigma-2/"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45E34-6E5E-4F47-984D-C0F2D5ABF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15790</Words>
  <Characters>90005</Characters>
  <Application>Microsoft Office Word</Application>
  <DocSecurity>0</DocSecurity>
  <Lines>750</Lines>
  <Paragraphs>211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UKD</Company>
  <LinksUpToDate>false</LinksUpToDate>
  <CharactersWithSpaces>105584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Turner Lab</dc:creator>
  <cp:lastModifiedBy>Esther Walton</cp:lastModifiedBy>
  <cp:revision>2</cp:revision>
  <dcterms:created xsi:type="dcterms:W3CDTF">2018-10-31T15:57:00Z</dcterms:created>
  <dcterms:modified xsi:type="dcterms:W3CDTF">2018-10-31T15:57:00Z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zotero-version="5.0.42"&gt;&lt;session id="XktMMXBT"/&gt;&lt;style id="http://www.zotero.org/styles/molecular-neurobiology" hasBibliography="1" bibliographyStyleHasBeenSet="1"/&gt;&lt;prefs&gt;&lt;pref name="fieldType" value="Field"/&gt;&lt;pref name="storeRefer</vt:lpwstr>
  </property>
  <property fmtid="{D5CDD505-2E9C-101B-9397-08002B2CF9AE}" pid="3" name="ZOTERO_PREF_2">
    <vt:lpwstr>ences" value="true"/&gt;&lt;pref name="automaticJournalAbbreviations" value="true"/&gt;&lt;/prefs&gt;&lt;/data&gt;</vt:lpwstr>
  </property>
</Properties>
</file>