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stylesWithEffects.xml" ContentType="application/vnd.ms-word.stylesWithEffects+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8B4" w:rsidRPr="003425B9" w:rsidRDefault="003425B9" w:rsidP="00AB58B4">
      <w:pPr>
        <w:rPr>
          <w:rFonts w:ascii="Arial" w:hAnsi="Arial" w:cs="Arial"/>
          <w:b/>
          <w:lang w:val="en-IN"/>
        </w:rPr>
      </w:pPr>
      <w:r w:rsidRPr="003425B9">
        <w:rPr>
          <w:rFonts w:ascii="Arial" w:hAnsi="Arial" w:cs="Arial"/>
          <w:b/>
          <w:bCs/>
          <w:u w:val="single"/>
          <w:lang w:val="en-GB"/>
        </w:rPr>
        <w:t>Supplementary Methods</w:t>
      </w:r>
    </w:p>
    <w:p w:rsidR="003425B9" w:rsidRDefault="003425B9" w:rsidP="00AB58B4">
      <w:pPr>
        <w:rPr>
          <w:rFonts w:ascii="Arial" w:hAnsi="Arial" w:cs="Arial"/>
          <w:b/>
          <w:lang w:val="en-IN"/>
        </w:rPr>
      </w:pPr>
    </w:p>
    <w:p w:rsidR="00AB58B4" w:rsidRPr="003425B9" w:rsidRDefault="00AB58B4" w:rsidP="00AB58B4">
      <w:pPr>
        <w:rPr>
          <w:rFonts w:ascii="Arial" w:hAnsi="Arial" w:cs="Arial"/>
          <w:lang w:val="en-IN"/>
        </w:rPr>
      </w:pPr>
    </w:p>
    <w:p w:rsidR="00AB58B4" w:rsidRPr="003425B9" w:rsidRDefault="00AB58B4" w:rsidP="00AB58B4">
      <w:pPr>
        <w:spacing w:line="480" w:lineRule="auto"/>
        <w:jc w:val="both"/>
        <w:rPr>
          <w:rFonts w:ascii="Arial" w:hAnsi="Arial" w:cs="Arial"/>
          <w:b/>
          <w:iCs/>
          <w:szCs w:val="22"/>
          <w:lang w:val="en-US"/>
        </w:rPr>
      </w:pPr>
      <w:r w:rsidRPr="003425B9">
        <w:rPr>
          <w:rFonts w:ascii="Arial" w:hAnsi="Arial" w:cs="Arial"/>
          <w:b/>
          <w:i/>
          <w:iCs/>
          <w:szCs w:val="22"/>
          <w:lang w:val="en-US"/>
        </w:rPr>
        <w:t>Cell Culture and transfection</w:t>
      </w:r>
    </w:p>
    <w:p w:rsidR="00AB58B4" w:rsidRPr="003425B9" w:rsidRDefault="00AB58B4" w:rsidP="00AB58B4">
      <w:pPr>
        <w:spacing w:line="480" w:lineRule="auto"/>
        <w:jc w:val="both"/>
        <w:rPr>
          <w:rFonts w:ascii="Arial" w:hAnsi="Arial" w:cs="Arial"/>
          <w:szCs w:val="22"/>
          <w:lang w:val="en-IN"/>
        </w:rPr>
      </w:pPr>
      <w:r w:rsidRPr="003425B9">
        <w:rPr>
          <w:rFonts w:ascii="Arial" w:hAnsi="Arial" w:cs="Arial"/>
          <w:iCs/>
          <w:szCs w:val="22"/>
          <w:lang w:val="en-US"/>
        </w:rPr>
        <w:t xml:space="preserve">Mouse neuroblastoma cell line, Neuro-2a (N2a) were cultured in </w:t>
      </w:r>
      <w:r w:rsidRPr="003425B9">
        <w:rPr>
          <w:rFonts w:ascii="Arial" w:hAnsi="Arial" w:cs="Arial"/>
          <w:szCs w:val="22"/>
          <w:lang w:val="en-IN"/>
        </w:rPr>
        <w:t xml:space="preserve">Dulbecco’s modified Eagle’s medium (DMEM, ThermoScientific, </w:t>
      </w:r>
      <w:r w:rsidRPr="003425B9">
        <w:rPr>
          <w:rFonts w:ascii="Arial" w:hAnsi="Arial"/>
          <w:lang w:val="en-GB"/>
        </w:rPr>
        <w:t>Schwerte, Germany</w:t>
      </w:r>
      <w:r w:rsidRPr="003425B9">
        <w:rPr>
          <w:rFonts w:ascii="Arial" w:hAnsi="Arial" w:cs="Arial"/>
          <w:szCs w:val="22"/>
          <w:lang w:val="en-IN"/>
        </w:rPr>
        <w:t>) supplemented with 10% fetal bovine serum (FBS, ThermoScientific), 1% non essential amino acids (NEAA, ThermoScientific), 1% L-</w:t>
      </w:r>
      <w:r w:rsidR="006D75E3" w:rsidRPr="003425B9">
        <w:rPr>
          <w:rFonts w:ascii="Arial" w:hAnsi="Arial" w:cs="Arial"/>
          <w:szCs w:val="22"/>
          <w:lang w:val="en-IN"/>
        </w:rPr>
        <w:t>g</w:t>
      </w:r>
      <w:r w:rsidRPr="003425B9">
        <w:rPr>
          <w:rFonts w:ascii="Arial" w:hAnsi="Arial" w:cs="Arial"/>
          <w:szCs w:val="22"/>
          <w:lang w:val="en-IN"/>
        </w:rPr>
        <w:t xml:space="preserve">lutamine, and 1% </w:t>
      </w:r>
      <w:r w:rsidR="006D75E3" w:rsidRPr="003425B9">
        <w:rPr>
          <w:rFonts w:ascii="Arial" w:hAnsi="Arial" w:cs="Arial"/>
          <w:szCs w:val="22"/>
          <w:shd w:val="clear" w:color="auto" w:fill="FFFFFF"/>
          <w:lang w:val="en-IN"/>
        </w:rPr>
        <w:t>p</w:t>
      </w:r>
      <w:r w:rsidRPr="003425B9">
        <w:rPr>
          <w:rFonts w:ascii="Arial" w:hAnsi="Arial" w:cs="Arial"/>
          <w:szCs w:val="22"/>
          <w:shd w:val="clear" w:color="auto" w:fill="FFFFFF"/>
          <w:lang w:val="en-IN"/>
        </w:rPr>
        <w:t xml:space="preserve">enicillin, </w:t>
      </w:r>
      <w:r w:rsidR="006D75E3" w:rsidRPr="003425B9">
        <w:rPr>
          <w:rFonts w:ascii="Arial" w:hAnsi="Arial" w:cs="Arial"/>
          <w:szCs w:val="22"/>
          <w:shd w:val="clear" w:color="auto" w:fill="FFFFFF"/>
          <w:lang w:val="en-IN"/>
        </w:rPr>
        <w:t>s</w:t>
      </w:r>
      <w:r w:rsidRPr="003425B9">
        <w:rPr>
          <w:rFonts w:ascii="Arial" w:hAnsi="Arial" w:cs="Arial"/>
          <w:szCs w:val="22"/>
          <w:shd w:val="clear" w:color="auto" w:fill="FFFFFF"/>
          <w:lang w:val="en-IN"/>
        </w:rPr>
        <w:t xml:space="preserve">treptomycin, and </w:t>
      </w:r>
      <w:r w:rsidR="006D75E3" w:rsidRPr="003425B9">
        <w:rPr>
          <w:rFonts w:ascii="Arial" w:hAnsi="Arial" w:cs="Arial"/>
          <w:szCs w:val="22"/>
          <w:shd w:val="clear" w:color="auto" w:fill="FFFFFF"/>
          <w:lang w:val="en-IN"/>
        </w:rPr>
        <w:t>n</w:t>
      </w:r>
      <w:r w:rsidRPr="003425B9">
        <w:rPr>
          <w:rFonts w:ascii="Arial" w:hAnsi="Arial" w:cs="Arial"/>
          <w:szCs w:val="22"/>
          <w:shd w:val="clear" w:color="auto" w:fill="FFFFFF"/>
          <w:lang w:val="en-IN"/>
        </w:rPr>
        <w:t>eomycin (</w:t>
      </w:r>
      <w:r w:rsidRPr="003425B9">
        <w:rPr>
          <w:rFonts w:ascii="Arial" w:hAnsi="Arial" w:cs="Arial"/>
          <w:szCs w:val="22"/>
          <w:lang w:val="en-IN"/>
        </w:rPr>
        <w:t>PSN, ThermoScientific). Cells were maintained at 37°C, 95% relative humidity and 5% CO</w:t>
      </w:r>
      <w:r w:rsidRPr="003425B9">
        <w:rPr>
          <w:rFonts w:ascii="Arial" w:hAnsi="Arial" w:cs="Arial"/>
          <w:szCs w:val="22"/>
          <w:vertAlign w:val="subscript"/>
          <w:lang w:val="en-IN"/>
        </w:rPr>
        <w:t>2</w:t>
      </w:r>
      <w:r w:rsidRPr="003425B9">
        <w:rPr>
          <w:rFonts w:ascii="Arial" w:hAnsi="Arial" w:cs="Arial"/>
          <w:szCs w:val="22"/>
          <w:lang w:val="en-IN"/>
        </w:rPr>
        <w:t xml:space="preserve">. Cells were seeded either on coverslips, for PLA, or in 6 well plates and were transfected with Lipofectamine LTX adding a total amount of 2.5 ug plasmid according to manufactureres instructions (ThermoScientific). 10 cm dishes were transfected using calcium phosphate transfection method. For </w:t>
      </w:r>
      <w:r w:rsidR="006D75E3" w:rsidRPr="003425B9">
        <w:rPr>
          <w:rFonts w:ascii="Arial" w:hAnsi="Arial" w:cs="Arial"/>
          <w:szCs w:val="22"/>
          <w:lang w:val="en-IN"/>
        </w:rPr>
        <w:t>KD</w:t>
      </w:r>
      <w:r w:rsidRPr="003425B9">
        <w:rPr>
          <w:rFonts w:ascii="Arial" w:hAnsi="Arial" w:cs="Arial"/>
          <w:szCs w:val="22"/>
          <w:lang w:val="en-IN"/>
        </w:rPr>
        <w:t xml:space="preserve"> experiments, cells were selected with 2.4 ng/ml puromycin for 24 h.</w:t>
      </w:r>
    </w:p>
    <w:p w:rsidR="00AB58B4" w:rsidRPr="003425B9" w:rsidRDefault="00AB58B4" w:rsidP="00AB58B4">
      <w:pPr>
        <w:spacing w:line="480" w:lineRule="auto"/>
        <w:jc w:val="both"/>
        <w:rPr>
          <w:rFonts w:ascii="Arial" w:hAnsi="Arial" w:cs="Arial"/>
          <w:szCs w:val="22"/>
          <w:lang w:val="en-IN"/>
        </w:rPr>
      </w:pPr>
    </w:p>
    <w:p w:rsidR="00AB58B4" w:rsidRPr="003425B9" w:rsidRDefault="00AB58B4" w:rsidP="00AB58B4">
      <w:pPr>
        <w:spacing w:line="480" w:lineRule="auto"/>
        <w:jc w:val="both"/>
        <w:rPr>
          <w:rFonts w:ascii="Arial" w:hAnsi="Arial" w:cs="Arial"/>
          <w:b/>
          <w:i/>
          <w:szCs w:val="22"/>
          <w:lang w:val="en-IN"/>
        </w:rPr>
      </w:pPr>
      <w:r w:rsidRPr="003425B9">
        <w:rPr>
          <w:rFonts w:ascii="Arial" w:hAnsi="Arial" w:cs="Arial"/>
          <w:b/>
          <w:i/>
          <w:szCs w:val="22"/>
          <w:lang w:val="en-IN"/>
        </w:rPr>
        <w:t>Plasmids</w:t>
      </w:r>
    </w:p>
    <w:p w:rsidR="00AB58B4" w:rsidRPr="003425B9" w:rsidRDefault="00AB58B4" w:rsidP="00AB58B4">
      <w:pPr>
        <w:spacing w:line="480" w:lineRule="auto"/>
        <w:jc w:val="both"/>
        <w:rPr>
          <w:rFonts w:ascii="Arial" w:hAnsi="Arial" w:cs="Arial"/>
          <w:szCs w:val="22"/>
          <w:lang w:val="en-IN"/>
        </w:rPr>
      </w:pPr>
      <w:r w:rsidRPr="003425B9">
        <w:rPr>
          <w:rFonts w:ascii="Arial" w:hAnsi="Arial" w:cs="Arial"/>
          <w:szCs w:val="22"/>
          <w:lang w:val="en-IN"/>
        </w:rPr>
        <w:t>pLenti-III-Empty-2A-GFP and pLenti-III-FOXG1-HA-2A-GFP (abmGood, Canada), pLenti-III-FOXG1-Au1-2A-GFP, pLenti-III-FOXG1-D2-Au1-2A-GFP (cloned by Dr. Gensch), pLKO-non-target-GFP</w:t>
      </w:r>
      <w:r w:rsidR="00FD784C" w:rsidRPr="003425B9">
        <w:rPr>
          <w:rFonts w:ascii="Arial" w:hAnsi="Arial" w:cs="Arial"/>
          <w:szCs w:val="22"/>
          <w:lang w:val="en-IN"/>
        </w:rPr>
        <w:t>, pLKO-shFoxg1-GFP</w:t>
      </w:r>
      <w:r w:rsidRPr="003425B9">
        <w:rPr>
          <w:rFonts w:ascii="Arial" w:hAnsi="Arial" w:cs="Arial"/>
          <w:szCs w:val="22"/>
          <w:lang w:val="en-IN"/>
        </w:rPr>
        <w:t xml:space="preserve"> and pLKO-shD</w:t>
      </w:r>
      <w:r w:rsidR="00FD784C" w:rsidRPr="003425B9">
        <w:rPr>
          <w:rFonts w:ascii="Arial" w:hAnsi="Arial" w:cs="Arial"/>
          <w:szCs w:val="22"/>
          <w:lang w:val="en-IN"/>
        </w:rPr>
        <w:t>dx5</w:t>
      </w:r>
      <w:r w:rsidRPr="003425B9">
        <w:rPr>
          <w:rFonts w:ascii="Arial" w:hAnsi="Arial" w:cs="Arial"/>
          <w:szCs w:val="22"/>
          <w:lang w:val="en-IN"/>
        </w:rPr>
        <w:t xml:space="preserve">-GFP (Sigma). </w:t>
      </w:r>
      <w:r w:rsidR="002C7710" w:rsidRPr="003425B9">
        <w:rPr>
          <w:rFonts w:ascii="Arial" w:hAnsi="Arial" w:cs="Arial"/>
          <w:szCs w:val="22"/>
          <w:lang w:val="en-IN"/>
        </w:rPr>
        <w:t xml:space="preserve">pmiRGlo-empty (Promega). </w:t>
      </w:r>
      <w:r w:rsidR="00FD784C" w:rsidRPr="003425B9">
        <w:rPr>
          <w:rFonts w:ascii="Arial" w:hAnsi="Arial" w:cs="Arial"/>
          <w:szCs w:val="22"/>
          <w:lang w:val="en-IN"/>
        </w:rPr>
        <w:t xml:space="preserve">pCX-miR200b/a/429/200c/141 and pCX-eGFP-miR200-sponge were generous gifted by Dr. Harold Cremer. </w:t>
      </w:r>
      <w:r w:rsidR="00941420" w:rsidRPr="003425B9">
        <w:rPr>
          <w:rFonts w:ascii="Arial" w:hAnsi="Arial" w:cs="Arial"/>
          <w:szCs w:val="22"/>
          <w:lang w:val="en-IN"/>
        </w:rPr>
        <w:t xml:space="preserve">pCX-miR200b/a/429 and pmiRGlo-miR200b/a/429 were subcloned from pCX-miR200b/a/429/200c/141 plasmid. </w:t>
      </w:r>
      <w:r w:rsidR="00941420" w:rsidRPr="003425B9">
        <w:rPr>
          <w:rFonts w:ascii="Arial" w:hAnsi="Arial" w:cs="Arial"/>
          <w:lang w:val="en-IN"/>
        </w:rPr>
        <w:t>pmiRGlo-Prkar2b-3’UTR-short</w:t>
      </w:r>
      <w:r w:rsidR="00941420" w:rsidRPr="003425B9">
        <w:rPr>
          <w:rFonts w:ascii="Arial" w:hAnsi="Arial" w:cs="Arial"/>
          <w:i/>
          <w:lang w:val="en-IN"/>
        </w:rPr>
        <w:t xml:space="preserve">, </w:t>
      </w:r>
      <w:r w:rsidR="00941420" w:rsidRPr="003425B9">
        <w:rPr>
          <w:rFonts w:ascii="Arial" w:hAnsi="Arial" w:cs="Arial"/>
          <w:lang w:val="en-IN"/>
        </w:rPr>
        <w:t>pmiRGlo-Prkar2b-3’UTR-inverted</w:t>
      </w:r>
      <w:r w:rsidR="001E2742" w:rsidRPr="003425B9">
        <w:rPr>
          <w:rFonts w:ascii="Arial" w:hAnsi="Arial" w:cs="Arial"/>
          <w:lang w:val="en-IN"/>
        </w:rPr>
        <w:t>,</w:t>
      </w:r>
      <w:r w:rsidR="00941420" w:rsidRPr="003425B9">
        <w:rPr>
          <w:rFonts w:ascii="Arial" w:hAnsi="Arial" w:cs="Arial"/>
          <w:lang w:val="en-IN"/>
        </w:rPr>
        <w:t xml:space="preserve"> pmiRGlo-Prkar2b-3’UTR-T7</w:t>
      </w:r>
      <w:r w:rsidR="001E2742" w:rsidRPr="003425B9">
        <w:rPr>
          <w:rFonts w:ascii="Arial" w:hAnsi="Arial" w:cs="Arial"/>
          <w:lang w:val="en-IN"/>
        </w:rPr>
        <w:t xml:space="preserve">, pmiRGlo-5'-MCS-empty and </w:t>
      </w:r>
      <w:r w:rsidR="001E2742" w:rsidRPr="003425B9">
        <w:rPr>
          <w:rFonts w:ascii="Arial" w:eastAsia="Times New Roman" w:hAnsi="Arial" w:cs="Arial"/>
          <w:color w:val="000000" w:themeColor="text1"/>
          <w:szCs w:val="22"/>
          <w:shd w:val="clear" w:color="auto" w:fill="FFFFFF"/>
        </w:rPr>
        <w:t>pmirGlo-5’-MCS-Prkar2b-5’-region</w:t>
      </w:r>
      <w:r w:rsidR="00941420" w:rsidRPr="003425B9">
        <w:rPr>
          <w:rFonts w:ascii="Arial" w:hAnsi="Arial" w:cs="Arial"/>
          <w:lang w:val="en-IN"/>
        </w:rPr>
        <w:t xml:space="preserve"> were cloned by GenScript USA Inc. </w:t>
      </w:r>
      <w:r w:rsidR="00941420" w:rsidRPr="003425B9">
        <w:rPr>
          <w:rFonts w:ascii="Arial" w:hAnsi="Arial" w:cs="Arial"/>
          <w:szCs w:val="22"/>
          <w:lang w:val="en-IN"/>
        </w:rPr>
        <w:t>pCMV-FOXG1-Au1 was subcloned from pLenti-III-FOXG1-Au1-2A-GFP</w:t>
      </w:r>
      <w:r w:rsidR="00941420" w:rsidRPr="003425B9" w:rsidDel="00FD784C">
        <w:rPr>
          <w:rFonts w:ascii="Arial" w:hAnsi="Arial" w:cs="Arial"/>
          <w:szCs w:val="22"/>
          <w:lang w:val="en-IN"/>
        </w:rPr>
        <w:t xml:space="preserve"> </w:t>
      </w:r>
      <w:r w:rsidR="00941420" w:rsidRPr="003425B9">
        <w:rPr>
          <w:rFonts w:ascii="Arial" w:hAnsi="Arial" w:cs="Arial"/>
          <w:szCs w:val="22"/>
          <w:lang w:val="en-IN"/>
        </w:rPr>
        <w:t>.</w:t>
      </w:r>
    </w:p>
    <w:p w:rsidR="003E18E5" w:rsidRPr="003425B9" w:rsidRDefault="003E18E5" w:rsidP="00AB58B4">
      <w:pPr>
        <w:spacing w:line="480" w:lineRule="auto"/>
        <w:jc w:val="both"/>
        <w:rPr>
          <w:rFonts w:ascii="Arial" w:hAnsi="Arial" w:cs="Arial"/>
          <w:szCs w:val="22"/>
          <w:lang w:val="en-IN"/>
        </w:rPr>
      </w:pPr>
    </w:p>
    <w:p w:rsidR="003E18E5" w:rsidRPr="003425B9" w:rsidRDefault="003E18E5" w:rsidP="003E18E5">
      <w:pPr>
        <w:spacing w:line="480" w:lineRule="auto"/>
        <w:jc w:val="both"/>
        <w:rPr>
          <w:rFonts w:ascii="Arial" w:hAnsi="Arial" w:cs="Arial"/>
          <w:b/>
          <w:szCs w:val="22"/>
          <w:lang w:val="en-US"/>
        </w:rPr>
      </w:pPr>
      <w:r w:rsidRPr="003425B9">
        <w:rPr>
          <w:rFonts w:ascii="Arial" w:hAnsi="Arial" w:cs="Arial"/>
          <w:b/>
          <w:i/>
          <w:iCs/>
          <w:szCs w:val="22"/>
          <w:lang w:val="en-US"/>
        </w:rPr>
        <w:t xml:space="preserve">RNA isolation, reverse transcription, and quantitative real-time PCR (qRT-PCR) </w:t>
      </w:r>
    </w:p>
    <w:p w:rsidR="003E18E5" w:rsidRPr="003425B9" w:rsidRDefault="003E18E5" w:rsidP="00AB58B4">
      <w:pPr>
        <w:spacing w:line="480" w:lineRule="auto"/>
        <w:jc w:val="both"/>
        <w:rPr>
          <w:rFonts w:ascii="Arial" w:hAnsi="Arial" w:cs="Arial"/>
          <w:szCs w:val="22"/>
          <w:lang w:val="en-US"/>
        </w:rPr>
      </w:pPr>
      <w:r w:rsidRPr="003425B9">
        <w:rPr>
          <w:rFonts w:ascii="Arial" w:hAnsi="Arial" w:cs="Arial"/>
          <w:szCs w:val="22"/>
          <w:lang w:val="en-US"/>
        </w:rPr>
        <w:t xml:space="preserve">RNA was isolated from harvested cells and frozen tissue using miRNeasy kit (Qiagen) according to the manufacturer's instructions including on-column DNA digestion. 1 µg of total RNA was reverse transcribed either with RevertAid MMuLV (Fermentas, ThermoScientific) or with miScript® II RT kit (Qiagen) according to manufacturer’s protocol. mRNA samples were subjected to DNase I treatment just before cDNA synthesis with amplification grade DNase I (Sigma Aldrich) for 30 min at RT. qRT-PCR analysis for mRNA and pri-miRNA were performed on CFX-Connect Real-Time PCR detection system (Bio-Rad) using Go Taq qPCR Master Mix (Promega, Mannheim, Germany) or using Qiagen miScript SYBR® Green PCR Kit with Qiagen miScript® primer assay (miR200a/b/429 and U6) or Qiagen miScript® Precursor assay (pre-miR200a/b/429) according to manufacturer’s protocol. Primers were used at a concentration of 250 nM each. </w:t>
      </w:r>
      <w:r w:rsidRPr="003425B9">
        <w:rPr>
          <w:rFonts w:ascii="Arial" w:hAnsi="Arial" w:cs="Arial"/>
          <w:i/>
          <w:szCs w:val="22"/>
          <w:lang w:val="en-US"/>
        </w:rPr>
        <w:t>Gapdh</w:t>
      </w:r>
      <w:r w:rsidRPr="003425B9">
        <w:rPr>
          <w:rFonts w:ascii="Arial" w:hAnsi="Arial" w:cs="Arial"/>
          <w:szCs w:val="22"/>
          <w:lang w:val="en-US"/>
        </w:rPr>
        <w:t xml:space="preserve"> or </w:t>
      </w:r>
      <w:r w:rsidRPr="003425B9">
        <w:rPr>
          <w:rFonts w:ascii="Arial" w:hAnsi="Arial" w:cs="Arial"/>
          <w:i/>
          <w:szCs w:val="22"/>
          <w:lang w:val="en-US"/>
        </w:rPr>
        <w:t xml:space="preserve">U6 </w:t>
      </w:r>
      <w:r w:rsidRPr="003425B9">
        <w:rPr>
          <w:rFonts w:ascii="Arial" w:hAnsi="Arial" w:cs="Arial"/>
          <w:szCs w:val="22"/>
          <w:lang w:val="en-US"/>
        </w:rPr>
        <w:t xml:space="preserve">were used as reference genes. For mRNA and pri-miR200, PCR program was 3 minutes at 95°C, 40 cycles of 15 sec at 95°C and 30 sec at an annealing temperature (58°C-63°C), followed by 1 min at 95°C, 1 min at 55°C and melting curve cycle. For pre-miR200 and mature miR200, PCR program was 15 min at 95°C, 40 cycles of 15 sec at 94°C, 30 sec at 55°C and 30 sec at 70°C, followed by 1 min at 95°C, 1 min at 55°C and melting curve cycle. </w:t>
      </w:r>
      <w:r w:rsidRPr="003425B9">
        <w:rPr>
          <w:rFonts w:ascii="Arial" w:hAnsi="Arial" w:cs="Arial"/>
          <w:lang w:val="en-GB"/>
        </w:rPr>
        <w:t xml:space="preserve">Primers used had an efficiency level between 85% and 110%. Primer sequences are listed in Supplementary Table S1. qRT-PCR results were analysed using the ΔΔCt method </w:t>
      </w:r>
      <w:r w:rsidR="00157958" w:rsidRPr="003425B9">
        <w:rPr>
          <w:rFonts w:ascii="Arial" w:hAnsi="Arial" w:cs="Arial"/>
          <w:lang w:val="en-GB"/>
        </w:rPr>
        <w:fldChar w:fldCharType="begin"/>
      </w:r>
      <w:r w:rsidR="003A5008" w:rsidRPr="003425B9">
        <w:rPr>
          <w:rFonts w:ascii="Arial" w:hAnsi="Arial" w:cs="Arial"/>
          <w:lang w:val="en-GB"/>
        </w:rPr>
        <w:instrText xml:space="preserve"> ADDIN ZOTERO_ITEM CSL_CITATION {"citationID":"NjuBoEkg","properties":{"formattedCitation":"[1]","plainCitation":"[1]","noteIndex":0},"citationItems":[{"id":1701,"uris":["http://zotero.org/users/1742798/items/DCEV2EJN"],"uri":["http://zotero.org/users/1742798/items/DCEV2EJN"],"itemData":{"id":1701,"type":"article-journal","title":"Analysis of Relative Gene Expression Data Using Real-Time Quantitative PCR and the 2−ΔΔCT Method","container-title":"Methods","page":"402-408","volume":"25","issue":"4","source":"ScienceDirect","abstract":"The two most commonly used methods to analyze data from real-time, quantitative PCR experiments are absolute quantification and relative quantification. Absolute quantification determines the input copy number, usually by relating the PCR signal to a standard curve. Relative quantification relates the PCR signal of the target transcript in a treatment group to that of another sample such as an untreated control. The 2−ΔΔCT method is a convenient way to analyze the relative changes in gene expression from real-time quantitative PCR experiments. The purpose of this report is to present the derivation, assumptions, and applications of the 2−ΔΔCT method. In addition, we present the derivation and applications of two variations of the 2−ΔΔCT method that may be useful in the analysis of real-time, quantitative PCR data.","DOI":"10.1006/meth.2001.1262","ISSN":"1046-2023","journalAbbreviation":"Methods","author":[{"family":"Livak","given":"Kenneth J."},{"family":"Schmittgen","given":"Thomas D."}],"issued":{"date-parts":[["2001",12,1]]}}}],"schema":"https://github.com/citation-style-language/schema/raw/master/csl-citation.json"} </w:instrText>
      </w:r>
      <w:r w:rsidR="00157958" w:rsidRPr="003425B9">
        <w:rPr>
          <w:rFonts w:ascii="Arial" w:hAnsi="Arial" w:cs="Arial"/>
          <w:lang w:val="en-GB"/>
        </w:rPr>
        <w:fldChar w:fldCharType="separate"/>
      </w:r>
      <w:r w:rsidR="003A5008" w:rsidRPr="003425B9">
        <w:rPr>
          <w:rFonts w:ascii="Arial" w:hAnsi="Arial" w:cs="Arial"/>
          <w:noProof/>
          <w:lang w:val="en-GB"/>
        </w:rPr>
        <w:t>[1]</w:t>
      </w:r>
      <w:r w:rsidR="00157958" w:rsidRPr="003425B9">
        <w:rPr>
          <w:rFonts w:ascii="Arial" w:hAnsi="Arial" w:cs="Arial"/>
          <w:lang w:val="en-GB"/>
        </w:rPr>
        <w:fldChar w:fldCharType="end"/>
      </w:r>
      <w:r w:rsidRPr="003425B9">
        <w:rPr>
          <w:rFonts w:ascii="Arial" w:hAnsi="Arial" w:cs="Arial"/>
          <w:lang w:val="en-GB"/>
        </w:rPr>
        <w:t xml:space="preserve">. </w:t>
      </w:r>
    </w:p>
    <w:p w:rsidR="003E18E5" w:rsidRPr="003425B9" w:rsidRDefault="003E18E5" w:rsidP="00AB58B4">
      <w:pPr>
        <w:spacing w:line="480" w:lineRule="auto"/>
        <w:jc w:val="both"/>
        <w:rPr>
          <w:rFonts w:ascii="Arial" w:hAnsi="Arial" w:cs="Arial"/>
          <w:b/>
          <w:i/>
          <w:iCs/>
          <w:szCs w:val="22"/>
          <w:lang w:val="en-IN"/>
        </w:rPr>
      </w:pPr>
    </w:p>
    <w:p w:rsidR="003E18E5" w:rsidRPr="003425B9" w:rsidRDefault="003E18E5" w:rsidP="003E18E5">
      <w:pPr>
        <w:pStyle w:val="HTMLVorformatiert"/>
        <w:spacing w:after="160" w:line="480" w:lineRule="auto"/>
        <w:jc w:val="both"/>
        <w:rPr>
          <w:rFonts w:ascii="Arial" w:hAnsi="Arial" w:cs="Arial"/>
          <w:b/>
          <w:iCs/>
          <w:sz w:val="24"/>
          <w:szCs w:val="22"/>
          <w:lang w:val="en-US"/>
        </w:rPr>
      </w:pPr>
      <w:r w:rsidRPr="003425B9">
        <w:rPr>
          <w:rFonts w:ascii="Arial" w:hAnsi="Arial" w:cs="Arial"/>
          <w:b/>
          <w:iCs/>
          <w:sz w:val="24"/>
          <w:szCs w:val="22"/>
          <w:lang w:val="en-US"/>
        </w:rPr>
        <w:t>Bioinformatics analysis of RNAseq and FOX transcription factor binding motifs</w:t>
      </w:r>
    </w:p>
    <w:p w:rsidR="003E18E5" w:rsidRPr="003425B9" w:rsidRDefault="003E18E5" w:rsidP="003E18E5">
      <w:pPr>
        <w:spacing w:line="480" w:lineRule="auto"/>
        <w:jc w:val="both"/>
        <w:rPr>
          <w:rFonts w:ascii="Arial" w:hAnsi="Arial" w:cs="Arial"/>
          <w:color w:val="000000"/>
          <w:szCs w:val="22"/>
          <w:lang w:val="en-IN"/>
        </w:rPr>
      </w:pPr>
      <w:r w:rsidRPr="003425B9">
        <w:rPr>
          <w:rFonts w:ascii="Arial" w:hAnsi="Arial" w:cs="Arial"/>
          <w:iCs/>
          <w:szCs w:val="22"/>
          <w:lang w:val="en-US"/>
        </w:rPr>
        <w:t xml:space="preserve">For 6 week old </w:t>
      </w:r>
      <w:r w:rsidRPr="003425B9">
        <w:rPr>
          <w:rFonts w:ascii="Arial" w:hAnsi="Arial" w:cs="Arial"/>
          <w:i/>
          <w:iCs/>
          <w:szCs w:val="22"/>
          <w:lang w:val="en-US"/>
        </w:rPr>
        <w:t>Foxg1</w:t>
      </w:r>
      <w:r w:rsidRPr="003425B9">
        <w:rPr>
          <w:rFonts w:ascii="Arial" w:hAnsi="Arial" w:cs="Arial"/>
          <w:iCs/>
          <w:szCs w:val="22"/>
          <w:vertAlign w:val="superscript"/>
          <w:lang w:val="en-US"/>
        </w:rPr>
        <w:t>cre/+</w:t>
      </w:r>
      <w:r w:rsidRPr="003425B9">
        <w:rPr>
          <w:rFonts w:ascii="Arial" w:hAnsi="Arial" w:cs="Arial"/>
          <w:iCs/>
          <w:szCs w:val="22"/>
          <w:lang w:val="en-US"/>
        </w:rPr>
        <w:t xml:space="preserve"> mice hippocampal RNAseq and miRNA-200b/a/429 overexpressing N2a cells RNAseq, n = 3 and n = 2 were used respectively. Bioinformatics analysis was performed using the Freiburger Galaxy Server </w:t>
      </w:r>
      <w:r w:rsidR="00157958" w:rsidRPr="003425B9">
        <w:rPr>
          <w:rFonts w:ascii="Arial" w:hAnsi="Arial" w:cs="Arial"/>
          <w:iCs/>
          <w:szCs w:val="22"/>
          <w:lang w:val="en-US"/>
        </w:rPr>
        <w:fldChar w:fldCharType="begin"/>
      </w:r>
      <w:r w:rsidR="003A5008" w:rsidRPr="003425B9">
        <w:rPr>
          <w:rFonts w:ascii="Arial" w:hAnsi="Arial" w:cs="Arial"/>
          <w:iCs/>
          <w:szCs w:val="22"/>
          <w:lang w:val="en-US"/>
        </w:rPr>
        <w:instrText xml:space="preserve"> ADDIN ZOTERO_ITEM CSL_CITATION {"citationID":"zgIZUww9","properties":{"formattedCitation":"[2]","plainCitation":"[2]","noteIndex":0},"citationItems":[{"id":2361,"uris":["http://zotero.org/users/1742798/items/ENFEXG3V"],"uri":["http://zotero.org/users/1742798/items/ENFEXG3V"],"itemData":{"id":2361,"type":"article-journal","title":"The RNA workbench: best practices for RNA and high-throughput sequencing bioinformatics in Galaxy","container-title":"Nucleic Acids Research","page":"W560-W566","volume":"45","issue":"W1","source":"academic.oup.com","abstract":"Abstract.  RNA-based regulation has become a major research topic in molecular biology. The analysis of epigenetic and expression data is therefore incomplete i","DOI":"10.1093/nar/gkx409","ISSN":"0305-1048","shortTitle":"The RNA workbench","journalAbbreviation":"Nucleic Acids Res","language":"en","author":[{"family":"Grüning","given":"Björn A."},{"family":"Fallmann","given":"Jörg"},{"family":"Yusuf","given":"Dilmurat"},{"family":"Will","given":"Sebastian"},{"family":"Erxleben","given":"Anika"},{"family":"Eggenhofer","given":"Florian"},{"family":"Houwaart","given":"Torsten"},{"family":"Batut","given":"Bérénice"},{"family":"Videm","given":"Pavankumar"},{"family":"Bagnacani","given":"Andrea"},{"family":"Wolfien","given":"Markus"},{"family":"Lott","given":"Steffen C."},{"family":"Hoogstrate","given":"Youri"},{"family":"Hess","given":"Wolfgang R."},{"family":"Wolkenhauer","given":"Olaf"},{"family":"Hoffmann","given":"Steve"},{"family":"Akalin","given":"Altuna"},{"family":"Ohler","given":"Uwe"},{"family":"Stadler","given":"Peter F."},{"family":"Backofen","given":"Rolf"}],"issued":{"date-parts":[["2017",7,3]]}}}],"schema":"https://github.com/citation-style-language/schema/raw/master/csl-citation.json"} </w:instrText>
      </w:r>
      <w:r w:rsidR="00157958" w:rsidRPr="003425B9">
        <w:rPr>
          <w:rFonts w:ascii="Arial" w:hAnsi="Arial" w:cs="Arial"/>
          <w:iCs/>
          <w:szCs w:val="22"/>
          <w:lang w:val="en-US"/>
        </w:rPr>
        <w:fldChar w:fldCharType="separate"/>
      </w:r>
      <w:r w:rsidR="003A5008" w:rsidRPr="003425B9">
        <w:rPr>
          <w:rFonts w:ascii="Arial" w:hAnsi="Arial" w:cs="Arial"/>
          <w:iCs/>
          <w:noProof/>
          <w:szCs w:val="22"/>
          <w:lang w:val="en-US"/>
        </w:rPr>
        <w:t>[2]</w:t>
      </w:r>
      <w:r w:rsidR="00157958" w:rsidRPr="003425B9">
        <w:rPr>
          <w:rFonts w:ascii="Arial" w:hAnsi="Arial" w:cs="Arial"/>
          <w:iCs/>
          <w:szCs w:val="22"/>
          <w:lang w:val="en-US"/>
        </w:rPr>
        <w:fldChar w:fldCharType="end"/>
      </w:r>
      <w:r w:rsidRPr="003425B9">
        <w:rPr>
          <w:rFonts w:ascii="Arial" w:hAnsi="Arial" w:cs="Arial"/>
          <w:iCs/>
          <w:szCs w:val="22"/>
          <w:lang w:val="en-US"/>
        </w:rPr>
        <w:t xml:space="preserve">. </w:t>
      </w:r>
      <w:r w:rsidRPr="003425B9">
        <w:rPr>
          <w:rFonts w:ascii="Arial" w:hAnsi="Arial" w:cs="Arial"/>
          <w:color w:val="000000"/>
          <w:szCs w:val="22"/>
          <w:lang w:val="en-IN"/>
        </w:rPr>
        <w:t xml:space="preserve">At first, the sequenced reads in FASTQ files were inspected using FastQC </w:t>
      </w:r>
      <w:r w:rsidR="00157958" w:rsidRPr="003425B9">
        <w:rPr>
          <w:rFonts w:ascii="Arial" w:hAnsi="Arial" w:cs="Arial"/>
          <w:color w:val="000000"/>
          <w:szCs w:val="22"/>
          <w:lang w:val="en-IN"/>
        </w:rPr>
        <w:fldChar w:fldCharType="begin"/>
      </w:r>
      <w:r w:rsidR="00EB15EF" w:rsidRPr="003425B9">
        <w:rPr>
          <w:rFonts w:ascii="Arial" w:hAnsi="Arial" w:cs="Arial"/>
          <w:color w:val="000000"/>
          <w:szCs w:val="22"/>
          <w:lang w:val="en-IN"/>
        </w:rPr>
        <w:instrText xml:space="preserve"> ADDIN ZOTERO_ITEM CSL_CITATION {"citationID":"ubCurlFj","properties":{"formattedCitation":"[3]","plainCitation":"[3]","noteIndex":0},"citationItems":[{"id":1691,"uris":["http://zotero.org/users/1742798/items/V6QHBGQ4"],"uri":["http://zotero.org/users/1742798/items/V6QHBGQ4"],"itemData":{"id":1691,"type":"article-journal","title":"FastQC A Quality Control tool for High Throughput Sequence Data","URL":"http://www.bioinformatics.babraham.ac.uk/projects/fastqc/","author":[{"family":"Andrews","given":"S."}]}}],"schema":"https://github.com/citation-style-language/schema/raw/master/csl-citation.json"} </w:instrText>
      </w:r>
      <w:r w:rsidR="00157958" w:rsidRPr="003425B9">
        <w:rPr>
          <w:rFonts w:ascii="Arial" w:hAnsi="Arial" w:cs="Arial"/>
          <w:color w:val="000000"/>
          <w:szCs w:val="22"/>
          <w:lang w:val="en-IN"/>
        </w:rPr>
        <w:fldChar w:fldCharType="separate"/>
      </w:r>
      <w:r w:rsidR="00EB15EF" w:rsidRPr="003425B9">
        <w:rPr>
          <w:rFonts w:ascii="Arial" w:hAnsi="Arial" w:cs="Arial"/>
          <w:noProof/>
          <w:color w:val="000000"/>
          <w:szCs w:val="22"/>
          <w:lang w:val="en-IN"/>
        </w:rPr>
        <w:t>[3]</w:t>
      </w:r>
      <w:r w:rsidR="00157958" w:rsidRPr="003425B9">
        <w:rPr>
          <w:rFonts w:ascii="Arial" w:hAnsi="Arial" w:cs="Arial"/>
          <w:color w:val="000000"/>
          <w:szCs w:val="22"/>
          <w:lang w:val="en-IN"/>
        </w:rPr>
        <w:fldChar w:fldCharType="end"/>
      </w:r>
      <w:r w:rsidRPr="003425B9">
        <w:rPr>
          <w:rFonts w:ascii="Arial" w:hAnsi="Arial" w:cs="Arial"/>
          <w:color w:val="000000"/>
          <w:szCs w:val="22"/>
          <w:lang w:val="en-IN"/>
        </w:rPr>
        <w:t xml:space="preserve">. With no remarkable quality flaws from the FastQC reports, </w:t>
      </w:r>
      <w:r w:rsidRPr="003425B9">
        <w:rPr>
          <w:rFonts w:ascii="Arial" w:hAnsi="Arial" w:cs="Arial"/>
          <w:color w:val="000000"/>
          <w:szCs w:val="22"/>
        </w:rPr>
        <w:t xml:space="preserve">low quality bases from the 3' end were trimmed using TrimGalore </w:t>
      </w:r>
      <w:r w:rsidR="00157958" w:rsidRPr="003425B9">
        <w:rPr>
          <w:rFonts w:ascii="Arial" w:hAnsi="Arial" w:cs="Arial"/>
          <w:color w:val="000000"/>
          <w:szCs w:val="22"/>
        </w:rPr>
        <w:fldChar w:fldCharType="begin"/>
      </w:r>
      <w:r w:rsidR="00EB15EF" w:rsidRPr="003425B9">
        <w:rPr>
          <w:rFonts w:ascii="Arial" w:hAnsi="Arial" w:cs="Arial"/>
          <w:color w:val="000000"/>
          <w:szCs w:val="22"/>
        </w:rPr>
        <w:instrText xml:space="preserve"> ADDIN ZOTERO_ITEM CSL_CITATION {"citationID":"tAoktkcZ","properties":{"formattedCitation":"[4]","plainCitation":"[4]","noteIndex":0},"citationItems":[{"id":1692,"uris":["http://zotero.org/users/1742798/items/W7TCQQ9P"],"uri":["http://zotero.org/users/1742798/items/W7TCQQ9P"],"itemData":{"id":1692,"type":"article-journal","title":"A wrapper tool around Cutadapt and FastQC to consistently apply quality and adapter trimming to FastQ files, with some extra functionality for MspI-digested RRBS-type (Reduced Representation Bisufite-Seq) libraries.","URL":"http://www.bioinformatics.babraham.ac.uk/projects/trim_galore/","author":[{"family":"Krueger","given":"F."}]}}],"schema":"https://github.com/citation-style-language/schema/raw/master/csl-citation.json"} </w:instrText>
      </w:r>
      <w:r w:rsidR="00157958" w:rsidRPr="003425B9">
        <w:rPr>
          <w:rFonts w:ascii="Arial" w:hAnsi="Arial" w:cs="Arial"/>
          <w:color w:val="000000"/>
          <w:szCs w:val="22"/>
        </w:rPr>
        <w:fldChar w:fldCharType="separate"/>
      </w:r>
      <w:r w:rsidR="00EB15EF" w:rsidRPr="003425B9">
        <w:rPr>
          <w:rFonts w:ascii="Arial" w:hAnsi="Arial" w:cs="Arial"/>
          <w:noProof/>
          <w:color w:val="000000"/>
          <w:szCs w:val="22"/>
        </w:rPr>
        <w:t>[4]</w:t>
      </w:r>
      <w:r w:rsidR="00157958" w:rsidRPr="003425B9">
        <w:rPr>
          <w:rFonts w:ascii="Arial" w:hAnsi="Arial" w:cs="Arial"/>
          <w:color w:val="000000"/>
          <w:szCs w:val="22"/>
        </w:rPr>
        <w:fldChar w:fldCharType="end"/>
      </w:r>
      <w:r w:rsidRPr="003425B9">
        <w:rPr>
          <w:rFonts w:ascii="Arial" w:hAnsi="Arial" w:cs="Arial"/>
          <w:color w:val="000000"/>
          <w:szCs w:val="22"/>
          <w:lang w:val="en-IN"/>
        </w:rPr>
        <w:t xml:space="preserve">. For quality trimming, Phred score cut-off of 28 was used. Reads were aligned to mouse genome build mm10 using TopHat2 </w:t>
      </w:r>
      <w:r w:rsidR="00157958" w:rsidRPr="003425B9">
        <w:rPr>
          <w:rFonts w:ascii="Arial" w:hAnsi="Arial" w:cs="Arial"/>
          <w:color w:val="000000"/>
          <w:szCs w:val="22"/>
          <w:lang w:val="en-IN"/>
        </w:rPr>
        <w:fldChar w:fldCharType="begin"/>
      </w:r>
      <w:r w:rsidR="00EB15EF" w:rsidRPr="003425B9">
        <w:rPr>
          <w:rFonts w:ascii="Arial" w:hAnsi="Arial" w:cs="Arial"/>
          <w:color w:val="000000"/>
          <w:szCs w:val="22"/>
          <w:lang w:val="en-IN"/>
        </w:rPr>
        <w:instrText xml:space="preserve"> ADDIN ZOTERO_ITEM CSL_CITATION {"citationID":"MQhEqrqN","properties":{"formattedCitation":"[5]","plainCitation":"[5]","noteIndex":0},"citationItems":[{"id":1694,"uris":["http://zotero.org/users/1742798/items/ESVG68FV"],"uri":["http://zotero.org/users/1742798/items/ESVG68FV"],"itemData":{"id":1694,"type":"article-journal","title":"TopHat2: accurate alignment of transcriptomes in the presence of insertions, deletions and gene fusions","container-title":"Genome Biology","page":"R36","volume":"14","issue":"4","abstract":"TopHat is a popular spliced aligner for RNA-sequence (RNA-seq) experiments. In this paper, we describe TopHat2, which incorporates many significant enhancements to TopHat. TopHat2 can align reads of various lengths produced by the latest sequencing technologies, while allowing for variable-length indels with respect to the reference genome. In addition to de novo spliced alignment, TopHat2 can align reads across fusion breaks, which can occur after genomic translocations. TopHat2 combines the ability to identify novel splice sites with direct mapping to known transcripts, producing sensitive and accurate alignments, even for highly repetitive genomes or in the presence of pseudogenes. TopHat2 is available at http://ccb.jhu.edu/software/tophat .","DOI":"10.1186/gb-2013-14-4-r36","ISSN":"1474-760X","author":[{"family":"Kim","given":"Daehwan"},{"family":"Pertea","given":"Geo"},{"family":"Trapnell","given":"Cole"},{"family":"Pimentel","given":"Harold"},{"family":"Kelley","given":"Ryan"},{"family":"Salzberg","given":"Steven L."}],"issued":{"date-parts":[["2013"]]}}}],"schema":"https://github.com/citation-style-language/schema/raw/master/csl-citation.json"} </w:instrText>
      </w:r>
      <w:r w:rsidR="00157958" w:rsidRPr="003425B9">
        <w:rPr>
          <w:rFonts w:ascii="Arial" w:hAnsi="Arial" w:cs="Arial"/>
          <w:color w:val="000000"/>
          <w:szCs w:val="22"/>
          <w:lang w:val="en-IN"/>
        </w:rPr>
        <w:fldChar w:fldCharType="separate"/>
      </w:r>
      <w:r w:rsidR="00EB15EF" w:rsidRPr="003425B9">
        <w:rPr>
          <w:rFonts w:ascii="Arial" w:hAnsi="Arial" w:cs="Arial"/>
          <w:noProof/>
          <w:color w:val="000000"/>
          <w:szCs w:val="22"/>
          <w:lang w:val="en-IN"/>
        </w:rPr>
        <w:t>[5]</w:t>
      </w:r>
      <w:r w:rsidR="00157958" w:rsidRPr="003425B9">
        <w:rPr>
          <w:rFonts w:ascii="Arial" w:hAnsi="Arial" w:cs="Arial"/>
          <w:color w:val="000000"/>
          <w:szCs w:val="22"/>
          <w:lang w:val="en-IN"/>
        </w:rPr>
        <w:fldChar w:fldCharType="end"/>
      </w:r>
      <w:r w:rsidRPr="003425B9">
        <w:rPr>
          <w:rFonts w:ascii="Arial" w:hAnsi="Arial" w:cs="Arial"/>
          <w:color w:val="000000"/>
          <w:szCs w:val="22"/>
          <w:lang w:val="en-IN"/>
        </w:rPr>
        <w:t>. For Foxg1</w:t>
      </w:r>
      <w:r w:rsidRPr="003425B9">
        <w:rPr>
          <w:rFonts w:ascii="Arial" w:hAnsi="Arial" w:cs="Arial"/>
          <w:color w:val="000000"/>
          <w:szCs w:val="22"/>
          <w:vertAlign w:val="superscript"/>
          <w:lang w:val="en-IN"/>
        </w:rPr>
        <w:t>cre/+</w:t>
      </w:r>
      <w:r w:rsidRPr="003425B9">
        <w:rPr>
          <w:rFonts w:ascii="Arial" w:hAnsi="Arial" w:cs="Arial"/>
          <w:color w:val="000000"/>
          <w:szCs w:val="22"/>
          <w:lang w:val="en-IN"/>
        </w:rPr>
        <w:t xml:space="preserve"> samples, we set options --mate-inner-dist to 0, --mate-std-dev to 80 and --library-type to fr-firststrand; whereas default settings were used for the mir200-OE in N2a samples. For mapping both datasets --GTF option with a gene annotation model from ensemble release 79</w:t>
      </w:r>
      <w:r w:rsidR="00EB15EF" w:rsidRPr="003425B9">
        <w:rPr>
          <w:rFonts w:ascii="Arial" w:hAnsi="Arial" w:cs="Arial"/>
          <w:color w:val="000000"/>
          <w:szCs w:val="22"/>
          <w:lang w:val="en-IN"/>
        </w:rPr>
        <w:t xml:space="preserve"> </w:t>
      </w:r>
      <w:r w:rsidR="00157958" w:rsidRPr="003425B9">
        <w:rPr>
          <w:rFonts w:ascii="Arial" w:hAnsi="Arial" w:cs="Arial"/>
          <w:color w:val="000000"/>
          <w:szCs w:val="22"/>
          <w:lang w:val="en-IN"/>
        </w:rPr>
        <w:fldChar w:fldCharType="begin"/>
      </w:r>
      <w:r w:rsidR="00EB15EF" w:rsidRPr="003425B9">
        <w:rPr>
          <w:rFonts w:ascii="Arial" w:hAnsi="Arial" w:cs="Arial"/>
          <w:color w:val="000000"/>
          <w:szCs w:val="22"/>
          <w:lang w:val="en-IN"/>
        </w:rPr>
        <w:instrText xml:space="preserve"> ADDIN ZOTERO_ITEM CSL_CITATION {"citationID":"LP8LdLj2","properties":{"formattedCitation":"[6]","plainCitation":"[6]","noteIndex":0},"citationItems":[{"id":1695,"uris":["http://zotero.org/users/1742798/items/D4XX58NG"],"uri":["http://zotero.org/users/1742798/items/D4XX58NG"],"itemData":{"id":1695,"type":"article-journal","title":"Ensembl 2016","container-title":"Nucleic Acids Research","page":"D710","volume":"44","issue":"D1","DOI":"10.1093/nar/gkv1157","author":[{"family":"Yates","given":"Andrew"},{"family":"Akanni","given":"Wasiu"},{"family":"Amode","given":"M. Ridwan"},{"family":"Barrell","given":"Daniel"},{"family":"Billis","given":"Konstantinos"},{"family":"Carvalho-Silva","given":"Denise"},{"family":"Cummins","given":"Carla"},{"family":"Clapham","given":"Peter"},{"family":"Fitzgerald","given":"Stephen"},{"family":"Gil","given":"Laurent"},{"family":"Girón","given":"Carlos García"},{"family":"Gordon","given":"Leo"},{"family":"Hourlier","given":"Thibaut"},{"family":"Hunt","given":"Sarah E."},{"family":"Janacek","given":"Sophie H."},{"family":"Johnson","given":"Nathan"},{"family":"Juettemann","given":"Thomas"},{"family":"Keenan","given":"Stephen"},{"family":"Lavidas","given":"Ilias"},{"family":"Martin","given":"Fergal J."},{"family":"Maurel","given":"Thomas"},{"family":"McLaren","given":"William"},{"family":"Murphy","given":"Daniel N."},{"family":"Nag","given":"Rishi"},{"family":"Nuhn","given":"Michael"},{"family":"Parker","given":"Anne"},{"family":"Patricio","given":"Mateus"},{"family":"Pignatelli","given":"Miguel"},{"family":"Rahtz","given":"Matthew"},{"family":"Riat","given":"Harpreet Singh"},{"family":"Sheppard","given":"Daniel"},{"family":"Taylor","given":"Kieron"},{"family":"Thormann","given":"Anja"},{"family":"Vullo","given":"Alessandro"},{"family":"Wilder","given":"Steven P."},{"family":"Zadissa","given":"Amonida"},{"family":"Birney","given":"Ewan"},{"family":"Harrow","given":"Jennifer"},{"family":"Muffato","given":"Matthieu"},{"family":"Perry","given":"Emily"},{"family":"Ruffier","given":"Magali"},{"family":"Spudich","given":"Giulietta"},{"family":"Trevanion","given":"Stephen J."},{"family":"Cunningham","given":"Fiona"},{"family":"Aken","given":"Bronwen L."},{"family":"Zerbino","given":"Daniel R."},{"family":"Flicek","given":"Paul"}],"issued":{"date-parts":[["2015"]]}}}],"schema":"https://github.com/citation-style-language/schema/raw/master/csl-citation.json"} </w:instrText>
      </w:r>
      <w:r w:rsidR="00157958" w:rsidRPr="003425B9">
        <w:rPr>
          <w:rFonts w:ascii="Arial" w:hAnsi="Arial" w:cs="Arial"/>
          <w:color w:val="000000"/>
          <w:szCs w:val="22"/>
          <w:lang w:val="en-IN"/>
        </w:rPr>
        <w:fldChar w:fldCharType="separate"/>
      </w:r>
      <w:r w:rsidR="00EB15EF" w:rsidRPr="003425B9">
        <w:rPr>
          <w:rFonts w:ascii="Arial" w:hAnsi="Arial" w:cs="Arial"/>
          <w:noProof/>
          <w:color w:val="000000"/>
          <w:szCs w:val="22"/>
          <w:lang w:val="en-IN"/>
        </w:rPr>
        <w:t>[6]</w:t>
      </w:r>
      <w:r w:rsidR="00157958" w:rsidRPr="003425B9">
        <w:rPr>
          <w:rFonts w:ascii="Arial" w:hAnsi="Arial" w:cs="Arial"/>
          <w:color w:val="000000"/>
          <w:szCs w:val="22"/>
          <w:lang w:val="en-IN"/>
        </w:rPr>
        <w:fldChar w:fldCharType="end"/>
      </w:r>
      <w:r w:rsidRPr="003425B9">
        <w:rPr>
          <w:rFonts w:ascii="Arial" w:hAnsi="Arial" w:cs="Arial"/>
          <w:color w:val="000000"/>
          <w:szCs w:val="22"/>
          <w:lang w:val="en-IN"/>
        </w:rPr>
        <w:t xml:space="preserve"> in gene transfer format were used. Later, htseq-count </w:t>
      </w:r>
      <w:r w:rsidR="00157958" w:rsidRPr="003425B9">
        <w:rPr>
          <w:rFonts w:ascii="Arial" w:hAnsi="Arial" w:cs="Arial"/>
          <w:color w:val="000000"/>
          <w:szCs w:val="22"/>
          <w:lang w:val="en-IN"/>
        </w:rPr>
        <w:fldChar w:fldCharType="begin"/>
      </w:r>
      <w:r w:rsidR="00EB15EF" w:rsidRPr="003425B9">
        <w:rPr>
          <w:rFonts w:ascii="Arial" w:hAnsi="Arial" w:cs="Arial"/>
          <w:color w:val="000000"/>
          <w:szCs w:val="22"/>
          <w:lang w:val="en-IN"/>
        </w:rPr>
        <w:instrText xml:space="preserve"> ADDIN ZOTERO_ITEM CSL_CITATION {"citationID":"wOszldqr","properties":{"formattedCitation":"[7]","plainCitation":"[7]","noteIndex":0},"citationItems":[{"id":1696,"uris":["http://zotero.org/users/1742798/items/2SMM5DNB"],"uri":["http://zotero.org/users/1742798/items/2SMM5DNB"],"itemData":{"id":1696,"type":"article-journal","title":"HTSeq—a Python framework to work with high-throughput sequencing data","container-title":"Bioinformatics","page":"166","volume":"31","issue":"2","DOI":"10.1093/bioinformatics/btu638","author":[{"family":"Anders","given":"Simon"},{"family":"Pyl","given":"Paul Theodor"},{"family":"Huber","given":"Wolfgang"}],"issued":{"date-parts":[["2014"]]}}}],"schema":"https://github.com/citation-style-language/schema/raw/master/csl-citation.json"} </w:instrText>
      </w:r>
      <w:r w:rsidR="00157958" w:rsidRPr="003425B9">
        <w:rPr>
          <w:rFonts w:ascii="Arial" w:hAnsi="Arial" w:cs="Arial"/>
          <w:color w:val="000000"/>
          <w:szCs w:val="22"/>
          <w:lang w:val="en-IN"/>
        </w:rPr>
        <w:fldChar w:fldCharType="separate"/>
      </w:r>
      <w:r w:rsidR="00EB15EF" w:rsidRPr="003425B9">
        <w:rPr>
          <w:rFonts w:ascii="Arial" w:hAnsi="Arial" w:cs="Arial"/>
          <w:noProof/>
          <w:color w:val="000000"/>
          <w:szCs w:val="22"/>
          <w:lang w:val="en-IN"/>
        </w:rPr>
        <w:t>[7]</w:t>
      </w:r>
      <w:r w:rsidR="00157958" w:rsidRPr="003425B9">
        <w:rPr>
          <w:rFonts w:ascii="Arial" w:hAnsi="Arial" w:cs="Arial"/>
          <w:color w:val="000000"/>
          <w:szCs w:val="22"/>
          <w:lang w:val="en-IN"/>
        </w:rPr>
        <w:fldChar w:fldCharType="end"/>
      </w:r>
      <w:r w:rsidRPr="003425B9">
        <w:rPr>
          <w:rFonts w:ascii="Arial" w:hAnsi="Arial" w:cs="Arial"/>
          <w:color w:val="000000"/>
          <w:szCs w:val="22"/>
          <w:lang w:val="en-IN"/>
        </w:rPr>
        <w:t xml:space="preserve"> was used to count the number of aligned reads per gene. For both datasets we set --mode to union and for </w:t>
      </w:r>
      <w:r w:rsidRPr="003425B9">
        <w:rPr>
          <w:rFonts w:ascii="Arial" w:hAnsi="Arial" w:cs="Arial"/>
          <w:i/>
          <w:color w:val="000000"/>
          <w:szCs w:val="22"/>
          <w:lang w:val="en-IN"/>
        </w:rPr>
        <w:t>Foxg1</w:t>
      </w:r>
      <w:r w:rsidRPr="003425B9">
        <w:rPr>
          <w:rFonts w:ascii="Arial" w:hAnsi="Arial" w:cs="Arial"/>
          <w:color w:val="000000"/>
          <w:szCs w:val="22"/>
          <w:vertAlign w:val="superscript"/>
          <w:lang w:val="en-IN"/>
        </w:rPr>
        <w:t>cre/+</w:t>
      </w:r>
      <w:r w:rsidRPr="003425B9">
        <w:rPr>
          <w:rFonts w:ascii="Arial" w:hAnsi="Arial" w:cs="Arial"/>
          <w:color w:val="000000"/>
          <w:szCs w:val="22"/>
          <w:lang w:val="en-IN"/>
        </w:rPr>
        <w:t xml:space="preserve"> datasets set --stranded to reverse. In the end, DESeq2 </w:t>
      </w:r>
      <w:r w:rsidR="00157958" w:rsidRPr="003425B9">
        <w:rPr>
          <w:rFonts w:ascii="Arial" w:hAnsi="Arial" w:cs="Arial"/>
          <w:color w:val="000000"/>
          <w:szCs w:val="22"/>
          <w:lang w:val="en-IN"/>
        </w:rPr>
        <w:fldChar w:fldCharType="begin"/>
      </w:r>
      <w:r w:rsidR="00EB15EF" w:rsidRPr="003425B9">
        <w:rPr>
          <w:rFonts w:ascii="Arial" w:hAnsi="Arial" w:cs="Arial"/>
          <w:color w:val="000000"/>
          <w:szCs w:val="22"/>
          <w:lang w:val="en-IN"/>
        </w:rPr>
        <w:instrText xml:space="preserve"> ADDIN ZOTERO_ITEM CSL_CITATION {"citationID":"dZHmotDR","properties":{"formattedCitation":"[8]","plainCitation":"[8]","noteIndex":0},"citationItems":[{"id":1697,"uris":["http://zotero.org/users/1742798/items/3Q4IGVZC"],"uri":["http://zotero.org/users/1742798/items/3Q4IGVZC"],"itemData":{"id":1697,"type":"article-journal","title":"Moderated estimation of fold change and dispersion for RNA-seq data with DESeq2","container-title":"Genome Biology","page":"550","volume":"15","issue":"12","abstract":"In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 .","DOI":"10.1186/s13059-014-0550-8","ISSN":"1474-760X","author":[{"family":"Love","given":"Michael I."},{"family":"Huber","given":"Wolfgang"},{"family":"Anders","given":"Simon"}],"issued":{"date-parts":[["2014"]]}},"locator":"201"}],"schema":"https://github.com/citation-style-language/schema/raw/master/csl-citation.json"} </w:instrText>
      </w:r>
      <w:r w:rsidR="00157958" w:rsidRPr="003425B9">
        <w:rPr>
          <w:rFonts w:ascii="Arial" w:hAnsi="Arial" w:cs="Arial"/>
          <w:color w:val="000000"/>
          <w:szCs w:val="22"/>
          <w:lang w:val="en-IN"/>
        </w:rPr>
        <w:fldChar w:fldCharType="separate"/>
      </w:r>
      <w:r w:rsidR="00EB15EF" w:rsidRPr="003425B9">
        <w:rPr>
          <w:rFonts w:ascii="Arial" w:hAnsi="Arial" w:cs="Arial"/>
          <w:noProof/>
          <w:color w:val="000000"/>
          <w:szCs w:val="22"/>
          <w:lang w:val="en-IN"/>
        </w:rPr>
        <w:t>[8]</w:t>
      </w:r>
      <w:r w:rsidR="00157958" w:rsidRPr="003425B9">
        <w:rPr>
          <w:rFonts w:ascii="Arial" w:hAnsi="Arial" w:cs="Arial"/>
          <w:color w:val="000000"/>
          <w:szCs w:val="22"/>
          <w:lang w:val="en-IN"/>
        </w:rPr>
        <w:fldChar w:fldCharType="end"/>
      </w:r>
      <w:r w:rsidRPr="003425B9">
        <w:rPr>
          <w:rFonts w:ascii="Arial" w:hAnsi="Arial" w:cs="Arial"/>
          <w:color w:val="000000"/>
          <w:szCs w:val="22"/>
          <w:lang w:val="en-IN"/>
        </w:rPr>
        <w:t xml:space="preserve"> was used for differential gene expression analysis. Adjusted </w:t>
      </w:r>
      <w:r w:rsidRPr="003425B9">
        <w:rPr>
          <w:rFonts w:ascii="Arial" w:hAnsi="Arial" w:cs="Arial"/>
          <w:i/>
          <w:color w:val="000000"/>
          <w:szCs w:val="22"/>
          <w:lang w:val="en-IN"/>
        </w:rPr>
        <w:t xml:space="preserve">p </w:t>
      </w:r>
      <w:r w:rsidRPr="003425B9">
        <w:rPr>
          <w:rFonts w:ascii="Arial" w:hAnsi="Arial" w:cs="Arial"/>
          <w:color w:val="000000"/>
          <w:szCs w:val="22"/>
          <w:lang w:val="en-IN"/>
        </w:rPr>
        <w:t>value of 0.05 or less as the significant threshold was chosen for differentially expressed genes.</w:t>
      </w:r>
    </w:p>
    <w:p w:rsidR="003E18E5" w:rsidRPr="003425B9" w:rsidRDefault="003E18E5" w:rsidP="003E18E5">
      <w:pPr>
        <w:spacing w:line="480" w:lineRule="auto"/>
        <w:jc w:val="both"/>
        <w:rPr>
          <w:rFonts w:ascii="Arial" w:hAnsi="Arial" w:cs="Arial"/>
          <w:color w:val="000000"/>
          <w:szCs w:val="22"/>
          <w:lang w:val="en-IN"/>
        </w:rPr>
      </w:pPr>
      <w:r w:rsidRPr="003425B9">
        <w:rPr>
          <w:rFonts w:ascii="Arial" w:hAnsi="Arial" w:cs="Arial"/>
          <w:color w:val="000000"/>
          <w:szCs w:val="22"/>
          <w:lang w:val="en-IN"/>
        </w:rPr>
        <w:t>Small RNA-Seq was performed on an Illumina HiSeq 2000 system. Small RNA libraries were prepared from 1 µg total RNA using the Illumina TruSeq Small RNA Sample Preparation kit. For processing of sequencing data a customized in-house software pipeline was used. Quality check and demultiplexing were performed using the CASAVA 1.8.2 software (Illumina). We trimmed the 3' adapters and filtered out the reads with the minimum length of 15 nucleotides using cutadapt. We first map the reads to the reference genome created from microRNA sequences. Remaining unmapped reads were then mapped to mouse genome. We used rna-STAR for all the mapping. We allowed no mismatches for the reads &lt;25b, one mismatch for reads between 26b to 33b. We mapped all the reads in the non-splice-junction-aware mode. For comparison of miRNA expression between samples, a differential expression analysis was performed using R, DESeq2 and RUVseq package. miRNAs were considered to be differentially expressed with an adjusted p-value below 0.05.</w:t>
      </w:r>
    </w:p>
    <w:p w:rsidR="003E18E5" w:rsidRPr="003425B9" w:rsidRDefault="003E18E5" w:rsidP="003E18E5">
      <w:pPr>
        <w:spacing w:line="480" w:lineRule="auto"/>
        <w:jc w:val="both"/>
        <w:rPr>
          <w:rFonts w:ascii="Arial" w:hAnsi="Arial" w:cs="Arial"/>
          <w:iCs/>
          <w:szCs w:val="22"/>
          <w:lang w:val="en-US"/>
        </w:rPr>
      </w:pPr>
      <w:r w:rsidRPr="003425B9">
        <w:rPr>
          <w:rFonts w:ascii="Arial" w:hAnsi="Arial" w:cs="Arial"/>
          <w:iCs/>
          <w:szCs w:val="22"/>
          <w:lang w:val="en-US"/>
        </w:rPr>
        <w:t xml:space="preserve">To identify putative binding sites of forkhead box binding sites, we downloaded all mouse FOX transcription factor binding profiles from JASPAR database </w:t>
      </w:r>
      <w:r w:rsidR="00157958" w:rsidRPr="003425B9">
        <w:rPr>
          <w:rFonts w:ascii="Arial" w:hAnsi="Arial" w:cs="Arial"/>
          <w:iCs/>
          <w:szCs w:val="22"/>
          <w:lang w:val="en-US"/>
        </w:rPr>
        <w:fldChar w:fldCharType="begin"/>
      </w:r>
      <w:r w:rsidR="00071DD6" w:rsidRPr="003425B9">
        <w:rPr>
          <w:rFonts w:ascii="Arial" w:hAnsi="Arial" w:cs="Arial"/>
          <w:iCs/>
          <w:szCs w:val="22"/>
          <w:lang w:val="en-US"/>
        </w:rPr>
        <w:instrText xml:space="preserve"> ADDIN ZOTERO_ITEM CSL_CITATION {"citationID":"D2zxA0yt","properties":{"formattedCitation":"[9]","plainCitation":"[9]","noteIndex":0},"citationItems":[{"id":2383,"uris":["http://zotero.org/users/1742798/items/7U8YECVU"],"uri":["http://zotero.org/users/1742798/items/7U8YECVU"],"itemData":{"id":2383,"type":"article-journal","title":"JASPAR 2016: a major expansion and update of the open-access database of transcription factor binding profiles","container-title":"Nucleic Acids Research","page":"D110-D115","volume":"44","issue":"D1","source":"academic.oup.com","abstract":"Abstract.  JASPAR (http://jaspar.genereg.net) is an open-access database storing curated, non-redundant transcription factor (TF) binding profiles representing","DOI":"10.1093/nar/gkv1176","ISSN":"0305-1048","shortTitle":"JASPAR 2016","journalAbbreviation":"Nucleic Acids Res","language":"en","author":[{"family":"Mathelier","given":"Anthony"},{"family":"Fornes","given":"Oriol"},{"family":"Arenillas","given":"David J."},{"family":"Chen","given":"Chih-yu"},{"family":"Denay","given":"Grégoire"},{"family":"Lee","given":"Jessica"},{"family":"Shi","given":"Wenqiang"},{"family":"Shyr","given":"Casper"},{"family":"Tan","given":"Ge"},{"family":"Worsley-Hunt","given":"Rebecca"},{"family":"Zhang","given":"Allen W."},{"family":"Parcy","given":"François"},{"family":"Lenhard","given":"Boris"},{"family":"Sandelin","given":"Albin"},{"family":"Wasserman","given":"Wyeth W."}],"issued":{"date-parts":[["2016",1,4]]}}}],"schema":"https://github.com/citation-style-language/schema/raw/master/csl-citation.json"} </w:instrText>
      </w:r>
      <w:r w:rsidR="00157958" w:rsidRPr="003425B9">
        <w:rPr>
          <w:rFonts w:ascii="Arial" w:hAnsi="Arial" w:cs="Arial"/>
          <w:iCs/>
          <w:szCs w:val="22"/>
          <w:lang w:val="en-US"/>
        </w:rPr>
        <w:fldChar w:fldCharType="separate"/>
      </w:r>
      <w:r w:rsidR="00071DD6" w:rsidRPr="003425B9">
        <w:rPr>
          <w:rFonts w:ascii="Arial" w:hAnsi="Arial" w:cs="Arial"/>
          <w:iCs/>
          <w:noProof/>
          <w:szCs w:val="22"/>
          <w:lang w:val="en-US"/>
        </w:rPr>
        <w:t>[9]</w:t>
      </w:r>
      <w:r w:rsidR="00157958" w:rsidRPr="003425B9">
        <w:rPr>
          <w:rFonts w:ascii="Arial" w:hAnsi="Arial" w:cs="Arial"/>
          <w:iCs/>
          <w:szCs w:val="22"/>
          <w:lang w:val="en-US"/>
        </w:rPr>
        <w:fldChar w:fldCharType="end"/>
      </w:r>
      <w:r w:rsidRPr="003425B9">
        <w:rPr>
          <w:rFonts w:ascii="Arial" w:hAnsi="Arial" w:cs="Arial"/>
          <w:iCs/>
          <w:szCs w:val="22"/>
          <w:lang w:val="en-US"/>
        </w:rPr>
        <w:t xml:space="preserve">. We subsequently used the tool FIMO </w:t>
      </w:r>
      <w:r w:rsidR="00157958" w:rsidRPr="003425B9">
        <w:rPr>
          <w:rFonts w:ascii="Arial" w:hAnsi="Arial" w:cs="Arial"/>
          <w:iCs/>
          <w:szCs w:val="22"/>
          <w:lang w:val="en-US"/>
        </w:rPr>
        <w:fldChar w:fldCharType="begin"/>
      </w:r>
      <w:r w:rsidR="00071DD6" w:rsidRPr="003425B9">
        <w:rPr>
          <w:rFonts w:ascii="Arial" w:hAnsi="Arial" w:cs="Arial"/>
          <w:iCs/>
          <w:szCs w:val="22"/>
          <w:lang w:val="en-US"/>
        </w:rPr>
        <w:instrText xml:space="preserve"> ADDIN ZOTERO_ITEM CSL_CITATION {"citationID":"dI2EEyty","properties":{"formattedCitation":"[10]","plainCitation":"[10]","noteIndex":0},"citationItems":[{"id":2368,"uris":["http://zotero.org/users/1742798/items/M496HANB"],"uri":["http://zotero.org/users/1742798/items/M496HANB"],"itemData":{"id":2368,"type":"article-journal","title":"FIMO: scanning for occurrences of a given motif","container-title":"Bioinformatics","page":"1017-1018","volume":"27","issue":"7","source":"academic.oup.com","abstract":"Abstract.  Summary: A motif is a short DNA or protein sequence that contributes to the biological function of the sequence in which it resides. Over the past se","DOI":"10.1093/bioinformatics/btr064","ISSN":"1367-4803","shortTitle":"FIMO","journalAbbreviation":"Bioinformatics","language":"en","author":[{"family":"Grant","given":"Charles E."},{"family":"Bailey","given":"Timothy L."},{"family":"Noble","given":"William Stafford"}],"issued":{"date-parts":[["2011",4,1]]}}}],"schema":"https://github.com/citation-style-language/schema/raw/master/csl-citation.json"} </w:instrText>
      </w:r>
      <w:r w:rsidR="00157958" w:rsidRPr="003425B9">
        <w:rPr>
          <w:rFonts w:ascii="Arial" w:hAnsi="Arial" w:cs="Arial"/>
          <w:iCs/>
          <w:szCs w:val="22"/>
          <w:lang w:val="en-US"/>
        </w:rPr>
        <w:fldChar w:fldCharType="separate"/>
      </w:r>
      <w:r w:rsidR="00071DD6" w:rsidRPr="003425B9">
        <w:rPr>
          <w:rFonts w:ascii="Arial" w:hAnsi="Arial" w:cs="Arial"/>
          <w:iCs/>
          <w:noProof/>
          <w:szCs w:val="22"/>
          <w:lang w:val="en-US"/>
        </w:rPr>
        <w:t>[10]</w:t>
      </w:r>
      <w:r w:rsidR="00157958" w:rsidRPr="003425B9">
        <w:rPr>
          <w:rFonts w:ascii="Arial" w:hAnsi="Arial" w:cs="Arial"/>
          <w:iCs/>
          <w:szCs w:val="22"/>
          <w:lang w:val="en-US"/>
        </w:rPr>
        <w:fldChar w:fldCharType="end"/>
      </w:r>
      <w:r w:rsidR="00071DD6" w:rsidRPr="003425B9">
        <w:rPr>
          <w:rStyle w:val="Kommentarzeichen"/>
          <w:rFonts w:ascii="Arial" w:hAnsi="Arial"/>
          <w:vanish/>
          <w:sz w:val="24"/>
        </w:rPr>
        <w:t xml:space="preserve"> </w:t>
      </w:r>
      <w:r w:rsidRPr="003425B9">
        <w:rPr>
          <w:rFonts w:ascii="Arial" w:hAnsi="Arial" w:cs="Arial"/>
          <w:iCs/>
          <w:szCs w:val="22"/>
          <w:lang w:val="en-US"/>
        </w:rPr>
        <w:t xml:space="preserve"> with default settings to search for the FOX motifs on 1000 bp upstream of the mir200b/a/429 gene cluster.</w:t>
      </w:r>
    </w:p>
    <w:p w:rsidR="003E18E5" w:rsidRPr="003425B9" w:rsidRDefault="003E18E5" w:rsidP="003E18E5">
      <w:pPr>
        <w:spacing w:line="480" w:lineRule="auto"/>
        <w:jc w:val="both"/>
        <w:rPr>
          <w:rFonts w:ascii="Arial" w:hAnsi="Arial" w:cs="Arial"/>
          <w:iCs/>
          <w:szCs w:val="22"/>
          <w:lang w:val="en-US"/>
        </w:rPr>
      </w:pPr>
      <w:r w:rsidRPr="003425B9">
        <w:rPr>
          <w:rFonts w:ascii="Arial" w:hAnsi="Arial" w:cs="Arial"/>
          <w:iCs/>
          <w:szCs w:val="22"/>
          <w:lang w:val="en-US"/>
        </w:rPr>
        <w:t xml:space="preserve">GO term and KEGG pathway analyses were performed with DAVID </w:t>
      </w:r>
      <w:r w:rsidR="00157958" w:rsidRPr="003425B9">
        <w:rPr>
          <w:rFonts w:ascii="Arial" w:hAnsi="Arial" w:cs="Arial"/>
          <w:iCs/>
          <w:szCs w:val="22"/>
          <w:lang w:val="en-US"/>
        </w:rPr>
        <w:fldChar w:fldCharType="begin"/>
      </w:r>
      <w:r w:rsidR="00071DD6" w:rsidRPr="003425B9">
        <w:rPr>
          <w:rFonts w:ascii="Arial" w:hAnsi="Arial" w:cs="Arial"/>
          <w:iCs/>
          <w:szCs w:val="22"/>
          <w:lang w:val="en-US"/>
        </w:rPr>
        <w:instrText xml:space="preserve"> ADDIN ZOTERO_ITEM CSL_CITATION {"citationID":"QJLAPLYX","properties":{"formattedCitation":"[11, 12]","plainCitation":"[11, 12]","noteIndex":0},"citationItems":[{"id":2374,"uris":["http://zotero.org/users/1742798/items/U9BW2NJA"],"uri":["http://zotero.org/users/1742798/items/U9BW2NJA"],"itemData":{"id":2374,"type":"article-journal","title":"Bioinformatics enrichment tools: paths toward the comprehensive functional analysis of large gene lists","container-title":"Nucleic Acids Research","page":"1-13","volume":"37","issue":"1","source":"academic.oup.com","abstract":"Abstract.  Functional analysis of large gene lists, derived in most cases from emerging high-throughput genomic, proteomic and bioinformatics scanning approache","DOI":"10.1093/nar/gkn923","ISSN":"0305-1048","shortTitle":"Bioinformatics enrichment tools","journalAbbreviation":"Nucleic Acids Res","language":"en","author":[{"family":"Huang","given":"Da Wei"},{"family":"Sherman","given":"Brad T."},{"family":"Lempicki","given":"Richard A."}],"issued":{"date-parts":[["2009",1,1]]}}},{"id":2377,"uris":["http://zotero.org/users/1742798/items/JZDUMZB3"],"uri":["http://zotero.org/users/1742798/items/JZDUMZB3"],"itemData":{"id":2377,"type":"article-journal","title":"Systematic and integrative analysis of large gene lists using DAVID bioinformatics resources","container-title":"Nature Protocols","page":"44-57","volume":"4","issue":"1","source":"www.nature.com","abstract":"DAVID bioinformatics resources consists of an integrated biological knowledgebase and analytic tools aimed at systematically extracting biological meaning from large gene/protein lists. This protocol explains how to use DAVID, a high-throughput and integrated data-mining environment, to analyze gene lists derived from high-throughput genomic experiments. The procedure first requires uploading a gene list containing any number of common gene identifiers followed by analysis using one or more text and pathway-mining tools such as gene functional classification, functional annotation chart or clustering and functional annotation table. By following this protocol, investigators are able to gain an in-depth understanding of the biological themes in lists of genes that are enriched in genome-scale studies.","DOI":"10.1038/nprot.2008.211","ISSN":"1750-2799","language":"en","author":[{"family":"Huang","given":"Da Wei"},{"family":"Sherman","given":"Brad T."},{"family":"Lempicki","given":"Richard A."}],"issued":{"date-parts":[["2009",1]]}}}],"schema":"https://github.com/citation-style-language/schema/raw/master/csl-citation.json"} </w:instrText>
      </w:r>
      <w:r w:rsidR="00157958" w:rsidRPr="003425B9">
        <w:rPr>
          <w:rFonts w:ascii="Arial" w:hAnsi="Arial" w:cs="Arial"/>
          <w:iCs/>
          <w:szCs w:val="22"/>
          <w:lang w:val="en-US"/>
        </w:rPr>
        <w:fldChar w:fldCharType="separate"/>
      </w:r>
      <w:r w:rsidR="00071DD6" w:rsidRPr="003425B9">
        <w:rPr>
          <w:rFonts w:ascii="Arial" w:hAnsi="Arial" w:cs="Arial"/>
          <w:iCs/>
          <w:noProof/>
          <w:szCs w:val="22"/>
          <w:lang w:val="en-US"/>
        </w:rPr>
        <w:t>[11, 12]</w:t>
      </w:r>
      <w:r w:rsidR="00157958" w:rsidRPr="003425B9">
        <w:rPr>
          <w:rFonts w:ascii="Arial" w:hAnsi="Arial" w:cs="Arial"/>
          <w:iCs/>
          <w:szCs w:val="22"/>
          <w:lang w:val="en-US"/>
        </w:rPr>
        <w:fldChar w:fldCharType="end"/>
      </w:r>
      <w:r w:rsidRPr="003425B9">
        <w:rPr>
          <w:rFonts w:ascii="Arial" w:hAnsi="Arial" w:cs="Arial"/>
          <w:iCs/>
          <w:szCs w:val="22"/>
          <w:lang w:val="en-US"/>
        </w:rPr>
        <w:t xml:space="preserve">. The 34 overlapping genes from miR200-overexpression and </w:t>
      </w:r>
      <w:r w:rsidRPr="003425B9">
        <w:rPr>
          <w:rFonts w:ascii="Arial" w:hAnsi="Arial" w:cs="Arial"/>
          <w:i/>
          <w:iCs/>
          <w:szCs w:val="22"/>
          <w:lang w:val="en-US"/>
        </w:rPr>
        <w:t>Foxg1</w:t>
      </w:r>
      <w:r w:rsidRPr="003425B9">
        <w:rPr>
          <w:rFonts w:ascii="Arial" w:hAnsi="Arial" w:cs="Arial"/>
          <w:i/>
          <w:iCs/>
          <w:szCs w:val="22"/>
          <w:vertAlign w:val="superscript"/>
          <w:lang w:val="en-US"/>
        </w:rPr>
        <w:t>cre/+</w:t>
      </w:r>
      <w:r w:rsidRPr="003425B9">
        <w:rPr>
          <w:rFonts w:ascii="Arial" w:hAnsi="Arial" w:cs="Arial"/>
          <w:iCs/>
          <w:szCs w:val="22"/>
          <w:lang w:val="en-US"/>
        </w:rPr>
        <w:t xml:space="preserve"> RNA-Seq were used for GO term analyses for biological processes and cellular compartments using the ''official gene names’’ and "mus musculus" as species. To identify miR200 targets among the 34 targets, the following miRNA target prediction tools were used: Targetscan v6.2 </w:t>
      </w:r>
      <w:r w:rsidR="00157958" w:rsidRPr="003425B9">
        <w:rPr>
          <w:rFonts w:ascii="Arial" w:hAnsi="Arial" w:cs="Arial"/>
          <w:iCs/>
          <w:szCs w:val="22"/>
          <w:lang w:val="en-US"/>
        </w:rPr>
        <w:fldChar w:fldCharType="begin"/>
      </w:r>
      <w:r w:rsidR="00071DD6" w:rsidRPr="003425B9">
        <w:rPr>
          <w:rFonts w:ascii="Arial" w:hAnsi="Arial" w:cs="Arial"/>
          <w:iCs/>
          <w:szCs w:val="22"/>
          <w:lang w:val="en-US"/>
        </w:rPr>
        <w:instrText xml:space="preserve"> ADDIN ZOTERO_ITEM CSL_CITATION {"citationID":"ax4F7gm3","properties":{"formattedCitation":"[13]","plainCitation":"[13]","noteIndex":0},"citationItems":[{"id":2379,"uris":["http://zotero.org/users/1742798/items/Q73ALHHS"],"uri":["http://zotero.org/users/1742798/items/Q73ALHHS"],"itemData":{"id":2379,"type":"article-journal","title":"Prediction of Mammalian MicroRNA Targets","container-title":"Cell","page":"787-798","volume":"115","issue":"7","source":"www.cell.com","DOI":"10.1016/S0092-8674(03)01018-3","ISSN":"0092-8674, 1097-4172","note":"PMID: 14697198","journalAbbreviation":"Cell","language":"English","author":[{"family":"Lewis","given":"Benjamin P."},{"family":"Shih","given":"I.-hung"},{"family":"Jones-Rhoades","given":"Matthew W."},{"family":"Bartel","given":"David P."},{"family":"Burge","given":"Christopher B."}],"issued":{"date-parts":[["2003",12,26]]}}}],"schema":"https://github.com/citation-style-language/schema/raw/master/csl-citation.json"} </w:instrText>
      </w:r>
      <w:r w:rsidR="00157958" w:rsidRPr="003425B9">
        <w:rPr>
          <w:rFonts w:ascii="Arial" w:hAnsi="Arial" w:cs="Arial"/>
          <w:iCs/>
          <w:szCs w:val="22"/>
          <w:lang w:val="en-US"/>
        </w:rPr>
        <w:fldChar w:fldCharType="separate"/>
      </w:r>
      <w:r w:rsidR="00071DD6" w:rsidRPr="003425B9">
        <w:rPr>
          <w:rFonts w:ascii="Arial" w:hAnsi="Arial" w:cs="Arial"/>
          <w:iCs/>
          <w:noProof/>
          <w:szCs w:val="22"/>
          <w:lang w:val="en-US"/>
        </w:rPr>
        <w:t>[13]</w:t>
      </w:r>
      <w:r w:rsidR="00157958" w:rsidRPr="003425B9">
        <w:rPr>
          <w:rFonts w:ascii="Arial" w:hAnsi="Arial" w:cs="Arial"/>
          <w:iCs/>
          <w:szCs w:val="22"/>
          <w:lang w:val="en-US"/>
        </w:rPr>
        <w:fldChar w:fldCharType="end"/>
      </w:r>
      <w:r w:rsidRPr="003425B9">
        <w:rPr>
          <w:rFonts w:ascii="Arial" w:hAnsi="Arial" w:cs="Arial"/>
          <w:iCs/>
          <w:szCs w:val="22"/>
          <w:lang w:val="en-US"/>
        </w:rPr>
        <w:t xml:space="preserve">, miRanda </w:t>
      </w:r>
      <w:r w:rsidR="00157958" w:rsidRPr="003425B9">
        <w:rPr>
          <w:rFonts w:ascii="Arial" w:hAnsi="Arial" w:cs="Arial"/>
          <w:iCs/>
          <w:szCs w:val="22"/>
          <w:lang w:val="en-US"/>
        </w:rPr>
        <w:fldChar w:fldCharType="begin"/>
      </w:r>
      <w:r w:rsidR="00071DD6" w:rsidRPr="003425B9">
        <w:rPr>
          <w:rFonts w:ascii="Arial" w:hAnsi="Arial" w:cs="Arial"/>
          <w:iCs/>
          <w:szCs w:val="22"/>
          <w:lang w:val="en-US"/>
        </w:rPr>
        <w:instrText xml:space="preserve"> ADDIN ZOTERO_ITEM CSL_CITATION {"citationID":"ZVE4Cir2","properties":{"formattedCitation":"[14]","plainCitation":"[14]","noteIndex":0},"citationItems":[{"id":2365,"uris":["http://zotero.org/users/1742798/items/2EHFNZKY"],"uri":["http://zotero.org/users/1742798/items/2EHFNZKY"],"itemData":{"id":2365,"type":"article-journal","title":"The microRNA.org resource: targets and expression","container-title":"Nucleic Acids Research","page":"D149-D153","volume":"36","issue":"suppl_1","source":"academic.oup.com","abstract":"Abstract.   MicroRNA.org ( http://www.microrna.org ) is a comprehensive resource of microRNA target predictions and expression profiles. Target predictions are","DOI":"10.1093/nar/gkm995","ISSN":"0305-1048","shortTitle":"The microRNA.org resource","journalAbbreviation":"Nucleic Acids Res","language":"en","author":[{"family":"Betel","given":"Doron"},{"family":"Wilson","given":"Manda"},{"family":"Gabow","given":"Aaron"},{"family":"Marks","given":"Debora S."},{"family":"Sander","given":"Chris"}],"issued":{"date-parts":[["2008",1,1]]}}}],"schema":"https://github.com/citation-style-language/schema/raw/master/csl-citation.json"} </w:instrText>
      </w:r>
      <w:r w:rsidR="00157958" w:rsidRPr="003425B9">
        <w:rPr>
          <w:rFonts w:ascii="Arial" w:hAnsi="Arial" w:cs="Arial"/>
          <w:iCs/>
          <w:szCs w:val="22"/>
          <w:lang w:val="en-US"/>
        </w:rPr>
        <w:fldChar w:fldCharType="separate"/>
      </w:r>
      <w:r w:rsidR="00071DD6" w:rsidRPr="003425B9">
        <w:rPr>
          <w:rFonts w:ascii="Arial" w:hAnsi="Arial" w:cs="Arial"/>
          <w:iCs/>
          <w:noProof/>
          <w:szCs w:val="22"/>
          <w:lang w:val="en-US"/>
        </w:rPr>
        <w:t>[14]</w:t>
      </w:r>
      <w:r w:rsidR="00157958" w:rsidRPr="003425B9">
        <w:rPr>
          <w:rFonts w:ascii="Arial" w:hAnsi="Arial" w:cs="Arial"/>
          <w:iCs/>
          <w:szCs w:val="22"/>
          <w:lang w:val="en-US"/>
        </w:rPr>
        <w:fldChar w:fldCharType="end"/>
      </w:r>
      <w:r w:rsidRPr="003425B9">
        <w:rPr>
          <w:rFonts w:ascii="Arial" w:hAnsi="Arial" w:cs="Arial"/>
          <w:iCs/>
          <w:szCs w:val="22"/>
          <w:lang w:val="en-US"/>
        </w:rPr>
        <w:t xml:space="preserve">, miRDB </w:t>
      </w:r>
      <w:r w:rsidR="00157958" w:rsidRPr="003425B9">
        <w:rPr>
          <w:rFonts w:ascii="Arial" w:hAnsi="Arial" w:cs="Arial"/>
          <w:iCs/>
          <w:szCs w:val="22"/>
          <w:lang w:val="en-US"/>
        </w:rPr>
        <w:fldChar w:fldCharType="begin"/>
      </w:r>
      <w:r w:rsidR="00071DD6" w:rsidRPr="003425B9">
        <w:rPr>
          <w:rFonts w:ascii="Arial" w:hAnsi="Arial" w:cs="Arial"/>
          <w:iCs/>
          <w:szCs w:val="22"/>
          <w:lang w:val="en-US"/>
        </w:rPr>
        <w:instrText xml:space="preserve"> ADDIN ZOTERO_ITEM CSL_CITATION {"citationID":"Wu3972uy","properties":{"formattedCitation":"[15]","plainCitation":"[15]","noteIndex":0},"citationItems":[{"id":2386,"uris":["http://zotero.org/users/1742798/items/ZURWKFQ8"],"uri":["http://zotero.org/users/1742798/items/ZURWKFQ8"],"itemData":{"id":2386,"type":"article-journal","title":"miRDB: an online resource for microRNA target prediction and functional annotations","container-title":"Nucleic Acids Research","page":"D146-D152","volume":"43","issue":"D1","source":"academic.oup.com","abstract":"Abstract.  MicroRNAs (miRNAs) are small non-coding RNAs that are extensively involved in many physiological and disease processes. One major challenge in miRNA","DOI":"10.1093/nar/gku1104","ISSN":"0305-1048","shortTitle":"miRDB","journalAbbreviation":"Nucleic Acids Res","language":"en","author":[{"family":"Wong","given":"Nathan"},{"family":"Wang","given":"Xiaowei"}],"issued":{"date-parts":[["2015",1,28]]}}}],"schema":"https://github.com/citation-style-language/schema/raw/master/csl-citation.json"} </w:instrText>
      </w:r>
      <w:r w:rsidR="00157958" w:rsidRPr="003425B9">
        <w:rPr>
          <w:rFonts w:ascii="Arial" w:hAnsi="Arial" w:cs="Arial"/>
          <w:iCs/>
          <w:szCs w:val="22"/>
          <w:lang w:val="en-US"/>
        </w:rPr>
        <w:fldChar w:fldCharType="separate"/>
      </w:r>
      <w:r w:rsidR="00071DD6" w:rsidRPr="003425B9">
        <w:rPr>
          <w:rFonts w:ascii="Arial" w:hAnsi="Arial" w:cs="Arial"/>
          <w:iCs/>
          <w:noProof/>
          <w:szCs w:val="22"/>
          <w:lang w:val="en-US"/>
        </w:rPr>
        <w:t>[15]</w:t>
      </w:r>
      <w:r w:rsidR="00157958" w:rsidRPr="003425B9">
        <w:rPr>
          <w:rFonts w:ascii="Arial" w:hAnsi="Arial" w:cs="Arial"/>
          <w:iCs/>
          <w:szCs w:val="22"/>
          <w:lang w:val="en-US"/>
        </w:rPr>
        <w:fldChar w:fldCharType="end"/>
      </w:r>
      <w:r w:rsidRPr="003425B9">
        <w:rPr>
          <w:rFonts w:ascii="Arial" w:hAnsi="Arial" w:cs="Arial"/>
          <w:iCs/>
          <w:szCs w:val="22"/>
          <w:lang w:val="en-US"/>
        </w:rPr>
        <w:t xml:space="preserve">, MicroCosm v5 </w:t>
      </w:r>
      <w:r w:rsidR="00157958" w:rsidRPr="003425B9">
        <w:rPr>
          <w:rFonts w:ascii="Arial" w:hAnsi="Arial" w:cs="Arial"/>
          <w:iCs/>
          <w:szCs w:val="22"/>
          <w:lang w:val="en-US"/>
        </w:rPr>
        <w:fldChar w:fldCharType="begin"/>
      </w:r>
      <w:r w:rsidR="00071DD6" w:rsidRPr="003425B9">
        <w:rPr>
          <w:rFonts w:ascii="Arial" w:hAnsi="Arial" w:cs="Arial"/>
          <w:iCs/>
          <w:szCs w:val="22"/>
          <w:lang w:val="en-US"/>
        </w:rPr>
        <w:instrText xml:space="preserve"> ADDIN ZOTERO_ITEM CSL_CITATION {"citationID":"dRVVubKC","properties":{"formattedCitation":"[16]","plainCitation":"[16]","noteIndex":0},"citationItems":[{"id":2371,"uris":["http://zotero.org/users/1742798/items/9C7VSX7V"],"uri":["http://zotero.org/users/1742798/items/9C7VSX7V"],"itemData":{"id":2371,"type":"article-journal","title":"miRBase: tools for microRNA genomics","container-title":"Nucleic Acids Research","page":"D154-D158","volume":"36","issue":"suppl_1","source":"academic.oup.com","abstract":"Abstract.   miRBase is the central online repository for microRNA (miRNA) nomenclature, sequence data, annotation and target prediction. The current release (10","DOI":"10.1093/nar/gkm952","ISSN":"0305-1048","shortTitle":"miRBase","journalAbbreviation":"Nucleic Acids Res","language":"en","author":[{"family":"Griffiths-Jones","given":"Sam"},{"family":"Saini","given":"Harpreet Kaur"},{"family":"Dongen","given":"Stijn","non-dropping-particle":"van"},{"family":"Enright","given":"Anton J."}],"issued":{"date-parts":[["2008",1,1]]}}}],"schema":"https://github.com/citation-style-language/schema/raw/master/csl-citation.json"} </w:instrText>
      </w:r>
      <w:r w:rsidR="00157958" w:rsidRPr="003425B9">
        <w:rPr>
          <w:rFonts w:ascii="Arial" w:hAnsi="Arial" w:cs="Arial"/>
          <w:iCs/>
          <w:szCs w:val="22"/>
          <w:lang w:val="en-US"/>
        </w:rPr>
        <w:fldChar w:fldCharType="separate"/>
      </w:r>
      <w:r w:rsidR="00071DD6" w:rsidRPr="003425B9">
        <w:rPr>
          <w:rFonts w:ascii="Arial" w:hAnsi="Arial" w:cs="Arial"/>
          <w:iCs/>
          <w:noProof/>
          <w:szCs w:val="22"/>
          <w:lang w:val="en-US"/>
        </w:rPr>
        <w:t>[16]</w:t>
      </w:r>
      <w:r w:rsidR="00157958" w:rsidRPr="003425B9">
        <w:rPr>
          <w:rFonts w:ascii="Arial" w:hAnsi="Arial" w:cs="Arial"/>
          <w:iCs/>
          <w:szCs w:val="22"/>
          <w:lang w:val="en-US"/>
        </w:rPr>
        <w:fldChar w:fldCharType="end"/>
      </w:r>
      <w:r w:rsidR="00071DD6" w:rsidRPr="003425B9">
        <w:rPr>
          <w:rStyle w:val="Kommentarzeichen"/>
          <w:rFonts w:ascii="Arial" w:hAnsi="Arial"/>
          <w:vanish/>
          <w:sz w:val="24"/>
        </w:rPr>
        <w:t xml:space="preserve"> </w:t>
      </w:r>
      <w:r w:rsidRPr="003425B9">
        <w:rPr>
          <w:rFonts w:ascii="Arial" w:hAnsi="Arial" w:cs="Arial"/>
          <w:iCs/>
          <w:szCs w:val="22"/>
          <w:lang w:val="en-US"/>
        </w:rPr>
        <w:t xml:space="preserve">.  </w:t>
      </w:r>
    </w:p>
    <w:p w:rsidR="003E18E5" w:rsidRPr="003425B9" w:rsidRDefault="003E18E5" w:rsidP="00AB58B4">
      <w:pPr>
        <w:spacing w:line="480" w:lineRule="auto"/>
        <w:jc w:val="both"/>
        <w:rPr>
          <w:rFonts w:ascii="Arial" w:hAnsi="Arial" w:cs="Arial"/>
          <w:b/>
          <w:i/>
          <w:iCs/>
          <w:szCs w:val="22"/>
          <w:lang w:val="en-IN"/>
        </w:rPr>
      </w:pPr>
    </w:p>
    <w:p w:rsidR="003E18E5" w:rsidRPr="003425B9" w:rsidRDefault="003E18E5" w:rsidP="003E18E5">
      <w:pPr>
        <w:spacing w:line="480" w:lineRule="auto"/>
        <w:jc w:val="both"/>
        <w:rPr>
          <w:rFonts w:ascii="Arial" w:hAnsi="Arial" w:cs="Arial"/>
          <w:b/>
          <w:i/>
        </w:rPr>
      </w:pPr>
      <w:r w:rsidRPr="003425B9">
        <w:rPr>
          <w:rFonts w:ascii="Arial" w:hAnsi="Arial" w:cs="Arial"/>
          <w:b/>
          <w:i/>
        </w:rPr>
        <w:t>Luciferase Assay</w:t>
      </w:r>
    </w:p>
    <w:p w:rsidR="003E18E5" w:rsidRPr="003425B9" w:rsidRDefault="003E18E5" w:rsidP="003E18E5">
      <w:pPr>
        <w:spacing w:line="480" w:lineRule="auto"/>
        <w:jc w:val="both"/>
        <w:rPr>
          <w:rFonts w:ascii="Arial" w:hAnsi="Arial" w:cs="Arial"/>
        </w:rPr>
      </w:pPr>
      <w:r w:rsidRPr="003425B9">
        <w:rPr>
          <w:rFonts w:ascii="Arial" w:hAnsi="Arial" w:cs="Arial"/>
        </w:rPr>
        <w:t>N2a cells were transfected with pmiRGlo-miR200b/a/429 for DROSHA activity assay or with pmiRGlo-Prkar2b-3’UTR-short</w:t>
      </w:r>
      <w:r w:rsidRPr="003425B9">
        <w:rPr>
          <w:rFonts w:ascii="Arial" w:hAnsi="Arial" w:cs="Arial"/>
          <w:i/>
        </w:rPr>
        <w:t>,</w:t>
      </w:r>
      <w:r w:rsidRPr="003425B9">
        <w:rPr>
          <w:rFonts w:ascii="Arial" w:hAnsi="Arial" w:cs="Arial"/>
        </w:rPr>
        <w:t xml:space="preserve"> pmiRGlo-Prkar2b-3’UTR-Invert</w:t>
      </w:r>
      <w:r w:rsidRPr="003425B9">
        <w:rPr>
          <w:rFonts w:ascii="Arial" w:hAnsi="Arial" w:cs="Arial"/>
          <w:i/>
        </w:rPr>
        <w:t xml:space="preserve"> </w:t>
      </w:r>
      <w:r w:rsidRPr="003425B9">
        <w:rPr>
          <w:rFonts w:ascii="Arial" w:hAnsi="Arial" w:cs="Arial"/>
        </w:rPr>
        <w:t>or</w:t>
      </w:r>
      <w:r w:rsidRPr="003425B9">
        <w:rPr>
          <w:rFonts w:ascii="Arial" w:hAnsi="Arial" w:cs="Arial"/>
          <w:i/>
        </w:rPr>
        <w:t xml:space="preserve"> </w:t>
      </w:r>
      <w:r w:rsidRPr="003425B9">
        <w:rPr>
          <w:rFonts w:ascii="Arial" w:hAnsi="Arial" w:cs="Arial"/>
        </w:rPr>
        <w:t>pmiRGlo-Prkar2b-3’UTR-T</w:t>
      </w:r>
      <w:r w:rsidRPr="003425B9">
        <w:rPr>
          <w:rFonts w:ascii="Arial" w:hAnsi="Arial" w:cs="Arial"/>
          <w:vertAlign w:val="subscript"/>
        </w:rPr>
        <w:t>7</w:t>
      </w:r>
      <w:r w:rsidRPr="003425B9">
        <w:rPr>
          <w:rFonts w:ascii="Arial" w:hAnsi="Arial" w:cs="Arial"/>
        </w:rPr>
        <w:t xml:space="preserve"> for miR200 target validation experiment. </w:t>
      </w:r>
      <w:r w:rsidRPr="003425B9">
        <w:rPr>
          <w:rFonts w:ascii="Arial" w:hAnsi="Arial" w:cs="Arial"/>
          <w:color w:val="000000" w:themeColor="text1"/>
        </w:rPr>
        <w:t xml:space="preserve">For FOXG1 activity on </w:t>
      </w:r>
      <w:r w:rsidRPr="003425B9">
        <w:rPr>
          <w:rFonts w:ascii="Arial" w:hAnsi="Arial" w:cs="Arial"/>
          <w:i/>
          <w:color w:val="000000" w:themeColor="text1"/>
        </w:rPr>
        <w:t>Prkar2b</w:t>
      </w:r>
      <w:r w:rsidRPr="003425B9">
        <w:rPr>
          <w:rFonts w:ascii="Arial" w:hAnsi="Arial" w:cs="Arial"/>
          <w:color w:val="000000" w:themeColor="text1"/>
        </w:rPr>
        <w:t xml:space="preserve"> promoter we used the plasmids </w:t>
      </w:r>
      <w:r w:rsidRPr="003425B9">
        <w:rPr>
          <w:rFonts w:ascii="Arial" w:eastAsia="Times New Roman" w:hAnsi="Arial" w:cs="Arial"/>
          <w:color w:val="000000" w:themeColor="text1"/>
          <w:szCs w:val="22"/>
          <w:shd w:val="clear" w:color="auto" w:fill="FFFFFF"/>
        </w:rPr>
        <w:t>pmirGlo-5’-MCS-empty</w:t>
      </w:r>
      <w:r w:rsidRPr="003425B9">
        <w:rPr>
          <w:rFonts w:ascii="Arial" w:eastAsia="Times New Roman" w:hAnsi="Arial" w:cs="Arial"/>
          <w:color w:val="000000" w:themeColor="text1"/>
          <w:szCs w:val="22"/>
        </w:rPr>
        <w:br/>
      </w:r>
      <w:r w:rsidRPr="003425B9">
        <w:rPr>
          <w:rFonts w:ascii="Arial" w:hAnsi="Arial" w:cs="Arial"/>
          <w:color w:val="000000" w:themeColor="text1"/>
        </w:rPr>
        <w:t xml:space="preserve"> and </w:t>
      </w:r>
      <w:r w:rsidRPr="003425B9">
        <w:rPr>
          <w:rFonts w:ascii="Arial" w:eastAsia="Times New Roman" w:hAnsi="Arial" w:cs="Arial"/>
          <w:color w:val="000000" w:themeColor="text1"/>
          <w:szCs w:val="22"/>
          <w:shd w:val="clear" w:color="auto" w:fill="FFFFFF"/>
        </w:rPr>
        <w:t>pmirGlo-5’-MCS-Prkar2b-5’-region.</w:t>
      </w:r>
      <w:r w:rsidRPr="003425B9">
        <w:rPr>
          <w:rFonts w:ascii="Arial" w:hAnsi="Arial" w:cs="Arial"/>
          <w:color w:val="000000" w:themeColor="text1"/>
        </w:rPr>
        <w:t xml:space="preserve"> Cells were harvested 48 h after transfection with 1X Passive Lysis Buffer (Promega). The luciferase assay was performed </w:t>
      </w:r>
      <w:r w:rsidRPr="003425B9">
        <w:rPr>
          <w:rFonts w:ascii="Arial" w:hAnsi="Arial" w:cs="Arial"/>
        </w:rPr>
        <w:t>with the Dual Luciferase System Kit (Promega) according to manufacturer’s instructions. Shortly, 5 µl cell lysate was first incubated with LARII as substrate for firefly luciferase followed by Stop&amp;Glo to inhibit firefly luciferase activity and as a substrate for the renilla luciferase. Luminescence intensity was measured with a 2 s delay for 10 s, with the Glomax96 luminometer. Firefly luciferase activity was normalized to renilla luciferase activity to calculate relative luciferase activity of each condition.</w:t>
      </w:r>
    </w:p>
    <w:p w:rsidR="00AB58B4" w:rsidRPr="003425B9" w:rsidRDefault="00AB58B4" w:rsidP="00AB58B4">
      <w:pPr>
        <w:spacing w:line="480" w:lineRule="auto"/>
        <w:jc w:val="both"/>
        <w:rPr>
          <w:rFonts w:ascii="Arial" w:hAnsi="Arial" w:cs="Arial"/>
          <w:b/>
          <w:i/>
          <w:iCs/>
          <w:szCs w:val="22"/>
          <w:lang w:val="en-US"/>
        </w:rPr>
      </w:pPr>
    </w:p>
    <w:p w:rsidR="00AB58B4" w:rsidRPr="003425B9" w:rsidRDefault="00AB58B4" w:rsidP="00AB58B4">
      <w:pPr>
        <w:spacing w:line="480" w:lineRule="auto"/>
        <w:jc w:val="both"/>
        <w:rPr>
          <w:rFonts w:ascii="Arial" w:hAnsi="Arial" w:cs="Arial"/>
          <w:b/>
          <w:i/>
          <w:iCs/>
          <w:szCs w:val="22"/>
          <w:lang w:val="en-US"/>
        </w:rPr>
      </w:pPr>
      <w:r w:rsidRPr="003425B9">
        <w:rPr>
          <w:rFonts w:ascii="Arial" w:hAnsi="Arial" w:cs="Arial"/>
          <w:b/>
          <w:i/>
          <w:iCs/>
          <w:szCs w:val="22"/>
          <w:lang w:val="en-US"/>
        </w:rPr>
        <w:t>SILAC and mass spectrometry</w:t>
      </w:r>
    </w:p>
    <w:p w:rsidR="00AB58B4" w:rsidRPr="003425B9" w:rsidRDefault="00AB58B4" w:rsidP="00AB58B4">
      <w:pPr>
        <w:spacing w:line="480" w:lineRule="auto"/>
        <w:jc w:val="both"/>
        <w:rPr>
          <w:rFonts w:ascii="Arial" w:hAnsi="Arial"/>
          <w:lang w:val="en-GB"/>
        </w:rPr>
      </w:pPr>
      <w:r w:rsidRPr="003425B9">
        <w:rPr>
          <w:rFonts w:ascii="Arial" w:hAnsi="Arial"/>
          <w:lang w:val="en-GB"/>
        </w:rPr>
        <w:t xml:space="preserve">For HA-co-IP, one 6-well plate with 250000 cells per well were transfected either with pLenti3-Foxg1-HA-T2A-eGFP (abmGood, Canada) or pLenti3-Foxg1-Au1-T2A-eGFP. Cells were lysed in co-IP buffer (100 mM NaCl, 20 mM Tris, 1 mM EDTA, 0.5% NP40-alternative, pH7.4) </w:t>
      </w:r>
      <w:r w:rsidRPr="003425B9">
        <w:rPr>
          <w:rFonts w:ascii="Arial" w:hAnsi="Arial" w:cs="Arial"/>
          <w:szCs w:val="22"/>
          <w:lang w:val="en-US"/>
        </w:rPr>
        <w:t xml:space="preserve">supplemented with protease inhibitor (cOmplete Protease Inhibitor Cocktail, </w:t>
      </w:r>
      <w:r w:rsidRPr="003425B9">
        <w:rPr>
          <w:rFonts w:ascii="Arial" w:hAnsi="Arial"/>
          <w:lang w:val="en-GB"/>
        </w:rPr>
        <w:t>Roche-Diagnostics, Mannheim, Germany</w:t>
      </w:r>
      <w:r w:rsidRPr="003425B9">
        <w:rPr>
          <w:rFonts w:ascii="Arial" w:hAnsi="Arial" w:cs="Arial"/>
          <w:szCs w:val="22"/>
          <w:lang w:val="en-US"/>
        </w:rPr>
        <w:t>).</w:t>
      </w:r>
      <w:r w:rsidRPr="003425B9">
        <w:rPr>
          <w:rFonts w:ascii="Arial" w:hAnsi="Arial"/>
          <w:lang w:val="en-GB"/>
        </w:rPr>
        <w:t xml:space="preserve"> Protein amounts of both conditions were estimated by Bradford reagent (BioRad, Munich, Germany). 1.4 mg of each condition was precleared for 1~h with sepharose beads (</w:t>
      </w:r>
      <w:r w:rsidRPr="003425B9">
        <w:rPr>
          <w:rFonts w:ascii="Arial" w:hAnsi="Arial"/>
          <w:bCs/>
          <w:lang w:val="en-US"/>
        </w:rPr>
        <w:t>Protein A Sepharose Cl-4B, GE Healthcare</w:t>
      </w:r>
      <w:r w:rsidRPr="003425B9">
        <w:rPr>
          <w:rFonts w:ascii="Arial" w:hAnsi="Arial"/>
          <w:lang w:val="en-GB"/>
        </w:rPr>
        <w:t>), before HA-co-IP was performed with 70 µl of HA-coupled sepharose beads (</w:t>
      </w:r>
      <w:r w:rsidRPr="003425B9">
        <w:rPr>
          <w:rFonts w:ascii="Arial" w:hAnsi="Arial"/>
          <w:bCs/>
          <w:lang w:val="en-IN"/>
        </w:rPr>
        <w:t xml:space="preserve">#3956, </w:t>
      </w:r>
      <w:r w:rsidRPr="003425B9">
        <w:rPr>
          <w:rFonts w:ascii="Arial" w:hAnsi="Arial"/>
          <w:lang w:val="en-GB"/>
        </w:rPr>
        <w:t>Cell-Signaling, Frankfurt a. M., Germany</w:t>
      </w:r>
      <w:r w:rsidRPr="003425B9">
        <w:rPr>
          <w:rFonts w:ascii="Arial" w:hAnsi="Arial"/>
          <w:bCs/>
          <w:lang w:val="en-IN"/>
        </w:rPr>
        <w:t>)</w:t>
      </w:r>
      <w:r w:rsidRPr="003425B9">
        <w:rPr>
          <w:rFonts w:ascii="Arial" w:hAnsi="Arial"/>
          <w:lang w:val="en-GB"/>
        </w:rPr>
        <w:t xml:space="preserve"> over night. Antigen-coupled beads were washed 3 times in co-IP buffer. After the last washing, HA-IP and MOCK-IP were pooled and resuspended in 60 µl 1x Laemmli buffer.</w:t>
      </w:r>
    </w:p>
    <w:p w:rsidR="00AB58B4" w:rsidRPr="003425B9" w:rsidRDefault="00AB58B4" w:rsidP="00AB58B4">
      <w:pPr>
        <w:spacing w:line="480" w:lineRule="auto"/>
        <w:jc w:val="both"/>
        <w:rPr>
          <w:rFonts w:ascii="Arial" w:hAnsi="Arial" w:cs="Arial"/>
          <w:lang w:val="en-US"/>
        </w:rPr>
      </w:pPr>
      <w:r w:rsidRPr="003425B9">
        <w:rPr>
          <w:rFonts w:ascii="Arial" w:hAnsi="Arial" w:cs="Arial"/>
          <w:lang w:val="en-US"/>
        </w:rPr>
        <w:t>Samples for mass spectroscopy were prepared with 1 mM DTT for 5 min at 95</w:t>
      </w:r>
      <w:r w:rsidRPr="003425B9">
        <w:rPr>
          <w:rFonts w:ascii="Arial" w:hAnsi="Cambria Math" w:cs="Cambria Math"/>
          <w:lang w:val="en-US"/>
        </w:rPr>
        <w:t>⁰</w:t>
      </w:r>
      <w:r w:rsidRPr="003425B9">
        <w:rPr>
          <w:rFonts w:ascii="Arial" w:hAnsi="Arial" w:cs="Arial"/>
          <w:lang w:val="en-US"/>
        </w:rPr>
        <w:t>C and alkylated using 5.5 mM iodacetamide for 30 min at 25</w:t>
      </w:r>
      <w:r w:rsidRPr="003425B9">
        <w:rPr>
          <w:rFonts w:ascii="Arial" w:hAnsi="Cambria Math" w:cs="Cambria Math"/>
          <w:lang w:val="en-US"/>
        </w:rPr>
        <w:t>⁰</w:t>
      </w:r>
      <w:r w:rsidRPr="003425B9">
        <w:rPr>
          <w:rFonts w:ascii="Arial" w:hAnsi="Arial" w:cs="Arial"/>
          <w:lang w:val="en-US"/>
        </w:rPr>
        <w:t xml:space="preserve">C. Protein mixtures were separated by SDS-PAGE (4-12% Bis-Tris mini gradient gel) and gel lanes were cut into 10 equal slices. Gel fractions were in-gel digested using trypsin (Promega, Mannheim, Germany) </w:t>
      </w:r>
      <w:r w:rsidR="00157958" w:rsidRPr="003425B9">
        <w:rPr>
          <w:rFonts w:ascii="Arial" w:hAnsi="Arial" w:cs="Arial"/>
          <w:lang w:val="en-US"/>
        </w:rPr>
        <w:fldChar w:fldCharType="begin"/>
      </w:r>
      <w:r w:rsidR="00071DD6" w:rsidRPr="003425B9">
        <w:rPr>
          <w:rFonts w:ascii="Arial" w:hAnsi="Arial" w:cs="Arial"/>
          <w:lang w:val="en-US"/>
        </w:rPr>
        <w:instrText xml:space="preserve"> ADDIN ZOTERO_ITEM CSL_CITATION {"citationID":"9ZtLQ8jh","properties":{"formattedCitation":"[17]","plainCitation":"[17]","noteIndex":0},"citationItems":[{"id":1577,"uris":["http://zotero.org/users/1742798/items/IJUIF6XZ"],"uri":["http://zotero.org/users/1742798/items/IJUIF6XZ"],"itemData":{"id":1577,"type":"article-journal","title":"In-gel digestion for mass spectrometric characterization of proteins and proteomes","container-title":"Nature Protocols","page":"2856-2860","volume":"1","issue":"6","source":"www.nature.com","abstract":"In-gel digestion of proteins isolated by gel electrophoresis is a cornerstone of mass spectrometry (MS)-driven proteomics. The 10-year-old recipe by Shevchenko et al. has been optimized to increase the speed and sensitivity of analysis. The protocol is for the in-gel digestion of both silver and Coomassie-stained protein spots or bands and can be followed by MALDI-MS or LC-MS/MS analysis to identify proteins at sensitivities better than a few femtomoles of protein starting material.","DOI":"10.1038/nprot.2006.468","ISSN":"1754-2189","journalAbbreviation":"Nat. Protocols","language":"en","author":[{"family":"Shevchenko","given":"Andrej"},{"family":"Tomas","given":"Henrik"},{"family":"Havli","given":"Jan"},{"family":"Olsen","given":"Jesper V."},{"family":"Mann","given":"Matthias"}],"issued":{"date-parts":[["2007",1]]}}}],"schema":"https://github.com/citation-style-language/schema/raw/master/csl-citation.json"} </w:instrText>
      </w:r>
      <w:r w:rsidR="00157958" w:rsidRPr="003425B9">
        <w:rPr>
          <w:rFonts w:ascii="Arial" w:hAnsi="Arial" w:cs="Arial"/>
          <w:lang w:val="en-US"/>
        </w:rPr>
        <w:fldChar w:fldCharType="separate"/>
      </w:r>
      <w:r w:rsidR="00071DD6" w:rsidRPr="003425B9">
        <w:rPr>
          <w:rFonts w:ascii="Arial" w:hAnsi="Arial" w:cs="Arial"/>
          <w:noProof/>
          <w:lang w:val="en-US"/>
        </w:rPr>
        <w:t>[17]</w:t>
      </w:r>
      <w:r w:rsidR="00157958" w:rsidRPr="003425B9">
        <w:rPr>
          <w:rFonts w:ascii="Arial" w:hAnsi="Arial" w:cs="Arial"/>
          <w:lang w:val="en-US"/>
        </w:rPr>
        <w:fldChar w:fldCharType="end"/>
      </w:r>
      <w:r w:rsidRPr="003425B9">
        <w:rPr>
          <w:rFonts w:ascii="Arial" w:hAnsi="Arial" w:cs="Arial"/>
          <w:lang w:val="en-US"/>
        </w:rPr>
        <w:t xml:space="preserve">. Digests were performed overnight at 37°C in 0.05 M NH4HCO3 (pH 8). About 0.1 µg of protease was used for each gel band. Peptides were extracted from the gel slices with ethanol and resulting peptide mixtures were processed on STAGE tips as described </w:t>
      </w:r>
      <w:r w:rsidR="00157958" w:rsidRPr="003425B9">
        <w:rPr>
          <w:rFonts w:ascii="Arial" w:hAnsi="Arial" w:cs="Arial"/>
          <w:lang w:val="en-US"/>
        </w:rPr>
        <w:fldChar w:fldCharType="begin"/>
      </w:r>
      <w:r w:rsidR="00071DD6" w:rsidRPr="003425B9">
        <w:rPr>
          <w:rFonts w:ascii="Arial" w:hAnsi="Arial" w:cs="Arial"/>
          <w:lang w:val="en-US"/>
        </w:rPr>
        <w:instrText xml:space="preserve"> ADDIN ZOTERO_ITEM CSL_CITATION {"citationID":"1IdLA0wD","properties":{"formattedCitation":"[18]","plainCitation":"[18]","noteIndex":0},"citationItems":[{"id":798,"uris":["http://zotero.org/users/1742798/items/VUPAI8F4"],"uri":["http://zotero.org/users/1742798/items/VUPAI8F4"],"itemData":{"id":798,"type":"article-journal","title":"Protocol for micro-purification, enrichment, pre-fractionation and storage of peptides for proteomics using StageTips","container-title":"Nature Protocols","page":"1896-1906","volume":"2","issue":"8","source":"www.nature.com","abstract":"Mass spectrometry (MS)-based proteomics measures peptides derived from proteins by proteolytic cleavage. Before performing the analysis by matrix-assisted laser desorption/ionization–tandem mass spectrometry (MALDI–MS/MS), nanoelectrospray–MS/MS (NanoES-MS/MS) or liquid chromatography–MS/MS (LC–MS/MS), the peptide mixtures need to be cleaned, concentrated and often selectively enriched or pre-fractionated, for which we employ simple, self-made and extremely economical stop-and-go-extraction tips (StageTips). StageTips are ordinary pipette tips containing very small disks made of beads with reversed phase, cation-exchange or anion-exchange surfaces embedded in a Teflon mesh. The fixed nature of the beads allows flexible combination of disks with different surfaces to obtain multi-functional tips. Disks containing different surface functionalities and loose beads such as titania and zirconia for phosphopeptide enrichment can be combined. Incorporation into an automated workflow has also been demonstrated. Desalting and concentration takes approximately 5 min while fractionation or enrichment takes approximately 30 min.","DOI":"10.1038/nprot.2007.261","ISSN":"1754-2189","journalAbbreviation":"Nat. Protocols","language":"en","author":[{"family":"Rappsilber","given":"Juri"},{"family":"Mann","given":"Matthias"},{"family":"Ishihama","given":"Yasushi"}],"issued":{"date-parts":[["2007",8]]}}}],"schema":"https://github.com/citation-style-language/schema/raw/master/csl-citation.json"} </w:instrText>
      </w:r>
      <w:r w:rsidR="00157958" w:rsidRPr="003425B9">
        <w:rPr>
          <w:rFonts w:ascii="Arial" w:hAnsi="Arial" w:cs="Arial"/>
          <w:lang w:val="en-US"/>
        </w:rPr>
        <w:fldChar w:fldCharType="separate"/>
      </w:r>
      <w:r w:rsidR="00071DD6" w:rsidRPr="003425B9">
        <w:rPr>
          <w:rFonts w:ascii="Arial" w:hAnsi="Arial" w:cs="Arial"/>
          <w:noProof/>
          <w:lang w:val="en-US"/>
        </w:rPr>
        <w:t>[18]</w:t>
      </w:r>
      <w:r w:rsidR="00157958" w:rsidRPr="003425B9">
        <w:rPr>
          <w:rFonts w:ascii="Arial" w:hAnsi="Arial" w:cs="Arial"/>
          <w:lang w:val="en-US"/>
        </w:rPr>
        <w:fldChar w:fldCharType="end"/>
      </w:r>
      <w:r w:rsidRPr="003425B9">
        <w:rPr>
          <w:rFonts w:ascii="Arial" w:hAnsi="Arial" w:cs="Arial"/>
          <w:lang w:val="en-US"/>
        </w:rPr>
        <w:t>.</w:t>
      </w:r>
    </w:p>
    <w:p w:rsidR="00AB58B4" w:rsidRPr="003425B9" w:rsidRDefault="00AB58B4" w:rsidP="00AB58B4">
      <w:pPr>
        <w:spacing w:line="480" w:lineRule="auto"/>
        <w:jc w:val="both"/>
        <w:rPr>
          <w:rFonts w:ascii="Arial" w:hAnsi="Arial" w:cs="Arial"/>
          <w:lang w:val="en-US"/>
        </w:rPr>
      </w:pPr>
      <w:r w:rsidRPr="003425B9">
        <w:rPr>
          <w:rFonts w:ascii="Arial" w:hAnsi="Arial" w:cs="Arial"/>
          <w:lang w:val="en-US"/>
        </w:rPr>
        <w:t>Samples analyzed by MS were measured on LTQ Orbitrap XL mass spectrometer (ThermoFisherScientific, Bremen, Germany) coupled to an Agilent 1200 nanoflow-HPLC (Agilent Technologies GmbH, Waldbronn, Germany). HPLC-column tips (fused silica) with 75 µm inner diameter were self-packed with Reprosil-Pur 120 ODS-3 to a length of 20 cm. No pre-column was used. Peptides were injected at a flow of 500 nl/min in 92% buffer A (0.5% acetic acid in HPLC gradient grade water) and 2% buffer B (0.5% acetic acid in 80% acetonitrile, 20% water). Separation was achieved by a linear gradient from 10% to 30% of buffer B at a flow rate of 250 nl/min. The mass spectrometer was operated in the data-dependent mode and switched automatically between MS (max. of 1 x10 ions) and MS/MS. Each MS scan was followed by a maximum of five MS/MS scans in the linear ion trap using normalized collision energy of 35% and a target value of 5,000. Parent ions with a charge states of z = 1 and unassigned charge states were excluded from fragmentation. The mass range for MS was m/z = 370 to 2,000. The resolution was set to 60,000. MS parameters were as follows: spray voltage 2.3 kV; no sheath and auxiliary gas flow; ion transfer tube temperature 125°C. Software Xcalibur (Thermo Scientific) and Mascot Da</w:t>
      </w:r>
      <w:r w:rsidR="006D75E3" w:rsidRPr="003425B9">
        <w:rPr>
          <w:rFonts w:ascii="Arial" w:hAnsi="Arial" w:cs="Arial"/>
          <w:lang w:val="en-US"/>
        </w:rPr>
        <w:t>e</w:t>
      </w:r>
      <w:r w:rsidRPr="003425B9">
        <w:rPr>
          <w:rFonts w:ascii="Arial" w:hAnsi="Arial" w:cs="Arial"/>
          <w:lang w:val="en-US"/>
        </w:rPr>
        <w:t xml:space="preserve">mon version 2.4.0 (Matrix Science, London, UK) were used for data acquisition and processing. </w:t>
      </w:r>
    </w:p>
    <w:p w:rsidR="00AB58B4" w:rsidRPr="003425B9" w:rsidRDefault="00AB58B4" w:rsidP="00AB58B4">
      <w:pPr>
        <w:spacing w:line="480" w:lineRule="auto"/>
        <w:jc w:val="both"/>
        <w:rPr>
          <w:rFonts w:ascii="Arial" w:hAnsi="Arial" w:cs="Arial"/>
          <w:lang w:val="en-US"/>
        </w:rPr>
      </w:pPr>
      <w:r w:rsidRPr="003425B9">
        <w:rPr>
          <w:rFonts w:ascii="Arial" w:hAnsi="Arial" w:cs="Arial"/>
          <w:lang w:val="en-US"/>
        </w:rPr>
        <w:t xml:space="preserve">The MS raw data files were uploaded into the MaxQuant software version 1.4.1.2 </w:t>
      </w:r>
      <w:r w:rsidR="00157958" w:rsidRPr="003425B9">
        <w:rPr>
          <w:rFonts w:ascii="Arial" w:hAnsi="Arial" w:cs="Arial"/>
          <w:lang w:val="en-US"/>
        </w:rPr>
        <w:fldChar w:fldCharType="begin"/>
      </w:r>
      <w:r w:rsidR="00071DD6" w:rsidRPr="003425B9">
        <w:rPr>
          <w:rFonts w:ascii="Arial" w:hAnsi="Arial" w:cs="Arial"/>
          <w:lang w:val="en-US"/>
        </w:rPr>
        <w:instrText xml:space="preserve"> ADDIN ZOTERO_ITEM CSL_CITATION {"citationID":"vkulZigP","properties":{"formattedCitation":"[19]","plainCitation":"[19]","noteIndex":0},"citationItems":[{"id":817,"uris":["http://zotero.org/users/1742798/items/UIZZGSRI"],"uri":["http://zotero.org/users/1742798/items/UIZZGSRI"],"itemData":{"id":817,"type":"article-journal","title":"MaxQuant enables high peptide identification rates, individualized p.p.b.-range mass accuracies and proteome-wide protein quantification","container-title":"Nature Biotechnology","page":"1367-1372","volume":"26","issue":"12","source":"CrossRef","DOI":"10.1038/nbt.1511","ISSN":"1087-0156","author":[{"family":"Cox","given":"Jürgen"},{"family":"Mann","given":"Matthias"}],"issued":{"date-parts":[["2008",12]]}}}],"schema":"https://github.com/citation-style-language/schema/raw/master/csl-citation.json"} </w:instrText>
      </w:r>
      <w:r w:rsidR="00157958" w:rsidRPr="003425B9">
        <w:rPr>
          <w:rFonts w:ascii="Arial" w:hAnsi="Arial" w:cs="Arial"/>
          <w:lang w:val="en-US"/>
        </w:rPr>
        <w:fldChar w:fldCharType="separate"/>
      </w:r>
      <w:r w:rsidR="00071DD6" w:rsidRPr="003425B9">
        <w:rPr>
          <w:rFonts w:ascii="Arial" w:hAnsi="Arial" w:cs="Arial"/>
          <w:noProof/>
          <w:lang w:val="en-US"/>
        </w:rPr>
        <w:t>[19]</w:t>
      </w:r>
      <w:r w:rsidR="00157958" w:rsidRPr="003425B9">
        <w:rPr>
          <w:rFonts w:ascii="Arial" w:hAnsi="Arial" w:cs="Arial"/>
          <w:lang w:val="en-US"/>
        </w:rPr>
        <w:fldChar w:fldCharType="end"/>
      </w:r>
      <w:r w:rsidRPr="003425B9">
        <w:rPr>
          <w:rFonts w:ascii="Arial" w:hAnsi="Arial" w:cs="Arial"/>
          <w:lang w:val="en-US"/>
        </w:rPr>
        <w:t>, which performs peak and SILAC-pair detection, generates peak lists of mass error corrected peptides and data base searches. A full</w:t>
      </w:r>
      <w:r w:rsidR="006D75E3" w:rsidRPr="003425B9">
        <w:rPr>
          <w:rFonts w:ascii="Arial" w:hAnsi="Arial" w:cs="Arial"/>
          <w:lang w:val="en-US"/>
        </w:rPr>
        <w:t>-</w:t>
      </w:r>
      <w:r w:rsidRPr="003425B9">
        <w:rPr>
          <w:rFonts w:ascii="Arial" w:hAnsi="Arial" w:cs="Arial"/>
          <w:lang w:val="en-US"/>
        </w:rPr>
        <w:t>length mouse database containing common contaminants, such as keratins and enzymes used for in-gel digestion, was employed, carbamidomethylcysteine was set as fixed modification and methionine oxidation and protein amino-terminal acetylation were set as variable modifications. Double SILAC was chosen as quantification mode. Three miss cleavages were allowed, enzyme specificity was trypsin/P+DP, and the MS/MS tolerance was set to 0.5 Da. The average mass precision of identified peptides was in general less than 1 ppm after recalibration. Peptide lists were further used by MaxQuant to identify and relatively quantify proteins using the following parameters: peptide, and protein false discovery rates (FDR) were set to 0.01, maximum peptide posterior error probability (PEP) was set to 0.1, minimum peptide length was set to 6, minimum number peptides for identification and quantitation of proteins was set to two, of which one must be unique, and identified proteins have been re-quantified. The “match-between-run” option (2 min) was used.</w:t>
      </w:r>
    </w:p>
    <w:p w:rsidR="00AB58B4" w:rsidRPr="003425B9" w:rsidRDefault="00AB58B4" w:rsidP="00AB58B4">
      <w:pPr>
        <w:spacing w:line="480" w:lineRule="auto"/>
        <w:jc w:val="both"/>
        <w:rPr>
          <w:rFonts w:ascii="Arial" w:hAnsi="Arial" w:cs="Arial"/>
          <w:lang w:val="en-US"/>
        </w:rPr>
      </w:pPr>
    </w:p>
    <w:p w:rsidR="00AB58B4" w:rsidRPr="003425B9" w:rsidRDefault="00AB58B4" w:rsidP="00AB58B4">
      <w:pPr>
        <w:spacing w:line="480" w:lineRule="auto"/>
        <w:jc w:val="both"/>
        <w:rPr>
          <w:rFonts w:ascii="Arial" w:hAnsi="Arial" w:cs="Arial"/>
          <w:b/>
          <w:szCs w:val="22"/>
          <w:lang w:val="en-US"/>
        </w:rPr>
      </w:pPr>
      <w:r w:rsidRPr="003425B9">
        <w:rPr>
          <w:rFonts w:ascii="Arial" w:hAnsi="Arial" w:cs="Arial"/>
          <w:b/>
          <w:i/>
          <w:iCs/>
          <w:szCs w:val="22"/>
          <w:lang w:val="en-US"/>
        </w:rPr>
        <w:t xml:space="preserve">Immunoprecipitation </w:t>
      </w:r>
    </w:p>
    <w:p w:rsidR="00AB58B4" w:rsidRPr="003425B9" w:rsidRDefault="00AB58B4" w:rsidP="00AB58B4">
      <w:pPr>
        <w:spacing w:line="480" w:lineRule="auto"/>
        <w:jc w:val="both"/>
        <w:rPr>
          <w:rFonts w:ascii="Arial" w:hAnsi="Arial" w:cs="Arial"/>
          <w:szCs w:val="22"/>
          <w:lang w:val="en-US"/>
        </w:rPr>
      </w:pPr>
      <w:r w:rsidRPr="003425B9">
        <w:rPr>
          <w:rFonts w:ascii="Arial" w:hAnsi="Arial" w:cs="Arial"/>
          <w:szCs w:val="22"/>
          <w:lang w:val="en-US"/>
        </w:rPr>
        <w:t xml:space="preserve">Tissue or N2a cells were lysed in </w:t>
      </w:r>
      <w:r w:rsidRPr="003425B9">
        <w:rPr>
          <w:rFonts w:ascii="Arial" w:hAnsi="Arial"/>
          <w:lang w:val="en-GB"/>
        </w:rPr>
        <w:t xml:space="preserve">co-IP buffer (100 mM NaCl, 20 mM Tris, 1 mM EDTA, 0.5% NP40-alternative, pH 7.4) </w:t>
      </w:r>
      <w:r w:rsidRPr="003425B9">
        <w:rPr>
          <w:rFonts w:ascii="Arial" w:hAnsi="Arial" w:cs="Arial"/>
          <w:szCs w:val="22"/>
          <w:lang w:val="en-US"/>
        </w:rPr>
        <w:t xml:space="preserve">supplemented with protease inhibitor (Roche) and lysed by incubation for </w:t>
      </w:r>
      <w:r w:rsidRPr="003425B9">
        <w:rPr>
          <w:rFonts w:ascii="Arial" w:hAnsi="Arial"/>
          <w:lang w:val="en-GB"/>
        </w:rPr>
        <w:t xml:space="preserve">30 min on ice, triturating every 10 min 20 times. </w:t>
      </w:r>
      <w:r w:rsidRPr="003425B9">
        <w:rPr>
          <w:rFonts w:ascii="Arial" w:hAnsi="Arial" w:cs="Arial"/>
          <w:szCs w:val="22"/>
          <w:lang w:val="en-US"/>
        </w:rPr>
        <w:t>After centrifugation (10 min, 13000 rpm) the supernatant was collected. Protein concentrations were determined with Bradford reagent (Bio-Rad). 5% input was sa</w:t>
      </w:r>
      <w:r w:rsidR="008767BD" w:rsidRPr="003425B9">
        <w:rPr>
          <w:rFonts w:ascii="Arial" w:hAnsi="Arial" w:cs="Arial"/>
          <w:szCs w:val="22"/>
          <w:lang w:val="en-US"/>
        </w:rPr>
        <w:t>v</w:t>
      </w:r>
      <w:bookmarkStart w:id="0" w:name="_GoBack"/>
      <w:bookmarkEnd w:id="0"/>
      <w:r w:rsidRPr="003425B9">
        <w:rPr>
          <w:rFonts w:ascii="Arial" w:hAnsi="Arial" w:cs="Arial"/>
          <w:szCs w:val="22"/>
          <w:lang w:val="en-US"/>
        </w:rPr>
        <w:t>ed and equal amounts of protein were used for MOCK and all co-IPs. Protein G Dynabeads (10004D, ThermoScientific) were coupled for 1 h at room temperature and 1 h at 4°C with Co-IP antibodies or control IgG antibody (</w:t>
      </w:r>
      <w:r w:rsidRPr="003425B9">
        <w:rPr>
          <w:rFonts w:ascii="Arial" w:hAnsi="Arial" w:cs="Arial"/>
          <w:szCs w:val="22"/>
          <w:lang w:val="en-IN"/>
        </w:rPr>
        <w:t>rabbit IgG kch-504-250</w:t>
      </w:r>
      <w:r w:rsidRPr="003425B9">
        <w:rPr>
          <w:rFonts w:ascii="Arial" w:hAnsi="Arial" w:cs="Arial"/>
          <w:szCs w:val="22"/>
          <w:lang w:val="en-US"/>
        </w:rPr>
        <w:t>, Diagenode, Seraing, Belgium). Cell lysates were blocked with Protein G Dynabeads for 1 h at 4°C, subsequently transferred to antibody-coupled bead and incubated while rotating over night at 4°C. Antigen-coupled beads were washed 3 times with co-IP buffer before they were resuspended in 30 µl 1x laemmli buffer. 5% input and the complete Co-IP sample were used for immunoblotting.</w:t>
      </w:r>
    </w:p>
    <w:p w:rsidR="00AB58B4" w:rsidRPr="003425B9" w:rsidRDefault="00AB58B4" w:rsidP="00AB58B4">
      <w:pPr>
        <w:spacing w:line="480" w:lineRule="auto"/>
        <w:jc w:val="both"/>
        <w:rPr>
          <w:rFonts w:ascii="Arial" w:hAnsi="Arial" w:cs="Arial"/>
          <w:lang w:val="en-US"/>
        </w:rPr>
      </w:pPr>
    </w:p>
    <w:p w:rsidR="00AB58B4" w:rsidRPr="003425B9" w:rsidRDefault="00AB58B4" w:rsidP="00AB58B4">
      <w:pPr>
        <w:spacing w:line="480" w:lineRule="auto"/>
        <w:jc w:val="both"/>
        <w:rPr>
          <w:rFonts w:ascii="Arial" w:hAnsi="Arial" w:cs="Arial"/>
          <w:b/>
          <w:i/>
          <w:iCs/>
          <w:szCs w:val="22"/>
          <w:lang w:val="en-US"/>
        </w:rPr>
      </w:pPr>
      <w:r w:rsidRPr="003425B9">
        <w:rPr>
          <w:rFonts w:ascii="Arial" w:hAnsi="Arial" w:cs="Arial"/>
          <w:b/>
          <w:i/>
          <w:iCs/>
          <w:szCs w:val="22"/>
          <w:lang w:val="en-US"/>
        </w:rPr>
        <w:t xml:space="preserve">Immunoblotting </w:t>
      </w:r>
    </w:p>
    <w:p w:rsidR="00AB58B4" w:rsidRPr="003425B9" w:rsidRDefault="00AB58B4" w:rsidP="00AB58B4">
      <w:pPr>
        <w:spacing w:line="480" w:lineRule="auto"/>
        <w:jc w:val="both"/>
        <w:rPr>
          <w:rFonts w:ascii="Arial" w:hAnsi="Arial" w:cs="Arial"/>
          <w:szCs w:val="22"/>
          <w:lang w:val="en-US"/>
        </w:rPr>
      </w:pPr>
      <w:r w:rsidRPr="003425B9">
        <w:rPr>
          <w:rFonts w:ascii="Arial" w:hAnsi="Arial" w:cs="Arial"/>
          <w:szCs w:val="22"/>
          <w:lang w:val="en-US"/>
        </w:rPr>
        <w:t>Protein samples for WB were prepared as described for the co-IP samples. Protein or co-IP samples were loaded either on 8% or 10% SDS-polyacrylamide gels and run at 120V for 1.5 h. Proteins were transferred to PVDF membranes (</w:t>
      </w:r>
      <w:r w:rsidRPr="003425B9">
        <w:rPr>
          <w:rFonts w:ascii="Arial" w:eastAsia="Segoe Print" w:hAnsi="Arial" w:cs="Arial"/>
          <w:szCs w:val="22"/>
          <w:lang w:val="en-US"/>
        </w:rPr>
        <w:t>Trans-blot Turbo Transfer Pack)</w:t>
      </w:r>
      <w:r w:rsidRPr="003425B9">
        <w:rPr>
          <w:rFonts w:ascii="Arial" w:hAnsi="Arial" w:cs="Arial"/>
          <w:szCs w:val="22"/>
          <w:lang w:val="en-US"/>
        </w:rPr>
        <w:t xml:space="preserve"> using the </w:t>
      </w:r>
      <w:r w:rsidRPr="003425B9">
        <w:rPr>
          <w:rFonts w:ascii="Arial" w:eastAsia="Segoe Print" w:hAnsi="Arial" w:cs="Arial"/>
          <w:szCs w:val="22"/>
          <w:lang w:val="en-US"/>
        </w:rPr>
        <w:t>Trans-blot Turbo Transfer System (Bio-Rad) following the manufacturer’s instructions</w:t>
      </w:r>
      <w:r w:rsidRPr="003425B9">
        <w:rPr>
          <w:rFonts w:ascii="Arial" w:hAnsi="Arial" w:cs="Arial"/>
          <w:szCs w:val="22"/>
          <w:lang w:val="en-US"/>
        </w:rPr>
        <w:t>. Membranes were blocked with 5% BSA in TBS-T (blocking buffer) for 1 h and incubated overnight with primary antibodies (diluted in blocking buffer). Membranes were washed, incubated with secondary antibodies for 1 h and detected using Femto substrates (Thermo Scientific) and LAS ImageQuant System (GE Healthcare, Little Chalfont, UK).</w:t>
      </w:r>
    </w:p>
    <w:p w:rsidR="003E18E5" w:rsidRPr="003425B9" w:rsidRDefault="003E18E5" w:rsidP="00AB58B4">
      <w:pPr>
        <w:spacing w:line="480" w:lineRule="auto"/>
        <w:jc w:val="both"/>
        <w:rPr>
          <w:rFonts w:ascii="Arial" w:hAnsi="Arial" w:cs="Arial"/>
          <w:szCs w:val="22"/>
          <w:lang w:val="en-US"/>
        </w:rPr>
      </w:pPr>
    </w:p>
    <w:p w:rsidR="003E18E5" w:rsidRPr="003425B9" w:rsidRDefault="003E18E5" w:rsidP="003E18E5">
      <w:pPr>
        <w:spacing w:line="480" w:lineRule="auto"/>
        <w:jc w:val="both"/>
        <w:rPr>
          <w:rFonts w:ascii="Arial" w:hAnsi="Arial" w:cs="Arial"/>
          <w:b/>
          <w:iCs/>
          <w:szCs w:val="22"/>
          <w:lang w:val="en-US"/>
        </w:rPr>
      </w:pPr>
      <w:r w:rsidRPr="003425B9">
        <w:rPr>
          <w:rFonts w:ascii="Arial" w:hAnsi="Arial" w:cs="Arial"/>
          <w:b/>
          <w:i/>
          <w:iCs/>
          <w:szCs w:val="22"/>
          <w:lang w:val="en-US"/>
        </w:rPr>
        <w:t>Cell fractionation</w:t>
      </w:r>
    </w:p>
    <w:p w:rsidR="00AB58B4" w:rsidRPr="003425B9" w:rsidRDefault="003E18E5" w:rsidP="00AB58B4">
      <w:pPr>
        <w:spacing w:line="480" w:lineRule="auto"/>
        <w:jc w:val="both"/>
        <w:rPr>
          <w:rFonts w:ascii="Arial" w:hAnsi="Arial" w:cs="Arial"/>
          <w:szCs w:val="22"/>
          <w:lang w:val="en-US"/>
        </w:rPr>
      </w:pPr>
      <w:r w:rsidRPr="003425B9">
        <w:rPr>
          <w:rFonts w:ascii="Arial" w:hAnsi="Arial" w:cs="Arial"/>
          <w:iCs/>
          <w:szCs w:val="22"/>
          <w:lang w:val="en-US"/>
        </w:rPr>
        <w:t xml:space="preserve">For protein and co-IP, cytoplasm, nucleoplasm and chromatin were fractionated according to the protocol reported in </w:t>
      </w:r>
      <w:r w:rsidR="00157958" w:rsidRPr="003425B9">
        <w:rPr>
          <w:rFonts w:ascii="Arial" w:hAnsi="Arial" w:cs="Arial"/>
          <w:iCs/>
          <w:szCs w:val="22"/>
          <w:lang w:val="en-US"/>
        </w:rPr>
        <w:fldChar w:fldCharType="begin"/>
      </w:r>
      <w:r w:rsidR="00071DD6" w:rsidRPr="003425B9">
        <w:rPr>
          <w:rFonts w:ascii="Arial" w:hAnsi="Arial" w:cs="Arial"/>
          <w:iCs/>
          <w:szCs w:val="22"/>
          <w:lang w:val="en-US"/>
        </w:rPr>
        <w:instrText xml:space="preserve"> ADDIN ZOTERO_ITEM CSL_CITATION {"citationID":"u8iW2X9u","properties":{"formattedCitation":"[20]","plainCitation":"[20]","noteIndex":0},"citationItems":[{"id":1583,"uris":["http://zotero.org/users/1742798/items/JCJ4S84N"],"uri":["http://zotero.org/users/1742798/items/JCJ4S84N"],"itemData":{"id":1583,"type":"article-journal","title":"The long non‐coding RNA Paupar regulates the expression of both local and distal genes","container-title":"The EMBO Journal","page":"e201386225","source":"emboj.embopress.org","abstract":"Although some long noncoding RNAs (lncRNAs) have been shown to regulate gene expression in cis, it remains unclear whether lncRNAs can directly regulate transcription in trans by interacting with chromatin genome‐wide independently of their sites of synthesis. Here, we describe the genomically local and more distal functions of Paupar, a vertebrate‐conserved and central nervous system‐expressed lncRNA transcribed from a locus upstream of the gene encoding the PAX6 transcription factor. Knockdown of Paupar disrupts the normal cell cycle profile of neuroblastoma cells and induces neural differentiation. Paupar acts in a transcript‐dependent manner both locally, to regulate Pax6, as well as distally by binding and regulating genes on multiple chromosomes, in part through physical association with PAX6 protein. Paupar binding sites are enriched near promoters and can function as transcriptional regulatory elements whose activity is modulated by Paupar transcript levels. Our findings demonstrate that a lncRNA can function in trans at transcriptional regulatory elements distinct from its site of synthesis to control large‐scale transcriptional programmes.\nSynopsis\n\n&lt;img class=\"highwire-embed\" alt=\"Embedded Image\" src=\"http://d2ni3bh4dzb2ig.cloudfront.net/sites/default/files/highwire/embojnl/early/2014/01/31/embj.201386225/embed/graphic-1.gif\"/&gt;\n\nPaupar is a central nervous system‐expressed lncRNA that regulates the balance between proliferation and neuronal differentiation. Paupar controls target gene expression by binding regulatory elements near promoters, thus offering the first example of lncRNA‐mediated transcriptional regulation in trans.\n\nThe conserved long non‐coding RNA Paupar is a novel regulator of neural growth and differentiation.Paupar functions in trans to regulate the expression of genes important for neural stem cell fate.Paupar binds and modulates the activity of multiple transcriptional enhancer and repressor elements located across different chromosomes.Paupar and PAX6 directly interact and co‐occupy a subset of Paupar binding sites.","DOI":"10.1002/embj.201386225","ISSN":"0261-4189, 1460-2075","note":"PMID: 24488179","language":"en","author":[{"family":"Vance","given":"Keith W."},{"family":"Sansom","given":"Stephen N."},{"family":"Lee","given":"Sheena"},{"family":"Chalei","given":"Vladislava"},{"family":"Kong","given":"Lesheng"},{"family":"Cooper","given":"Sarah E."},{"family":"Oliver","given":"Peter L."},{"family":"Ponting","given":"Chris P."}],"issued":{"date-parts":[["2014",1,31]]}}}],"schema":"https://github.com/citation-style-language/schema/raw/master/csl-citation.json"} </w:instrText>
      </w:r>
      <w:r w:rsidR="00157958" w:rsidRPr="003425B9">
        <w:rPr>
          <w:rFonts w:ascii="Arial" w:hAnsi="Arial" w:cs="Arial"/>
          <w:iCs/>
          <w:szCs w:val="22"/>
          <w:lang w:val="en-US"/>
        </w:rPr>
        <w:fldChar w:fldCharType="separate"/>
      </w:r>
      <w:r w:rsidR="00071DD6" w:rsidRPr="003425B9">
        <w:rPr>
          <w:rFonts w:ascii="Arial" w:hAnsi="Arial" w:cs="Arial"/>
          <w:iCs/>
          <w:noProof/>
          <w:szCs w:val="22"/>
          <w:lang w:val="en-US"/>
        </w:rPr>
        <w:t>[20]</w:t>
      </w:r>
      <w:r w:rsidR="00157958" w:rsidRPr="003425B9">
        <w:rPr>
          <w:rFonts w:ascii="Arial" w:hAnsi="Arial" w:cs="Arial"/>
          <w:iCs/>
          <w:szCs w:val="22"/>
          <w:lang w:val="en-US"/>
        </w:rPr>
        <w:fldChar w:fldCharType="end"/>
      </w:r>
      <w:r w:rsidRPr="003425B9">
        <w:rPr>
          <w:rFonts w:ascii="Arial" w:hAnsi="Arial" w:cs="Arial"/>
          <w:iCs/>
          <w:szCs w:val="22"/>
          <w:lang w:val="en-US"/>
        </w:rPr>
        <w:t>.</w:t>
      </w:r>
    </w:p>
    <w:p w:rsidR="00AB58B4" w:rsidRPr="003425B9" w:rsidRDefault="00AB58B4" w:rsidP="00AB58B4">
      <w:pPr>
        <w:spacing w:line="480" w:lineRule="auto"/>
        <w:jc w:val="both"/>
        <w:rPr>
          <w:rFonts w:ascii="Arial" w:hAnsi="Arial" w:cs="Arial"/>
          <w:color w:val="000000"/>
          <w:szCs w:val="22"/>
          <w:lang w:val="en-IN"/>
        </w:rPr>
      </w:pPr>
    </w:p>
    <w:p w:rsidR="00AB58B4" w:rsidRPr="003425B9" w:rsidRDefault="00AB58B4" w:rsidP="00AB58B4">
      <w:pPr>
        <w:spacing w:line="480" w:lineRule="auto"/>
        <w:jc w:val="both"/>
        <w:rPr>
          <w:rFonts w:ascii="Arial" w:hAnsi="Arial" w:cs="Arial"/>
          <w:b/>
          <w:iCs/>
          <w:szCs w:val="22"/>
          <w:lang w:val="en-US"/>
        </w:rPr>
      </w:pPr>
      <w:r w:rsidRPr="003425B9">
        <w:rPr>
          <w:rFonts w:ascii="Arial" w:hAnsi="Arial" w:cs="Arial"/>
          <w:b/>
          <w:i/>
          <w:iCs/>
          <w:szCs w:val="22"/>
          <w:lang w:val="en-US"/>
        </w:rPr>
        <w:t>Proximity ligation assay (PLA)</w:t>
      </w:r>
    </w:p>
    <w:p w:rsidR="00AB58B4" w:rsidRPr="003425B9" w:rsidRDefault="00AB58B4" w:rsidP="00AB58B4">
      <w:pPr>
        <w:spacing w:line="480" w:lineRule="auto"/>
        <w:jc w:val="both"/>
        <w:rPr>
          <w:rFonts w:ascii="Arial" w:hAnsi="Arial" w:cs="Arial"/>
          <w:iCs/>
          <w:szCs w:val="22"/>
          <w:lang w:val="en-US"/>
        </w:rPr>
      </w:pPr>
      <w:r w:rsidRPr="003425B9">
        <w:rPr>
          <w:rFonts w:ascii="Arial" w:hAnsi="Arial" w:cs="Arial"/>
          <w:iCs/>
          <w:szCs w:val="22"/>
          <w:lang w:val="en-US"/>
        </w:rPr>
        <w:t xml:space="preserve">N2a cells were fixed in 4% PFA. Cells were permeabilized for 15 min with 0.1% Triton-X100, before incubation with the Duolink blocking solution for 1 h. Cells were incubated with primary antibodies diluted in Duolink antibody diluent solution over night at 4°C. After washing the </w:t>
      </w:r>
      <w:r w:rsidR="00525E26" w:rsidRPr="003425B9">
        <w:rPr>
          <w:rFonts w:ascii="Arial" w:hAnsi="Arial" w:cs="Arial"/>
          <w:iCs/>
          <w:szCs w:val="22"/>
          <w:lang w:val="en-US"/>
        </w:rPr>
        <w:t>cells,</w:t>
      </w:r>
      <w:r w:rsidRPr="003425B9">
        <w:rPr>
          <w:rFonts w:ascii="Arial" w:hAnsi="Arial" w:cs="Arial"/>
          <w:iCs/>
          <w:szCs w:val="22"/>
          <w:lang w:val="en-US"/>
        </w:rPr>
        <w:t xml:space="preserve"> they were first incubated with PLA-RED Probes for 1h at 37°C, then with ligation solution for 30 min at 37°C and finally amplification solution was added for 100 min at 37°C. For the following immunocytochemistry, cells were blocked again with Duolink blocking solution/0.1% Triton-X100 for 1 h before they were incubated with the primary Lamin B1 antibody in the blocking solution over night at 4°C. Following washing with PBS, cells were incubated with the donkey-anti-rabbit-488 </w:t>
      </w:r>
      <w:r w:rsidRPr="003425B9">
        <w:rPr>
          <w:rFonts w:ascii="Arial" w:hAnsi="Arial"/>
          <w:lang w:val="en-GB"/>
        </w:rPr>
        <w:t xml:space="preserve">(1:500, 711-545-152, Dianova) </w:t>
      </w:r>
      <w:r w:rsidRPr="003425B9">
        <w:rPr>
          <w:rFonts w:ascii="Arial" w:hAnsi="Arial" w:cs="Arial"/>
          <w:iCs/>
          <w:szCs w:val="22"/>
          <w:lang w:val="en-US"/>
        </w:rPr>
        <w:t xml:space="preserve">for 1 h at room temperature. Before mounting coverslips with </w:t>
      </w:r>
      <w:r w:rsidRPr="003425B9">
        <w:rPr>
          <w:rFonts w:ascii="Arial" w:hAnsi="Arial"/>
          <w:lang w:val="en-GB"/>
        </w:rPr>
        <w:t>fluorescent mounting medium (#S3023, DAKO, Jena, Germany)</w:t>
      </w:r>
      <w:r w:rsidRPr="003425B9">
        <w:rPr>
          <w:rFonts w:ascii="Arial" w:hAnsi="Arial" w:cs="Arial"/>
          <w:iCs/>
          <w:szCs w:val="22"/>
          <w:lang w:val="en-US"/>
        </w:rPr>
        <w:t>, nuclei were stained with DAPI.</w:t>
      </w:r>
    </w:p>
    <w:p w:rsidR="003E18E5" w:rsidRPr="003425B9" w:rsidRDefault="003E18E5" w:rsidP="00AB58B4">
      <w:pPr>
        <w:spacing w:line="480" w:lineRule="auto"/>
        <w:jc w:val="both"/>
        <w:rPr>
          <w:rFonts w:ascii="Arial" w:hAnsi="Arial" w:cs="Arial"/>
          <w:iCs/>
          <w:szCs w:val="22"/>
          <w:lang w:val="en-US"/>
        </w:rPr>
      </w:pPr>
    </w:p>
    <w:p w:rsidR="003E18E5" w:rsidRPr="003425B9" w:rsidRDefault="003E18E5" w:rsidP="003E18E5">
      <w:pPr>
        <w:spacing w:line="480" w:lineRule="auto"/>
        <w:jc w:val="both"/>
        <w:rPr>
          <w:rFonts w:ascii="Arial" w:hAnsi="Arial" w:cs="Arial"/>
          <w:b/>
          <w:i/>
          <w:iCs/>
          <w:lang w:val="en-GB"/>
        </w:rPr>
      </w:pPr>
      <w:r w:rsidRPr="003425B9">
        <w:rPr>
          <w:rFonts w:ascii="Arial" w:hAnsi="Arial" w:cs="Arial"/>
          <w:b/>
          <w:i/>
          <w:iCs/>
          <w:lang w:val="en-GB"/>
        </w:rPr>
        <w:t>RNA immunoprecipitation (RIP)</w:t>
      </w:r>
    </w:p>
    <w:p w:rsidR="003E18E5" w:rsidRPr="003425B9" w:rsidRDefault="003E18E5" w:rsidP="003E18E5">
      <w:pPr>
        <w:spacing w:line="480" w:lineRule="auto"/>
        <w:jc w:val="both"/>
        <w:rPr>
          <w:rFonts w:ascii="Arial" w:hAnsi="Arial" w:cs="Arial"/>
          <w:iCs/>
          <w:lang w:val="en-GB"/>
        </w:rPr>
      </w:pPr>
      <w:r w:rsidRPr="003425B9">
        <w:rPr>
          <w:rFonts w:ascii="Arial" w:hAnsi="Arial" w:cs="Arial"/>
          <w:iCs/>
          <w:lang w:val="en-GB"/>
        </w:rPr>
        <w:t>N2a cells were cultured in 10 cm dishes (one 10 cm dish was used per RIP) and after 48 h of transfection, cells were collected and lysed using 750 µl RIPA buffer (150 mM NaCl, 1% NP-40, 0.5% Sodium deoxycholate, 0.1% SDS, 50 mM Tris-HCl (pH 7.4), 1 mM EDTA). 250 µl lysate were used for FOXG1-Au1 or DDX5 RIP and 250 µl lysate for IgG RIP. The remaining lysate was saved as input. 7 µl of anti-Au1, anti-DDX5 or an appropriate IgG antibody was incubated with Protein G Dynabeads in RIPA for 2 hr at RT. The cell lysates were incubated with the antibody coupled beads overnight at 4°C. After incubation, the beads were washed four times in high salt RIPA buffer (1 M NaCl, 1% NP-40, 0.5% Sodium deoxycholate, 0.1% SDS, 50 mM Tris-HCl (pH 7.4), 1 mM EDTA), followed by a final wash in 1 ml PBS. 100 µl of beads were collected for protein analysis by immunoblot and 900 µl of beads were used for RNA extraction using Qiagen miRNeasy kit according to the manufacturer’s protocol.</w:t>
      </w:r>
    </w:p>
    <w:p w:rsidR="003E18E5" w:rsidRPr="003425B9" w:rsidRDefault="003E18E5" w:rsidP="00AB58B4">
      <w:pPr>
        <w:spacing w:line="480" w:lineRule="auto"/>
        <w:jc w:val="both"/>
        <w:rPr>
          <w:rFonts w:ascii="Arial" w:hAnsi="Arial" w:cs="Arial"/>
          <w:color w:val="000000"/>
          <w:szCs w:val="22"/>
          <w:lang w:val="en-IN"/>
        </w:rPr>
      </w:pPr>
    </w:p>
    <w:p w:rsidR="003E18E5" w:rsidRPr="003425B9" w:rsidRDefault="003E18E5" w:rsidP="003E18E5">
      <w:pPr>
        <w:pStyle w:val="berschrift2"/>
        <w:spacing w:line="480" w:lineRule="auto"/>
        <w:jc w:val="both"/>
        <w:rPr>
          <w:rFonts w:ascii="Arial" w:hAnsi="Arial" w:cs="Arial"/>
          <w:sz w:val="24"/>
          <w:szCs w:val="24"/>
          <w:lang w:val="en-US"/>
        </w:rPr>
      </w:pPr>
      <w:r w:rsidRPr="003425B9">
        <w:rPr>
          <w:rFonts w:ascii="Arial" w:eastAsiaTheme="minorEastAsia" w:hAnsi="Arial" w:cs="Arial"/>
          <w:bCs w:val="0"/>
          <w:i/>
          <w:iCs/>
          <w:color w:val="auto"/>
          <w:sz w:val="24"/>
          <w:szCs w:val="24"/>
          <w:lang w:val="en-US"/>
        </w:rPr>
        <w:t xml:space="preserve">miRNA analysis by Northern hybridization </w:t>
      </w:r>
    </w:p>
    <w:p w:rsidR="003E18E5" w:rsidRPr="003425B9" w:rsidRDefault="003E18E5" w:rsidP="003E18E5">
      <w:pPr>
        <w:spacing w:line="480" w:lineRule="auto"/>
        <w:jc w:val="both"/>
        <w:rPr>
          <w:rFonts w:ascii="Arial" w:hAnsi="Arial" w:cs="Arial"/>
          <w:color w:val="000000"/>
          <w:szCs w:val="22"/>
          <w:lang w:val="en-IN"/>
        </w:rPr>
      </w:pPr>
      <w:r w:rsidRPr="003425B9">
        <w:rPr>
          <w:rFonts w:ascii="Arial" w:hAnsi="Arial" w:cs="Arial"/>
          <w:lang w:val="en-IN"/>
        </w:rPr>
        <w:t xml:space="preserve">The separation of RNA samples enriched for small RNAs via denaturing polyacrylamide gel electrophoresis and their analysis by Northern hybridization was performed as described </w:t>
      </w:r>
      <w:r w:rsidR="00157958" w:rsidRPr="003425B9">
        <w:rPr>
          <w:rFonts w:ascii="Arial" w:hAnsi="Arial" w:cs="Arial"/>
          <w:lang w:val="en-IN"/>
        </w:rPr>
        <w:fldChar w:fldCharType="begin"/>
      </w:r>
      <w:r w:rsidR="00071DD6" w:rsidRPr="003425B9">
        <w:rPr>
          <w:rFonts w:ascii="Arial" w:hAnsi="Arial" w:cs="Arial"/>
          <w:lang w:val="en-IN"/>
        </w:rPr>
        <w:instrText xml:space="preserve"> ADDIN ZOTERO_ITEM CSL_CITATION {"citationID":"EklnyKSJ","properties":{"formattedCitation":"[21]","plainCitation":"[21]","noteIndex":0},"citationItems":[{"id":2231,"uris":["http://zotero.org/users/1742798/items/Z9ZQGW7H"],"uri":["http://zotero.org/users/1742798/items/Z9ZQGW7H"],"itemData":{"id":2231,"type":"article-journal","title":"The host-encoded RNase E endonuclease as the maturation enzyme of a CRISPR-Cas subtype III-B system","page":"in press","journalAbbreviation":"Nature Microbiol","author":[{"family":"Behler","given":"J."},{"family":"Sharma","given":"K."},{"family":"Wilde","given":"A."},{"family":"Urlaub","given":"H."},{"family":"Hess","given":"W. R."}],"issued":{"date-parts":[["2018"]]}}}],"schema":"https://github.com/citation-style-language/schema/raw/master/csl-citation.json"} </w:instrText>
      </w:r>
      <w:r w:rsidR="00157958" w:rsidRPr="003425B9">
        <w:rPr>
          <w:rFonts w:ascii="Arial" w:hAnsi="Arial" w:cs="Arial"/>
          <w:lang w:val="en-IN"/>
        </w:rPr>
        <w:fldChar w:fldCharType="separate"/>
      </w:r>
      <w:r w:rsidR="00071DD6" w:rsidRPr="003425B9">
        <w:rPr>
          <w:rFonts w:ascii="Arial" w:eastAsia="Times New Roman" w:hAnsi="Arial" w:cs="Arial"/>
        </w:rPr>
        <w:t>[21]</w:t>
      </w:r>
      <w:r w:rsidR="00157958" w:rsidRPr="003425B9">
        <w:rPr>
          <w:rFonts w:ascii="Arial" w:hAnsi="Arial" w:cs="Arial"/>
          <w:lang w:val="en-IN"/>
        </w:rPr>
        <w:fldChar w:fldCharType="end"/>
      </w:r>
      <w:r w:rsidRPr="003425B9">
        <w:rPr>
          <w:rFonts w:ascii="Arial" w:hAnsi="Arial" w:cs="Arial"/>
          <w:lang w:val="en-IN"/>
        </w:rPr>
        <w:t xml:space="preserve"> </w:t>
      </w:r>
      <w:r w:rsidR="00157958" w:rsidRPr="003425B9">
        <w:rPr>
          <w:rFonts w:ascii="Arial" w:hAnsi="Arial" w:cs="Arial"/>
          <w:lang w:val="en-IN"/>
        </w:rPr>
        <w:fldChar w:fldCharType="begin"/>
      </w:r>
      <w:r w:rsidRPr="003425B9">
        <w:rPr>
          <w:rFonts w:ascii="Arial" w:hAnsi="Arial" w:cs="Arial"/>
          <w:lang w:val="en-IN"/>
        </w:rPr>
        <w:instrText xml:space="preserve"> ADDIN EN.CITE &lt;EndNote&gt;&lt;Cite&gt;&lt;Author&gt;Behler&lt;/Author&gt;&lt;Year&gt;2018&lt;/Year&gt;&lt;RecNum&gt;30&lt;/RecNum&gt;&lt;DisplayText&gt;(Behler et al., 2018)&lt;/DisplayText&gt;&lt;record&gt;&lt;rec-number&gt;30&lt;/rec-number&gt;&lt;foreign-keys&gt;&lt;key app="EN" db-id="2xvtfdza6eezvke52sevxp23frd5fx5t5a0w" timestamp="1516717193"&gt;30&lt;/key&gt;&lt;/foreign-keys&gt;&lt;ref-type name="Journal Article"&gt;17&lt;/ref-type&gt;&lt;contributors&gt;&lt;authors&gt;&lt;author&gt;Behler, J&lt;/author&gt;&lt;author&gt;Sharma, K&lt;/author&gt;&lt;author&gt;Wilde, A&lt;/author&gt;&lt;author&gt;Urlaub, H&lt;/author&gt;&lt;author&gt;Hess, W R&lt;/author&gt;&lt;/authors&gt;&lt;/contributors&gt;&lt;titles&gt;&lt;title&gt;The host-encoded RNase E endonuclease as the maturation enzyme of a CRISPR-Cas subtype III-B system&lt;/title&gt;&lt;/titles&gt;&lt;pages&gt;in press&lt;/pages&gt;&lt;dates&gt;&lt;year&gt;2018&lt;/year&gt;&lt;/dates&gt;&lt;label&gt;r04556&lt;/label&gt;&lt;urls&gt;&lt;/urls&gt;&lt;custom3&gt;papers3://publication/uuid/E8718DC8-0086-4635-9601-587BF523DB37&lt;/custom3&gt;&lt;/record&gt;&lt;/Cite&gt;&lt;Cite&gt;&lt;Author&gt;Behler&lt;/Author&gt;&lt;Year&gt;2018&lt;/Year&gt;&lt;RecNum&gt;30&lt;/RecNum&gt;&lt;record&gt;&lt;rec-number&gt;30&lt;/rec-number&gt;&lt;foreign-keys&gt;&lt;key app="EN" db-id="2xvtfdza6eezvke52sevxp23frd5fx5t5a0w" timestamp="1516717193"&gt;30&lt;/key&gt;&lt;/foreign-keys&gt;&lt;ref-type name="Journal Article"&gt;17&lt;/ref-type&gt;&lt;contributors&gt;&lt;authors&gt;&lt;author&gt;Behler, J&lt;/author&gt;&lt;author&gt;Sharma, K&lt;/author&gt;&lt;author&gt;Wilde, A&lt;/author&gt;&lt;author&gt;Urlaub, H&lt;/author&gt;&lt;author&gt;Hess, W R&lt;/author&gt;&lt;/authors&gt;&lt;/contributors&gt;&lt;titles&gt;&lt;title&gt;The host-encoded RNase E endonuclease as the maturation enzyme of a CRISPR-Cas subtype III-B system&lt;/title&gt;&lt;/titles&gt;&lt;pages&gt;in press&lt;/pages&gt;&lt;dates&gt;&lt;year&gt;2018&lt;/year&gt;&lt;/dates&gt;&lt;label&gt;r04556&lt;/label&gt;&lt;urls&gt;&lt;/urls&gt;&lt;custom3&gt;papers3://publication/uuid/E8718DC8-0086-4635-9601-587BF523DB37&lt;/custom3&gt;&lt;/record&gt;&lt;/Cite&gt;&lt;/EndNote&gt;</w:instrText>
      </w:r>
      <w:r w:rsidR="00157958" w:rsidRPr="003425B9">
        <w:rPr>
          <w:rFonts w:ascii="Arial" w:hAnsi="Arial" w:cs="Arial"/>
          <w:lang w:val="en-IN"/>
        </w:rPr>
        <w:fldChar w:fldCharType="end"/>
      </w:r>
      <w:r w:rsidRPr="003425B9">
        <w:rPr>
          <w:rFonts w:ascii="Arial" w:hAnsi="Arial" w:cs="Arial"/>
          <w:lang w:val="en-IN"/>
        </w:rPr>
        <w:t>with the following variations. 4-5 µg of small RNA per lane were separated on polyacrylamide (PAA)-urea minigels (15% PAA, 0.5 g/ml urea, 1x Tris-Borate-EDTA (TBE) buffer), electroblotted and cross-linked onto positivated Porablot NY plus nylon membrane (Macherey-Nagel GmbH &amp; Co. KG). The RNA sizes were estimated using the microRNA Marker (NEB). For the hybridization of the U6 snRNA, membranes were prehybridized for 60 min at 62°C, for the detection of miRNAs and the marker at 45°C with hybridization buffer (50% deionized formamide, 7% SDS, 250 mM sodium chloride, 120 mM sodium phosphate, pH 7.2) under continuous rotation. Probes (for the detection of miR429, mir200a, miR200b and U6 snRNA)</w:t>
      </w:r>
      <w:r w:rsidRPr="003425B9">
        <w:rPr>
          <w:rFonts w:ascii="Arial" w:hAnsi="Arial" w:cs="Arial"/>
          <w:noProof/>
          <w:lang w:val="en-IN"/>
        </w:rPr>
        <w:t xml:space="preserve"> were</w:t>
      </w:r>
      <w:r w:rsidRPr="003425B9">
        <w:rPr>
          <w:rFonts w:ascii="Arial" w:hAnsi="Arial" w:cs="Arial"/>
          <w:lang w:val="en-IN"/>
        </w:rPr>
        <w:t xml:space="preserve"> generated by </w:t>
      </w:r>
      <w:r w:rsidRPr="003425B9">
        <w:rPr>
          <w:rFonts w:ascii="Arial" w:hAnsi="Arial" w:cs="Arial"/>
          <w:i/>
          <w:lang w:val="en-IN"/>
        </w:rPr>
        <w:t>in vitro</w:t>
      </w:r>
      <w:r w:rsidRPr="003425B9">
        <w:rPr>
          <w:rFonts w:ascii="Arial" w:hAnsi="Arial" w:cs="Arial"/>
          <w:lang w:val="en-IN"/>
        </w:rPr>
        <w:t xml:space="preserve"> transcription using </w:t>
      </w:r>
      <w:r w:rsidRPr="003425B9">
        <w:rPr>
          <w:rFonts w:ascii="Arial" w:hAnsi="Arial" w:cs="Arial"/>
          <w:i/>
          <w:lang w:val="en-IN"/>
        </w:rPr>
        <w:t>mir</w:t>
      </w:r>
      <w:r w:rsidRPr="003425B9">
        <w:rPr>
          <w:rFonts w:ascii="Arial" w:hAnsi="Arial" w:cs="Arial"/>
          <w:lang w:val="en-IN"/>
        </w:rPr>
        <w:t>Vana</w:t>
      </w:r>
      <w:r w:rsidRPr="003425B9">
        <w:rPr>
          <w:rFonts w:ascii="Arial" w:hAnsi="Arial" w:cs="Arial"/>
          <w:vertAlign w:val="superscript"/>
          <w:lang w:val="en-IN"/>
        </w:rPr>
        <w:t>TM</w:t>
      </w:r>
      <w:r w:rsidRPr="003425B9">
        <w:rPr>
          <w:rFonts w:ascii="Arial" w:hAnsi="Arial" w:cs="Arial"/>
          <w:lang w:val="en-IN"/>
        </w:rPr>
        <w:t xml:space="preserve"> miRNA probe construction kit (Thermo Fischer Scientific), while the microRNA marker was detected by hybridization with probe (5´-AAATCTCAACCAGCCACTGCT-3´-Biotin) supplied by NEB. The probes against microRNA marker were 5’-end-labeled using 50 µCi [</w:t>
      </w:r>
      <w:r w:rsidRPr="003425B9">
        <w:rPr>
          <w:rFonts w:ascii="Arial" w:hAnsi="Arial" w:cs="Arial"/>
        </w:rPr>
        <w:t>γ</w:t>
      </w:r>
      <w:r w:rsidRPr="003425B9">
        <w:rPr>
          <w:rFonts w:ascii="Arial" w:hAnsi="Arial" w:cs="Arial"/>
          <w:lang w:val="en-IN"/>
        </w:rPr>
        <w:t xml:space="preserve">32P] ATP (3.000 Ci/mmol, Hartmann Analytic) and 20 U of T4 polynucleotide kinase (Thermo Fisher Scientific) for 30 min at 37°C. Membranes were hybridized at 62°C (U6 snRNA) or 45°C (all other probes) over night and washed at 57°C (U6 snRNA) or 40°C (other probes) with washing solutions I (2x SSC and 1% SDS), II (1x SSC and 0.5% SDS) and III (0.1x SSC and 0.1% SDS) for 10 min each. The signals were detected with a storage phosphor screen (Kodak) and a </w:t>
      </w:r>
      <w:r w:rsidRPr="003425B9">
        <w:rPr>
          <w:rStyle w:val="Betont"/>
          <w:rFonts w:ascii="Arial" w:hAnsi="Arial" w:cs="Arial"/>
          <w:lang w:val="en-IN"/>
        </w:rPr>
        <w:t>GE Typhoon FLA 9500 imaging system</w:t>
      </w:r>
      <w:r w:rsidRPr="003425B9">
        <w:rPr>
          <w:rFonts w:ascii="Arial" w:hAnsi="Arial" w:cs="Arial"/>
          <w:lang w:val="en-IN"/>
        </w:rPr>
        <w:t>.</w:t>
      </w:r>
    </w:p>
    <w:p w:rsidR="003E18E5" w:rsidRPr="003425B9" w:rsidRDefault="003E18E5" w:rsidP="00AB58B4">
      <w:pPr>
        <w:spacing w:line="480" w:lineRule="auto"/>
        <w:jc w:val="both"/>
        <w:rPr>
          <w:rFonts w:ascii="Arial" w:hAnsi="Arial" w:cs="Arial"/>
          <w:color w:val="000000"/>
          <w:szCs w:val="22"/>
          <w:lang w:val="en-IN"/>
        </w:rPr>
      </w:pPr>
    </w:p>
    <w:p w:rsidR="003E18E5" w:rsidRPr="003425B9" w:rsidRDefault="003E18E5" w:rsidP="003E18E5">
      <w:pPr>
        <w:spacing w:line="480" w:lineRule="auto"/>
        <w:jc w:val="both"/>
        <w:rPr>
          <w:rFonts w:ascii="Arial" w:hAnsi="Arial" w:cs="Arial"/>
          <w:b/>
          <w:bCs/>
          <w:i/>
          <w:lang w:val="en-GB"/>
        </w:rPr>
      </w:pPr>
      <w:r w:rsidRPr="003425B9">
        <w:rPr>
          <w:rFonts w:ascii="Arial" w:hAnsi="Arial" w:cs="Arial"/>
          <w:b/>
          <w:bCs/>
          <w:i/>
          <w:lang w:val="en-GB"/>
        </w:rPr>
        <w:t>Mouse hippocampus dissection, culture of neurons and viral transduction</w:t>
      </w:r>
    </w:p>
    <w:p w:rsidR="003E18E5" w:rsidRPr="003425B9" w:rsidRDefault="003E18E5" w:rsidP="003E18E5">
      <w:pPr>
        <w:spacing w:line="480" w:lineRule="auto"/>
        <w:jc w:val="both"/>
        <w:rPr>
          <w:rFonts w:ascii="Arial" w:hAnsi="Arial" w:cs="Arial"/>
          <w:color w:val="2A2A2A"/>
          <w:shd w:val="clear" w:color="auto" w:fill="FFFFFF"/>
          <w:lang w:val="en-GB" w:eastAsia="de-DE"/>
        </w:rPr>
      </w:pPr>
      <w:r w:rsidRPr="003425B9">
        <w:rPr>
          <w:rFonts w:ascii="Arial" w:hAnsi="Arial" w:cs="Arial"/>
          <w:color w:val="2A2A2A"/>
          <w:shd w:val="clear" w:color="auto" w:fill="FFFFFF"/>
          <w:lang w:val="en-GB" w:eastAsia="de-DE"/>
        </w:rPr>
        <w:t>NMRI (Charles River) hippocampi of P0 embryos were dissected and collected in 5 ml Hanks’ Balanced Salt (HBSS, Fisher Scientific, Schwerte, Germany) and dissociated in 0.25% Trypsin/EDTA (Fisher Scientific) at 37 °C for 10 min. Dissociation was stopped by adding NB-complete medium and 10% fetal bovine serum (FBS, Fisher Scientific). Cells were collected by centrifugation and cultured in NB-complete medium (Neurobasal medium (Fisher Scientific) supplemented with B27 (Fisher Scientific), L-glutamine (0.5 mM, Fisher Scientific), penicillin-streptomycin-neomycin (PSN, Fisher Scientific), apo-transferrin (5 µg/ml, Sigma, München, Germany), superoxid-dismutase (0.8 µg/ml, Sigma) and glutathione (1 µg/ml, Sigma</w:t>
      </w:r>
      <w:r w:rsidR="003425B9">
        <w:rPr>
          <w:rFonts w:ascii="Arial" w:hAnsi="Arial" w:cs="Arial"/>
          <w:color w:val="2A2A2A"/>
          <w:shd w:val="clear" w:color="auto" w:fill="FFFFFF"/>
          <w:lang w:val="en-GB" w:eastAsia="de-DE"/>
        </w:rPr>
        <w:t>)</w:t>
      </w:r>
      <w:r w:rsidRPr="003425B9">
        <w:rPr>
          <w:rFonts w:ascii="Arial" w:hAnsi="Arial" w:cs="Arial"/>
          <w:color w:val="2A2A2A"/>
          <w:shd w:val="clear" w:color="auto" w:fill="FFFFFF"/>
          <w:lang w:val="en-GB" w:eastAsia="de-DE"/>
        </w:rPr>
        <w:t xml:space="preserve">). Cells were always seeded on poly-ornithine (0.1 mg/ml, Sigma) and laminin (1 µg/ml, Sigma) wells of 24 well plates. </w:t>
      </w:r>
    </w:p>
    <w:p w:rsidR="003E18E5" w:rsidRPr="003425B9" w:rsidRDefault="003E18E5" w:rsidP="003E18E5">
      <w:pPr>
        <w:spacing w:line="480" w:lineRule="auto"/>
        <w:jc w:val="both"/>
        <w:rPr>
          <w:rFonts w:ascii="Arial" w:hAnsi="Arial" w:cs="Arial"/>
          <w:lang w:val="en-GB" w:eastAsia="de-DE"/>
        </w:rPr>
      </w:pPr>
      <w:r w:rsidRPr="003425B9">
        <w:rPr>
          <w:rFonts w:ascii="Arial" w:hAnsi="Arial" w:cs="Arial"/>
          <w:color w:val="2A2A2A"/>
          <w:shd w:val="clear" w:color="auto" w:fill="FFFFFF"/>
          <w:lang w:val="en-GB" w:eastAsia="de-DE"/>
        </w:rPr>
        <w:t xml:space="preserve">Lentiviral particles using pLKO1-shDdx5-puro, pLKO1-shFoxg1-puro-GFP or pLKO1-non-target-puro (Sigma) were prepared according to the protocol described previously </w:t>
      </w:r>
      <w:r w:rsidR="00157958" w:rsidRPr="003425B9">
        <w:rPr>
          <w:rFonts w:ascii="Arial" w:hAnsi="Arial" w:cs="Arial"/>
          <w:color w:val="2A2A2A"/>
          <w:shd w:val="clear" w:color="auto" w:fill="FFFFFF"/>
          <w:lang w:val="en-GB" w:eastAsia="de-DE"/>
        </w:rPr>
        <w:fldChar w:fldCharType="begin"/>
      </w:r>
      <w:r w:rsidR="00071DD6" w:rsidRPr="003425B9">
        <w:rPr>
          <w:rFonts w:ascii="Arial" w:hAnsi="Arial" w:cs="Arial"/>
          <w:color w:val="2A2A2A"/>
          <w:shd w:val="clear" w:color="auto" w:fill="FFFFFF"/>
          <w:lang w:val="en-GB" w:eastAsia="de-DE"/>
        </w:rPr>
        <w:instrText xml:space="preserve"> ADDIN ZOTERO_ITEM CSL_CITATION {"citationID":"BmT6BVmn","properties":{"formattedCitation":"[22, 23]","plainCitation":"[22, 23]","noteIndex":0},"citationItems":[{"id":166,"uris":["http://zotero.org/users/1742798/items/98QC3HZI"],"uri":["http://zotero.org/users/1742798/items/98QC3HZI"],"itemData":{"id":166,"type":"article-journal","title":"Neural deletion of Tgfbr2 impairs angiogenesis through an altered secretome","container-title":"Human Molecular Genetics","page":"6177-6190","volume":"23","issue":"23","source":"CrossRef","DOI":"10.1093/hmg/ddu338","ISSN":"0964-6906, 1460-2083","language":"en","author":[{"family":"Hellbach","given":"N."},{"family":"Weise","given":"S. C."},{"family":"Vezzali","given":"R."},{"family":"Wahane","given":"S. D."},{"family":"Heidrich","given":"S."},{"family":"Roidl","given":"D."},{"family":"Pruszak","given":"J."},{"family":"Esser","given":"J. S."},{"family":"Vogel","given":"T."}],"issued":{"date-parts":[["2014",12,1]]}}},{"id":513,"uris":["http://zotero.org/users/1742798/items/EB729MX4"],"uri":["http://zotero.org/users/1742798/items/EB729MX4"],"itemData":{"id":513,"type":"article-journal","title":"The FOXG1/FOXO/SMAD network balances proliferation and differentiation of cortical progenitors and activates Kcnh3 expression in mature neurons","container-title":"Oncotarget","volume":"5","issue":"0","source":"www.impactjournals.com","abstract":"//     Riccardo Vezzali 1,2 , Stefan Christopher Weise 1,2 , Nicole Hellbach 1 , Venissa Machado 1 , Stefanie Heidrich 1  and Tanja Vogel 1     1  Department of Molecular Embryology, Institute of Anatomy and Cell Biology, Faculty of Medicine, University of Freiburg, Freiburg, Germany    2  Faculty of Biology, University of Freiburg, Freiburg, Germany   Correspondence to:   Tanja Vogel, email:  //       Keywords : TGF&amp;beta;; neurogenesis; transcriptional control; cerebral cortex; atypical Rett syndrome; Gerotarget    Received : November 19, 2015  Accepted : May 11, 2016  Published : May 21, 2016    Abstract   Transforming growth factor &amp;beta; (TGF&amp;beta;)-mediated anti-proliferative and differentiating effects promote neuronal differentiation during embryonic central nervous system development. TGF&amp;beta; downstream signals, composed of activated SMAD2/3, SMAD4 and a FOXO family member, promote the expression of cyclin-dependent kinase inhibitor  Cdkn1a . In early CNS development, IGF1/PI3K signaling and the transcription factor FOXG1 inhibit FOXO- and TGF&amp;beta;-mediated  Cdkn1a  transcription. FOXG1 prevents cell cycle exit by binding to the SMAD/FOXO-protein complex. In this study we provide further details on the FOXG1/FOXO/SMAD transcription factor network. We identified ligands of the TGF&amp;beta;- and IGF-family,  Foxo1 ,  Foxo3  and  Kcnh3  as novel FOXG1-target genes during telencephalic development and showed that FOXG1 interferes with  Foxo1  and  Tgf&amp;beta;  transcription. Our data specify that FOXO1 activates  Cdkn1a  transcription. This process is under control of the IGF1-pathway, as  Cdkn1a  transcription increases when IGF1-signaling is pharmacologically inhibited. However, overexpression of CDKN1A and knockdown of  Foxo1  and  Foxo3  is not sufficient for neuronal differentiation, which is probably instructed by TGF&amp;beta;-signaling. In mature neurons, FOXG1 activates transcription of the seizure-related  Kcnh3 , which might be a FOXG1-target gene involved in the FOXG1 syndrome pathology.","URL":"http://www.impactjournals.com/oncotarget/index.php?journal=oncotarget&amp;page=article&amp;op=view&amp;path%5B%5D=9545","ISSN":"1949-2553","author":[{"family":"Vezzali","given":"Riccardo"},{"family":"Weise","given":"Stefan Christopher"},{"family":"Hellbach","given":"Nicole"},{"family":"Machado","given":"Venissa"},{"family":"Heidrich","given":"Stefanie"},{"family":"Vogel","given":"Tanja"},{"family":"Vezzali","given":"Riccardo"},{"family":"Weise","given":"Stefan Christopher"},{"family":"Hellbach","given":"Nicole"},{"family":"Machado","given":"Venissa"},{"family":"Heidrich","given":"Stefanie"},{"family":"Vogel","given":"Tanja"}],"issued":{"date-parts":[["2016",5,21]]},"accessed":{"date-parts":[["2016",5,28]]}}}],"schema":"https://github.com/citation-style-language/schema/raw/master/csl-citation.json"} </w:instrText>
      </w:r>
      <w:r w:rsidR="00157958" w:rsidRPr="003425B9">
        <w:rPr>
          <w:rFonts w:ascii="Arial" w:hAnsi="Arial" w:cs="Arial"/>
          <w:color w:val="2A2A2A"/>
          <w:shd w:val="clear" w:color="auto" w:fill="FFFFFF"/>
          <w:lang w:val="en-GB" w:eastAsia="de-DE"/>
        </w:rPr>
        <w:fldChar w:fldCharType="separate"/>
      </w:r>
      <w:r w:rsidR="00071DD6" w:rsidRPr="003425B9">
        <w:rPr>
          <w:rFonts w:ascii="Arial" w:hAnsi="Arial" w:cs="Arial"/>
          <w:noProof/>
          <w:color w:val="2A2A2A"/>
          <w:shd w:val="clear" w:color="auto" w:fill="FFFFFF"/>
          <w:lang w:val="en-GB" w:eastAsia="de-DE"/>
        </w:rPr>
        <w:t>[22, 23]</w:t>
      </w:r>
      <w:r w:rsidR="00157958" w:rsidRPr="003425B9">
        <w:rPr>
          <w:rFonts w:ascii="Arial" w:hAnsi="Arial" w:cs="Arial"/>
          <w:color w:val="2A2A2A"/>
          <w:shd w:val="clear" w:color="auto" w:fill="FFFFFF"/>
          <w:lang w:val="en-GB" w:eastAsia="de-DE"/>
        </w:rPr>
        <w:fldChar w:fldCharType="end"/>
      </w:r>
      <w:r w:rsidRPr="003425B9">
        <w:rPr>
          <w:rFonts w:ascii="Arial" w:hAnsi="Arial" w:cs="Arial"/>
          <w:color w:val="2A2A2A"/>
          <w:shd w:val="clear" w:color="auto" w:fill="FFFFFF"/>
          <w:lang w:val="en-GB" w:eastAsia="de-DE"/>
        </w:rPr>
        <w:t xml:space="preserve">. On day </w:t>
      </w:r>
      <w:r w:rsidRPr="003425B9">
        <w:rPr>
          <w:rFonts w:ascii="Arial" w:hAnsi="Arial" w:cs="Arial"/>
          <w:i/>
          <w:color w:val="2A2A2A"/>
          <w:shd w:val="clear" w:color="auto" w:fill="FFFFFF"/>
          <w:lang w:val="en-GB" w:eastAsia="de-DE"/>
        </w:rPr>
        <w:t xml:space="preserve">in vitro </w:t>
      </w:r>
      <w:r w:rsidRPr="003425B9">
        <w:rPr>
          <w:rFonts w:ascii="Arial" w:hAnsi="Arial" w:cs="Arial"/>
          <w:color w:val="2A2A2A"/>
          <w:shd w:val="clear" w:color="auto" w:fill="FFFFFF"/>
          <w:lang w:val="en-GB" w:eastAsia="de-DE"/>
        </w:rPr>
        <w:t>(DIV)</w:t>
      </w:r>
      <w:r w:rsidRPr="003425B9">
        <w:rPr>
          <w:rFonts w:ascii="Arial" w:hAnsi="Arial" w:cs="Arial"/>
          <w:i/>
          <w:color w:val="2A2A2A"/>
          <w:shd w:val="clear" w:color="auto" w:fill="FFFFFF"/>
          <w:lang w:val="en-GB" w:eastAsia="de-DE"/>
        </w:rPr>
        <w:t xml:space="preserve"> </w:t>
      </w:r>
      <w:r w:rsidRPr="003425B9">
        <w:rPr>
          <w:rFonts w:ascii="Arial" w:hAnsi="Arial" w:cs="Arial"/>
          <w:color w:val="2A2A2A"/>
          <w:shd w:val="clear" w:color="auto" w:fill="FFFFFF"/>
          <w:lang w:val="en-GB" w:eastAsia="de-DE"/>
        </w:rPr>
        <w:t>2 cells were transfected with lentiviral particles. At DIV5, transduced cells were selected with 0.3 µg/ml puromycin and cell proliferation was inhibited by addition of 2 µM AraC, while performing a half medium change. Medium was changed again at DIV9 including 2 µM AraC. Cells were harvested at DIV11 in Qiazol reagent and used for RNA extraction.</w:t>
      </w:r>
    </w:p>
    <w:p w:rsidR="00AB58B4" w:rsidRPr="003425B9" w:rsidRDefault="00AB58B4" w:rsidP="00AB58B4">
      <w:pPr>
        <w:spacing w:line="480" w:lineRule="auto"/>
        <w:jc w:val="both"/>
        <w:rPr>
          <w:rFonts w:ascii="Arial" w:hAnsi="Arial" w:cs="Arial"/>
          <w:lang w:val="en-US"/>
        </w:rPr>
      </w:pPr>
    </w:p>
    <w:p w:rsidR="003E18E5" w:rsidRPr="003425B9" w:rsidRDefault="003E18E5" w:rsidP="003E18E5">
      <w:pPr>
        <w:spacing w:line="480" w:lineRule="auto"/>
        <w:jc w:val="both"/>
        <w:rPr>
          <w:rFonts w:ascii="Arial" w:hAnsi="Arial" w:cs="Arial"/>
          <w:b/>
          <w:i/>
        </w:rPr>
      </w:pPr>
      <w:r w:rsidRPr="003425B9">
        <w:rPr>
          <w:rFonts w:ascii="Arial" w:hAnsi="Arial" w:cs="Arial"/>
          <w:b/>
          <w:i/>
        </w:rPr>
        <w:t xml:space="preserve">BrdU (Bromodeoxyuridine) incorporation and immunofluorescence </w:t>
      </w:r>
    </w:p>
    <w:p w:rsidR="003E18E5" w:rsidRPr="003425B9" w:rsidRDefault="003E18E5" w:rsidP="003E18E5">
      <w:pPr>
        <w:widowControl w:val="0"/>
        <w:suppressAutoHyphens/>
        <w:spacing w:line="480" w:lineRule="auto"/>
        <w:jc w:val="both"/>
        <w:rPr>
          <w:rFonts w:ascii="Arial" w:hAnsi="Arial" w:cs="Arial"/>
        </w:rPr>
      </w:pPr>
      <w:r w:rsidRPr="003425B9">
        <w:rPr>
          <w:rFonts w:ascii="Arial" w:hAnsi="Arial" w:cs="Arial"/>
        </w:rPr>
        <w:t xml:space="preserve">For proliferation assays, N2A cells were transfected with the plasmids indicated in the figures and a 1 h BrdU pulse (Roche BrdU Kit) was given before fixation. Cells were fixed </w:t>
      </w:r>
      <w:r w:rsidRPr="003425B9">
        <w:rPr>
          <w:rFonts w:ascii="Arial" w:hAnsi="Arial" w:cs="Arial"/>
          <w:lang w:val="en-GB"/>
        </w:rPr>
        <w:t>with 4% PFA for 20 min at room temperature.</w:t>
      </w:r>
      <w:r w:rsidRPr="003425B9">
        <w:rPr>
          <w:rFonts w:ascii="Arial" w:hAnsi="Arial" w:cs="Arial"/>
        </w:rPr>
        <w:t xml:space="preserve"> For the BrdU antigen retrieval, fixed cells were treated </w:t>
      </w:r>
      <w:r w:rsidRPr="003425B9">
        <w:rPr>
          <w:rFonts w:ascii="Arial" w:eastAsia="Times New Roman" w:hAnsi="Arial" w:cs="Arial"/>
          <w:lang w:eastAsia="de-DE"/>
        </w:rPr>
        <w:t>with 1N</w:t>
      </w:r>
      <w:r w:rsidRPr="003425B9">
        <w:rPr>
          <w:rFonts w:ascii="Arial" w:hAnsi="Arial" w:cs="Arial"/>
        </w:rPr>
        <w:t xml:space="preserve"> </w:t>
      </w:r>
      <w:r w:rsidRPr="003425B9">
        <w:rPr>
          <w:rFonts w:ascii="Arial" w:eastAsia="Times New Roman" w:hAnsi="Arial" w:cs="Arial"/>
          <w:lang w:eastAsia="de-DE"/>
        </w:rPr>
        <w:t xml:space="preserve">HCl during 30 min followed by two washes with Boratbuffer (150 mM H3BO3, pH 8,4) of 10 min each for neutralization. </w:t>
      </w:r>
      <w:r w:rsidRPr="003425B9">
        <w:rPr>
          <w:rFonts w:ascii="Arial" w:hAnsi="Arial" w:cs="Arial"/>
          <w:lang w:val="en-GB"/>
        </w:rPr>
        <w:t>Cells were then permeabilised and blocked in 10% horse serum / 0.1% Triton-X100/PBS for 1 hour and</w:t>
      </w:r>
      <w:r w:rsidRPr="003425B9">
        <w:rPr>
          <w:rFonts w:ascii="Arial" w:eastAsia="Times New Roman" w:hAnsi="Arial" w:cs="Arial"/>
          <w:lang w:eastAsia="de-DE"/>
        </w:rPr>
        <w:t xml:space="preserve"> </w:t>
      </w:r>
      <w:r w:rsidRPr="003425B9">
        <w:rPr>
          <w:rFonts w:ascii="Arial" w:hAnsi="Arial" w:cs="Arial"/>
        </w:rPr>
        <w:t>incubation with anti-BrdU antibody (1:200, sheep, ab1893, abcam) was perfomed over night</w:t>
      </w:r>
      <w:r w:rsidRPr="003425B9">
        <w:rPr>
          <w:rFonts w:ascii="Arial" w:hAnsi="Arial" w:cs="Arial"/>
          <w:lang w:val="en-GB"/>
        </w:rPr>
        <w:t xml:space="preserve"> at 4°C in blocking solution. Cells were washed 3 times in PBS and then incubated with fluorophore-coupled secondary antibodies in blocking solution at room temperature. After 3 washes with PBS, cells were incubated for 1 min in DAPI solution and washed 3 more times in PBS. Coverslips were mounted on glass slides with fluorescent mounting medium (#S3023, DAKO, Jena, Germany). Images were obtained using an </w:t>
      </w:r>
      <w:r w:rsidRPr="003425B9">
        <w:rPr>
          <w:rFonts w:ascii="Arial" w:hAnsi="Arial" w:cs="Arial"/>
        </w:rPr>
        <w:t xml:space="preserve">Axioplan M2 fluorescent microscope (Zeiss) and processed with </w:t>
      </w:r>
      <w:r w:rsidRPr="003425B9">
        <w:rPr>
          <w:rFonts w:ascii="Arial" w:eastAsia="Calibri" w:hAnsi="Arial" w:cs="Arial"/>
        </w:rPr>
        <w:t>FIJI (ImageJ, v. 2.0.0-rc-43/1.51d)</w:t>
      </w:r>
      <w:r w:rsidR="00157958" w:rsidRPr="003425B9">
        <w:rPr>
          <w:rFonts w:ascii="Arial" w:eastAsia="Calibri" w:hAnsi="Arial" w:cs="Arial"/>
        </w:rPr>
        <w:fldChar w:fldCharType="begin"/>
      </w:r>
      <w:r w:rsidR="00071DD6" w:rsidRPr="003425B9">
        <w:rPr>
          <w:rFonts w:ascii="Arial" w:eastAsia="Calibri" w:hAnsi="Arial" w:cs="Arial"/>
        </w:rPr>
        <w:instrText xml:space="preserve"> ADDIN ZOTERO_ITEM CSL_CITATION {"citationID":"26bbbl61m6","properties":{"formattedCitation":"[24]","plainCitation":"","noteIndex":0},"citationItems":[{"id":"iP5b0nEG/3T7RmfXV","uris":["http://zotero.org/users/2903207/items/CSBGCMN7"],"uri":["http://zotero.org/users/2903207/items/CSBGCMN7"],"itemData":{"id":1634,"type":"article-journal","title":"Fiji: an open-source platform for biological-image analysis","container-title":"Nature Methods","page":"676-682","volume":"9","issue":"7","source":"PubMed","abstract":"Fiji is a distribution of the popular open-source software ImageJ focused on biological-image analysis. Fiji uses modern software engineering practices to combine powerful software libraries with a broad range of scripting languages to enable rapid prototyping of image-processing algorithms. Fiji facilitates the transformation of new algorithms into ImageJ plugins that can be shared with end users through an integrated update system. We propose Fiji as a platform for productive collaboration between computer science and biology research communities.","DOI":"10.1038/nmeth.2019","ISSN":"1548-7105","note":"PMID: 22743772\nPMCID: PMC3855844","shortTitle":"Fiji","journalAbbreviation":"Nat. Methods","language":"eng","author":[{"family":"Schindelin","given":"Johannes"},{"family":"Arganda-Carreras","given":"Ignacio"},{"family":"Frise","given":"Erwin"},{"family":"Kaynig","given":"Verena"},{"family":"Longair","given":"Mark"},{"family":"Pietzsch","given":"Tobias"},{"family":"Preibisch","given":"Stephan"},{"family":"Rueden","given":"Curtis"},{"family":"Saalfeld","given":"Stephan"},{"family":"Schmid","given":"Benjamin"},{"family":"Tinevez","given":"Jean-Yves"},{"family":"White","given":"Daniel James"},{"family":"Hartenstein","given":"Volker"},{"family":"Eliceiri","given":"Kevin"},{"family":"Tomancak","given":"Pavel"},{"family":"Cardona","given":"Albert"}],"issued":{"date-parts":[["2012",6,28]]}}}],"schema":"https://github.com/citation-style-language/schema/raw/master/csl-citation.json"} </w:instrText>
      </w:r>
      <w:r w:rsidR="00157958" w:rsidRPr="003425B9">
        <w:rPr>
          <w:rFonts w:ascii="Arial" w:eastAsia="Calibri" w:hAnsi="Arial" w:cs="Arial"/>
        </w:rPr>
        <w:fldChar w:fldCharType="end"/>
      </w:r>
      <w:r w:rsidR="00071DD6" w:rsidRPr="003425B9">
        <w:rPr>
          <w:rFonts w:ascii="Arial" w:eastAsia="Calibri" w:hAnsi="Arial" w:cs="Arial"/>
        </w:rPr>
        <w:t>[24][23][22][21][20][18][17]</w:t>
      </w:r>
      <w:r w:rsidRPr="003425B9">
        <w:rPr>
          <w:rFonts w:ascii="Arial" w:eastAsia="Calibri" w:hAnsi="Arial" w:cs="Arial"/>
        </w:rPr>
        <w:t xml:space="preserve"> and , Inkscape (v. 0.91). </w:t>
      </w:r>
    </w:p>
    <w:p w:rsidR="003E18E5" w:rsidRPr="003425B9" w:rsidRDefault="003E18E5" w:rsidP="00AB58B4">
      <w:pPr>
        <w:spacing w:line="480" w:lineRule="auto"/>
        <w:jc w:val="both"/>
        <w:rPr>
          <w:rFonts w:ascii="Arial" w:hAnsi="Arial" w:cs="Arial"/>
          <w:lang w:val="en-US"/>
        </w:rPr>
      </w:pPr>
    </w:p>
    <w:p w:rsidR="00AB58B4" w:rsidRPr="003425B9" w:rsidRDefault="00AB58B4" w:rsidP="00AB58B4">
      <w:pPr>
        <w:spacing w:line="480" w:lineRule="auto"/>
        <w:jc w:val="both"/>
        <w:rPr>
          <w:rFonts w:ascii="Arial" w:hAnsi="Arial" w:cs="Arial"/>
          <w:b/>
          <w:lang w:val="en-US"/>
        </w:rPr>
      </w:pPr>
      <w:r w:rsidRPr="003425B9">
        <w:rPr>
          <w:rFonts w:ascii="Arial" w:hAnsi="Arial" w:cs="Arial"/>
          <w:b/>
          <w:lang w:val="en-US"/>
        </w:rPr>
        <w:t>References</w:t>
      </w:r>
    </w:p>
    <w:p w:rsidR="00952907" w:rsidRPr="003425B9" w:rsidRDefault="00157958" w:rsidP="00952907">
      <w:pPr>
        <w:pStyle w:val="Literaturverzeichnis4"/>
      </w:pPr>
      <w:r w:rsidRPr="003425B9">
        <w:fldChar w:fldCharType="begin"/>
      </w:r>
      <w:r w:rsidR="00952907" w:rsidRPr="003425B9">
        <w:instrText xml:space="preserve"> ADDIN ZOTERO_BIBL {"uncited":[],"omitted":[],"custom":[]} CSL_BIBLIOGRAPHY </w:instrText>
      </w:r>
      <w:r w:rsidRPr="003425B9">
        <w:fldChar w:fldCharType="separate"/>
      </w:r>
      <w:r w:rsidR="00952907" w:rsidRPr="003425B9">
        <w:t xml:space="preserve">1. </w:t>
      </w:r>
      <w:r w:rsidR="00952907" w:rsidRPr="003425B9">
        <w:tab/>
        <w:t>Livak KJ, Schmittgen TD (2001) Analysis of Relative Gene Expression Data Using Real-Time Quantitative PCR and the 2−ΔΔCT Method. Methods 25:402</w:t>
      </w:r>
      <w:r w:rsidRPr="003425B9">
        <w:t>–408. https://doi.org/10.1006/meth.2001.1262</w:t>
      </w:r>
    </w:p>
    <w:p w:rsidR="00952907" w:rsidRPr="003425B9" w:rsidRDefault="00157958" w:rsidP="00952907">
      <w:pPr>
        <w:pStyle w:val="Literaturverzeichnis4"/>
      </w:pPr>
      <w:r w:rsidRPr="003425B9">
        <w:t xml:space="preserve">2. </w:t>
      </w:r>
      <w:r w:rsidRPr="003425B9">
        <w:tab/>
        <w:t>Grüning BA, Fallmann J, Yusuf D, et al (2017) The RNA workbench: best practices for RNA and high-throughput sequencing bioinformatics in Galaxy. Nucleic Acids Res 45:W560–W566. https://doi.org/10.1093/nar/gkx409</w:t>
      </w:r>
    </w:p>
    <w:p w:rsidR="00952907" w:rsidRPr="003425B9" w:rsidRDefault="00157958" w:rsidP="00952907">
      <w:pPr>
        <w:pStyle w:val="Literaturverzeichnis4"/>
      </w:pPr>
      <w:r w:rsidRPr="003425B9">
        <w:t xml:space="preserve">3. </w:t>
      </w:r>
      <w:r w:rsidRPr="003425B9">
        <w:tab/>
        <w:t>Andrews S FastQC A Quality Control tool for High Throughput Sequence Data</w:t>
      </w:r>
    </w:p>
    <w:p w:rsidR="00952907" w:rsidRPr="003425B9" w:rsidRDefault="00157958" w:rsidP="00952907">
      <w:pPr>
        <w:pStyle w:val="Literaturverzeichnis4"/>
      </w:pPr>
      <w:r w:rsidRPr="003425B9">
        <w:t xml:space="preserve">4. </w:t>
      </w:r>
      <w:r w:rsidRPr="003425B9">
        <w:tab/>
        <w:t>Krueger F A wrapper tool around Cutadapt and FastQC to consistently apply quality and adapter trimming to FastQ files, with some extra functionality for MspI-digested RRBS-type (Reduced Representation Bisufite-Seq) libraries.</w:t>
      </w:r>
    </w:p>
    <w:p w:rsidR="00952907" w:rsidRPr="003425B9" w:rsidRDefault="00157958" w:rsidP="00952907">
      <w:pPr>
        <w:pStyle w:val="Literaturverzeichnis4"/>
      </w:pPr>
      <w:r w:rsidRPr="003425B9">
        <w:t xml:space="preserve">5. </w:t>
      </w:r>
      <w:r w:rsidRPr="003425B9">
        <w:tab/>
        <w:t>Kim D, Pertea G, Trapnell C, et al (2013) TopHat2: accurate alignment of transcriptomes in the presence of insertions, deletions and gene fusions. Genome Biol 14:R36. https://doi.org/10.1186/gb-2013-14-4-r36</w:t>
      </w:r>
    </w:p>
    <w:p w:rsidR="00952907" w:rsidRPr="003425B9" w:rsidRDefault="00157958" w:rsidP="00952907">
      <w:pPr>
        <w:pStyle w:val="Literaturverzeichnis4"/>
      </w:pPr>
      <w:r w:rsidRPr="003425B9">
        <w:t xml:space="preserve">6. </w:t>
      </w:r>
      <w:r w:rsidRPr="003425B9">
        <w:tab/>
        <w:t>Yates A, Akanni W, Amode MR, et al (2015) Ensembl 2016. Nucleic Acids Res 44:D710. https://doi.org/10.1093/nar/gkv1157</w:t>
      </w:r>
    </w:p>
    <w:p w:rsidR="00952907" w:rsidRPr="003425B9" w:rsidRDefault="00157958" w:rsidP="00952907">
      <w:pPr>
        <w:pStyle w:val="Literaturverzeichnis4"/>
      </w:pPr>
      <w:r w:rsidRPr="003425B9">
        <w:t xml:space="preserve">7. </w:t>
      </w:r>
      <w:r w:rsidRPr="003425B9">
        <w:tab/>
        <w:t>Anders S, Pyl PT, Huber W (2014) HTSeq—a Python framework to work with high-throughput sequencing data. Bioinformatics 31:166. https://doi.org/10.1093/bioinformatics/btu638</w:t>
      </w:r>
    </w:p>
    <w:p w:rsidR="00952907" w:rsidRPr="003425B9" w:rsidRDefault="00157958" w:rsidP="00952907">
      <w:pPr>
        <w:pStyle w:val="Literaturverzeichnis4"/>
      </w:pPr>
      <w:r w:rsidRPr="003425B9">
        <w:t xml:space="preserve">8. </w:t>
      </w:r>
      <w:r w:rsidRPr="003425B9">
        <w:tab/>
        <w:t>Love MI, Huber W, Anders S (2014) Moderated estimation of fold change and dispersion for RNA-seq data with DESeq2. Genome Biol 15:550. https://doi.org/10.1186/s13059-014-0550-8</w:t>
      </w:r>
    </w:p>
    <w:p w:rsidR="00952907" w:rsidRPr="003425B9" w:rsidRDefault="00157958" w:rsidP="00952907">
      <w:pPr>
        <w:pStyle w:val="Literaturverzeichnis4"/>
      </w:pPr>
      <w:r w:rsidRPr="003425B9">
        <w:t xml:space="preserve">9. </w:t>
      </w:r>
      <w:r w:rsidRPr="003425B9">
        <w:tab/>
        <w:t>Mathelier A, Fornes O, Arenillas DJ, et al (2016) JASPAR 2016: a major expansion and update of the open-access database of transcription factor binding profiles. Nucleic Acids Res 44:D110–D115. https://doi.org/10.1093/nar/gkv1176</w:t>
      </w:r>
    </w:p>
    <w:p w:rsidR="00952907" w:rsidRPr="003425B9" w:rsidRDefault="00157958" w:rsidP="00952907">
      <w:pPr>
        <w:pStyle w:val="Literaturverzeichnis4"/>
      </w:pPr>
      <w:r w:rsidRPr="003425B9">
        <w:t xml:space="preserve">10. </w:t>
      </w:r>
      <w:r w:rsidRPr="003425B9">
        <w:tab/>
        <w:t>Grant CE, Bailey TL, Noble WS (2011) FIMO: scanning for occurrences of a given motif. Bioinformatics 27:1017–1018. https://doi.org/10.1093/bioinformatics/btr064</w:t>
      </w:r>
    </w:p>
    <w:p w:rsidR="00952907" w:rsidRPr="003425B9" w:rsidRDefault="00157958" w:rsidP="00952907">
      <w:pPr>
        <w:pStyle w:val="Literaturverzeichnis4"/>
      </w:pPr>
      <w:r w:rsidRPr="003425B9">
        <w:t xml:space="preserve">11. </w:t>
      </w:r>
      <w:r w:rsidRPr="003425B9">
        <w:tab/>
        <w:t>Huang DW, Sherman BT, Lempicki RA (2009) Bioinformatics enrichment tools: paths toward the comprehensive functional analysis of large gene lists. Nucleic Acids Res 37:1–13. https://doi.org/10.1093/nar/gkn923</w:t>
      </w:r>
    </w:p>
    <w:p w:rsidR="00952907" w:rsidRPr="003425B9" w:rsidRDefault="00157958" w:rsidP="00952907">
      <w:pPr>
        <w:pStyle w:val="Literaturverzeichnis4"/>
      </w:pPr>
      <w:r w:rsidRPr="003425B9">
        <w:t xml:space="preserve">12. </w:t>
      </w:r>
      <w:r w:rsidRPr="003425B9">
        <w:tab/>
        <w:t>Huang DW, Sherman BT, Lempicki RA (2009) Systematic and integrative analysis of large gene lists using DAVID bioinformatics resources. Nat Protoc 4:44–57. https://doi.org/10.1038/nprot.2008.211</w:t>
      </w:r>
    </w:p>
    <w:p w:rsidR="00952907" w:rsidRPr="003425B9" w:rsidRDefault="00157958" w:rsidP="00952907">
      <w:pPr>
        <w:pStyle w:val="Literaturverzeichnis4"/>
      </w:pPr>
      <w:r w:rsidRPr="003425B9">
        <w:t xml:space="preserve">13. </w:t>
      </w:r>
      <w:r w:rsidRPr="003425B9">
        <w:tab/>
        <w:t>Lewis BP, Shih I -hun., Jones-Rhoades MW, et al (2003) Prediction of Mammalian MicroRNA Targets. Cell 115:787–798. https://doi.org/10.1016/S0092-8674(03)01018-3</w:t>
      </w:r>
    </w:p>
    <w:p w:rsidR="00952907" w:rsidRPr="003425B9" w:rsidRDefault="00157958" w:rsidP="00952907">
      <w:pPr>
        <w:pStyle w:val="Literaturverzeichnis4"/>
      </w:pPr>
      <w:r w:rsidRPr="003425B9">
        <w:t xml:space="preserve">14. </w:t>
      </w:r>
      <w:r w:rsidRPr="003425B9">
        <w:tab/>
        <w:t>Betel D, Wilson M, Gabow A, et al (2008) The microRNA.org resource: targets and expression. Nucleic Acids Res 36:D149–D153. https://doi.org/10.1093/nar/gkm995</w:t>
      </w:r>
    </w:p>
    <w:p w:rsidR="00952907" w:rsidRPr="003425B9" w:rsidRDefault="00157958" w:rsidP="00952907">
      <w:pPr>
        <w:pStyle w:val="Literaturverzeichnis4"/>
      </w:pPr>
      <w:r w:rsidRPr="003425B9">
        <w:t xml:space="preserve">15. </w:t>
      </w:r>
      <w:r w:rsidRPr="003425B9">
        <w:tab/>
        <w:t>Wong N, Wang X (2015) miRDB: an online resource for microRNA target prediction and functional annotations. Nucleic Acids Res 43:D146–D152. https://doi.org/10.1093/nar/gku1104</w:t>
      </w:r>
    </w:p>
    <w:p w:rsidR="00952907" w:rsidRPr="003425B9" w:rsidRDefault="00157958" w:rsidP="00952907">
      <w:pPr>
        <w:pStyle w:val="Literaturverzeichnis4"/>
      </w:pPr>
      <w:r w:rsidRPr="003425B9">
        <w:t xml:space="preserve">16. </w:t>
      </w:r>
      <w:r w:rsidRPr="003425B9">
        <w:tab/>
        <w:t>Griffiths-Jones S, Saini HK, van Dongen S, Enright AJ (2008) miRBase: tools for microRNA genomics. Nucleic Acids Res 36:D154–D158. https://doi.org/10.1093/nar/gkm952</w:t>
      </w:r>
    </w:p>
    <w:p w:rsidR="00952907" w:rsidRPr="003425B9" w:rsidRDefault="00157958" w:rsidP="00952907">
      <w:pPr>
        <w:pStyle w:val="Literaturverzeichnis4"/>
      </w:pPr>
      <w:r w:rsidRPr="003425B9">
        <w:t xml:space="preserve">17. </w:t>
      </w:r>
      <w:r w:rsidRPr="003425B9">
        <w:tab/>
        <w:t>Shevchenko A, Tomas H, Havli J, et al (2007) In-gel digestion for mass spectrometric characterization of proteins and proteomes. Nat Protoc 1:2856–2860. https://doi.org/10.1038/nprot.2006.468</w:t>
      </w:r>
    </w:p>
    <w:p w:rsidR="00952907" w:rsidRPr="003425B9" w:rsidRDefault="00157958" w:rsidP="00952907">
      <w:pPr>
        <w:pStyle w:val="Literaturverzeichnis4"/>
      </w:pPr>
      <w:r w:rsidRPr="003425B9">
        <w:t xml:space="preserve">18. </w:t>
      </w:r>
      <w:r w:rsidRPr="003425B9">
        <w:tab/>
        <w:t>Rappsilber J, Mann M, Ishihama Y (2007) Protocol for micro-purification, enrichment, pre-fractionation and storage of peptides for proteomics using StageTips. Nat Protoc 2:1896–1906. https://doi.org/10.1038/nprot.2007.261</w:t>
      </w:r>
    </w:p>
    <w:p w:rsidR="00952907" w:rsidRPr="003425B9" w:rsidRDefault="00157958" w:rsidP="00952907">
      <w:pPr>
        <w:pStyle w:val="Literaturverzeichnis4"/>
      </w:pPr>
      <w:r w:rsidRPr="003425B9">
        <w:t xml:space="preserve">19. </w:t>
      </w:r>
      <w:r w:rsidRPr="003425B9">
        <w:tab/>
        <w:t>Cox J, Mann M (2008) MaxQuant enables high peptide identification rates, individualized p.p.b.-range mass accuracies and proteome-wide protein quantification. Nat Biotechnol 26:1367–1372. https://doi.org/10.1038/nbt.1511</w:t>
      </w:r>
    </w:p>
    <w:p w:rsidR="00952907" w:rsidRPr="003425B9" w:rsidRDefault="00157958" w:rsidP="00952907">
      <w:pPr>
        <w:pStyle w:val="Literaturverzeichnis4"/>
      </w:pPr>
      <w:r w:rsidRPr="003425B9">
        <w:t xml:space="preserve">20. </w:t>
      </w:r>
      <w:r w:rsidRPr="003425B9">
        <w:tab/>
        <w:t>Vance KW, Sansom SN, Lee S, et al (2014) The long non</w:t>
      </w:r>
      <w:r w:rsidRPr="003425B9">
        <w:rPr>
          <w:rFonts w:cs="Myriad Pro"/>
        </w:rPr>
        <w:t>‐</w:t>
      </w:r>
      <w:r w:rsidRPr="003425B9">
        <w:t>coding RNA Paupar regulates the expression of both local and distal genes. EMBO J e201386225. https://doi.org/10.1002/embj.201386225</w:t>
      </w:r>
    </w:p>
    <w:p w:rsidR="00952907" w:rsidRPr="003425B9" w:rsidRDefault="00157958" w:rsidP="00952907">
      <w:pPr>
        <w:pStyle w:val="Literaturverzeichnis4"/>
      </w:pPr>
      <w:r w:rsidRPr="003425B9">
        <w:t xml:space="preserve">21. </w:t>
      </w:r>
      <w:r w:rsidRPr="003425B9">
        <w:tab/>
        <w:t>Behler J, Sharma K, Wilde A, et al (2018) The host-encoded RNase E endonuclease as the maturation enzyme of a CRISPR-Cas subtype III-B system. Nature Microbiol in press</w:t>
      </w:r>
    </w:p>
    <w:p w:rsidR="00952907" w:rsidRPr="003425B9" w:rsidRDefault="00157958" w:rsidP="00952907">
      <w:pPr>
        <w:pStyle w:val="Literaturverzeichnis4"/>
      </w:pPr>
      <w:r w:rsidRPr="003425B9">
        <w:t xml:space="preserve">22. </w:t>
      </w:r>
      <w:r w:rsidRPr="003425B9">
        <w:tab/>
        <w:t>Hellbach N, Weise SC, Vezzali R, et al (2014) Neural deletion of Tgfbr2 impairs angiogenesis through an altered secretome. Hum Mol Genet 23:6177–6190. https://doi.org/10.1093/hmg/ddu338</w:t>
      </w:r>
    </w:p>
    <w:p w:rsidR="00952907" w:rsidRPr="003425B9" w:rsidRDefault="00157958" w:rsidP="00952907">
      <w:pPr>
        <w:pStyle w:val="Literaturverzeichnis4"/>
      </w:pPr>
      <w:r w:rsidRPr="003425B9">
        <w:t xml:space="preserve">23. </w:t>
      </w:r>
      <w:r w:rsidRPr="003425B9">
        <w:tab/>
        <w:t>Vezzali R, Weise SC, Hellbach N, et al (2016) The FOXG1/FOXO/SMAD network balances proliferation and differentiation of cortical progenitors and activates Kcnh3 expression in mature neurons. Oncotarget 5:</w:t>
      </w:r>
    </w:p>
    <w:p w:rsidR="00952907" w:rsidRPr="003425B9" w:rsidRDefault="00157958" w:rsidP="00952907">
      <w:pPr>
        <w:pStyle w:val="Literaturverzeichnis4"/>
      </w:pPr>
      <w:r w:rsidRPr="003425B9">
        <w:t xml:space="preserve">24. </w:t>
      </w:r>
      <w:r w:rsidRPr="003425B9">
        <w:tab/>
        <w:t>Schindelin J, Arganda-Carreras I, Frise E, et al (2012) Fiji: an open-source platform for biological-image analysis. Nat Methods 9:676–682. https://doi.org/10.1038/nmeth.2019</w:t>
      </w:r>
    </w:p>
    <w:p w:rsidR="00AD6F4C" w:rsidRPr="003425B9" w:rsidRDefault="00157958">
      <w:pPr>
        <w:spacing w:line="480" w:lineRule="auto"/>
        <w:jc w:val="both"/>
        <w:rPr>
          <w:rFonts w:ascii="Arial" w:hAnsi="Arial" w:cs="Times New Roman"/>
        </w:rPr>
      </w:pPr>
      <w:r w:rsidRPr="003425B9">
        <w:rPr>
          <w:rFonts w:ascii="Arial" w:hAnsi="Arial" w:cs="Arial"/>
          <w:b/>
          <w:lang w:val="en-US"/>
        </w:rPr>
        <w:fldChar w:fldCharType="end"/>
      </w:r>
    </w:p>
    <w:p w:rsidR="00AD6F4C" w:rsidRPr="003425B9" w:rsidRDefault="00AD6F4C">
      <w:pPr>
        <w:spacing w:line="480" w:lineRule="auto"/>
        <w:jc w:val="both"/>
        <w:rPr>
          <w:rFonts w:ascii="Arial" w:hAnsi="Arial" w:cs="Arial"/>
          <w:b/>
          <w:lang w:val="en-US"/>
        </w:rPr>
      </w:pPr>
    </w:p>
    <w:p w:rsidR="00AB58B4" w:rsidRPr="003425B9" w:rsidRDefault="00AB58B4" w:rsidP="00AB58B4">
      <w:pPr>
        <w:rPr>
          <w:rFonts w:ascii="Arial" w:hAnsi="Arial"/>
        </w:rPr>
      </w:pPr>
      <w:r w:rsidRPr="003425B9">
        <w:rPr>
          <w:rFonts w:ascii="Arial" w:hAnsi="Arial" w:cs="Arial"/>
        </w:rPr>
        <w:t xml:space="preserve"> </w:t>
      </w:r>
    </w:p>
    <w:p w:rsidR="00593249" w:rsidRPr="003425B9" w:rsidRDefault="00593249">
      <w:pPr>
        <w:rPr>
          <w:rFonts w:ascii="Arial" w:hAnsi="Arial" w:cs="Arial"/>
          <w:b/>
          <w:lang w:val="en-US"/>
        </w:rPr>
      </w:pPr>
      <w:r w:rsidRPr="003425B9">
        <w:rPr>
          <w:rFonts w:ascii="Arial" w:hAnsi="Arial" w:cs="Arial"/>
          <w:b/>
          <w:lang w:val="en-US"/>
        </w:rPr>
        <w:br w:type="page"/>
      </w:r>
    </w:p>
    <w:p w:rsidR="004156D7" w:rsidRPr="003425B9" w:rsidRDefault="00E01E7B">
      <w:pPr>
        <w:rPr>
          <w:rFonts w:ascii="Arial" w:hAnsi="Arial" w:cs="Arial"/>
          <w:b/>
          <w:lang w:val="en-US"/>
        </w:rPr>
      </w:pPr>
      <w:r w:rsidRPr="003425B9">
        <w:rPr>
          <w:rFonts w:ascii="Arial" w:hAnsi="Arial" w:cs="Arial"/>
          <w:b/>
          <w:lang w:val="en-US"/>
        </w:rPr>
        <w:t>Supplementary Table S1: qRT-PCR Primers</w:t>
      </w:r>
    </w:p>
    <w:tbl>
      <w:tblPr>
        <w:tblW w:w="5520"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22"/>
        <w:gridCol w:w="4220"/>
      </w:tblGrid>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Ddx5_forq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TCCAGAGGGCTAGATGTGGAA</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Ddx5_revq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TGCCTGTTTTGGTACTGCGA</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Enc1_forq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TACTGCATTCGTCAGCACCT</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Enc1_revq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ATGACATCTCATCTCGCCGT</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Foxg1_forq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AATGACTTCGCAGACCAGCA</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Foxg1_revq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CCGGACAGTCCTGTCGTAAA</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Gapdh_forq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CGGCCGCATCTTCTTGTG</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Gapdh_revq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TGACCAGGCGCCCAATAC</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Homer3_forq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CAGTCGAGCCAACACTGTCT</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Homer3_revq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AGATTTCTCTCGAGCCAGCC</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Itpka_forq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ATCTGCTGAGCGACAGTGAG</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Itpka_revq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GCAGATTGACCATGGTACGG</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Nrp2_forq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GACGATCGGGAGAGATTTCCA</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Nrp2_revq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AATCCTCACCTGCAAAAGCTG</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Olfml2b_forq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GCTGACAGCCGAGATTTGAAG</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Olfml2b_revq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GTGGTAACCGAATGCAGCTT</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pri-miR200a_forq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CGGACAGTGCTGGATTTCTT</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pri-miR200a_revq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CAGGAGGACAAGTGTGTATCATC</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pri-miR200b_forq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TGATCTCTAATACTGCCTGGTAATG</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pri-miR200b_revq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CCATAGCCCTACCTTGGATAAG</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pri-miR429_forq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CCTTCCCTCTACAGGTATCAAATC</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pri-miR429_revq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GACGGCATTACCAGACAGTATTA</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Prkar2b_forq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GCAAGAGGCTTGCAAAGACA</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Prkar2b_revq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CGTGTTCCCCTTCTTTGACC</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Serpinf1_forq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ACGGCTTGGACTCTGATCTC</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Serpinf1_revq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TCAAGTTCTGGGTCACGGTC</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Sqle_forq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TCACCATGGCCGATTCATCA</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Sqle_revq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CCTTGTATTGCACGCCGATT</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Stc2_forq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TTTCTGCACAACGCTGGAAA</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Stc2_revq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CCAAATTTATGACGCAGGGCA</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Tmem108_forq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GCATGCAGAAGTAAGCGTGT</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Tmem108_revq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CCTGCTGGTCCTCCAGTTTA</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Ybx3_forq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TACAGACGCGGCTACTATGG</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Ybx3_revq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GGGCTCAAATCCTTCACTGC</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Zdhhc15_forq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GAAGCAGATGCTTGTGGACAT</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Zdhhc15_revq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TTGATTAGATGGCACCGGTCA</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Zeb1_forq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CTGCTCCCTGTGCAGTTACA</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Zeb1_revq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CTTGAACTTGCGGTTTCCCC</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Zfp462_forq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GGCCACGGATTGTCAGTCTCC</w:t>
            </w:r>
          </w:p>
        </w:tc>
      </w:tr>
      <w:tr w:rsidR="00EB19C2" w:rsidRPr="003425B9">
        <w:trPr>
          <w:trHeight w:val="240"/>
        </w:trPr>
        <w:tc>
          <w:tcPr>
            <w:tcW w:w="190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Zfp462_revq</w:t>
            </w:r>
          </w:p>
        </w:tc>
        <w:tc>
          <w:tcPr>
            <w:tcW w:w="3620" w:type="dxa"/>
            <w:shd w:val="clear" w:color="auto" w:fill="auto"/>
            <w:noWrap/>
            <w:vAlign w:val="bottom"/>
          </w:tcPr>
          <w:p w:rsidR="00EB19C2" w:rsidRPr="003425B9" w:rsidRDefault="00EB19C2" w:rsidP="00EB19C2">
            <w:pPr>
              <w:rPr>
                <w:rFonts w:ascii="Arial" w:hAnsi="Arial"/>
                <w:szCs w:val="20"/>
                <w:lang w:eastAsia="de-DE"/>
              </w:rPr>
            </w:pPr>
            <w:r w:rsidRPr="003425B9">
              <w:rPr>
                <w:rFonts w:ascii="Arial" w:hAnsi="Arial"/>
                <w:szCs w:val="20"/>
                <w:lang w:eastAsia="de-DE"/>
              </w:rPr>
              <w:t>GGGGCTCCGAGTAAGAGGAGT</w:t>
            </w:r>
          </w:p>
        </w:tc>
      </w:tr>
    </w:tbl>
    <w:p w:rsidR="00EB19C2" w:rsidRPr="003425B9" w:rsidRDefault="00EB19C2">
      <w:pPr>
        <w:rPr>
          <w:rFonts w:ascii="Arial" w:hAnsi="Arial"/>
        </w:rPr>
      </w:pPr>
    </w:p>
    <w:sectPr w:rsidR="00EB19C2" w:rsidRPr="003425B9" w:rsidSect="004156D7">
      <w:headerReference w:type="default" r:id="rId7"/>
      <w:footerReference w:type="even" r:id="rId8"/>
      <w:footerReference w:type="default" r:id="rId9"/>
      <w:pgSz w:w="11900" w:h="16840"/>
      <w:pgMar w:top="1417" w:right="1417" w:bottom="1134" w:left="1417"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F4C" w:rsidRDefault="00AD6F4C" w:rsidP="006D75E3">
      <w:r>
        <w:separator/>
      </w:r>
    </w:p>
  </w:endnote>
  <w:endnote w:type="continuationSeparator" w:id="0">
    <w:p w:rsidR="00AD6F4C" w:rsidRDefault="00AD6F4C" w:rsidP="006D75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Cambria Math">
    <w:altName w:val="Cambria"/>
    <w:panose1 w:val="00000000000000000000"/>
    <w:charset w:val="4D"/>
    <w:family w:val="roman"/>
    <w:notTrueType/>
    <w:pitch w:val="default"/>
    <w:sig w:usb0="00000003" w:usb1="00000000" w:usb2="00000000" w:usb3="00000000" w:csb0="00000001" w:csb1="00000000"/>
  </w:font>
  <w:font w:name="Segoe Print">
    <w:panose1 w:val="00000000000000000000"/>
    <w:charset w:val="00"/>
    <w:family w:val="roman"/>
    <w:notTrueType/>
    <w:pitch w:val="default"/>
    <w:sig w:usb0="00000000" w:usb1="00000000" w:usb2="00000000" w:usb3="00000000" w:csb0="00000000" w:csb1="00000000"/>
  </w:font>
  <w:font w:name="Myriad Pro">
    <w:panose1 w:val="020B0503030403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F4C" w:rsidRDefault="00AD6F4C" w:rsidP="0013515B">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AD6F4C" w:rsidRDefault="00AD6F4C" w:rsidP="00754B84">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F4C" w:rsidRDefault="00AD6F4C" w:rsidP="0013515B">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C1820">
      <w:rPr>
        <w:rStyle w:val="Seitenzahl"/>
        <w:noProof/>
      </w:rPr>
      <w:t>14</w:t>
    </w:r>
    <w:r>
      <w:rPr>
        <w:rStyle w:val="Seitenzahl"/>
      </w:rPr>
      <w:fldChar w:fldCharType="end"/>
    </w:r>
  </w:p>
  <w:p w:rsidR="00AD6F4C" w:rsidRDefault="00AD6F4C" w:rsidP="00754B84">
    <w:pPr>
      <w:pStyle w:val="Fuzeile"/>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F4C" w:rsidRDefault="00AD6F4C" w:rsidP="006D75E3">
      <w:r>
        <w:separator/>
      </w:r>
    </w:p>
  </w:footnote>
  <w:footnote w:type="continuationSeparator" w:id="0">
    <w:p w:rsidR="00AD6F4C" w:rsidRDefault="00AD6F4C" w:rsidP="006D75E3">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F4C" w:rsidRDefault="00AD6F4C">
    <w:pPr>
      <w:pStyle w:val="Kopfzeile"/>
    </w:pPr>
  </w:p>
  <w:p w:rsidR="00AD6F4C" w:rsidRDefault="00AD6F4C">
    <w:pPr>
      <w:pStyle w:val="Kopfzeil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022895"/>
    <w:multiLevelType w:val="multilevel"/>
    <w:tmpl w:val="2D3495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7F94319B"/>
    <w:multiLevelType w:val="hybridMultilevel"/>
    <w:tmpl w:val="A5BE05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aneshkumar Arumugam">
    <w15:presenceInfo w15:providerId="Windows Live" w15:userId="339e777572142c3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trackRevisions/>
  <w:doNotTrackMove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0&lt;/Suspended&gt;&lt;/ENInstantFormat&gt;"/>
    <w:docVar w:name="EN.Layout" w:val="&lt;ENLayout&gt;&lt;Style&gt;J Neuroscienc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Libraries&gt;"/>
  </w:docVars>
  <w:rsids>
    <w:rsidRoot w:val="00AB58B4"/>
    <w:rsid w:val="0004439F"/>
    <w:rsid w:val="000525A6"/>
    <w:rsid w:val="00071DD6"/>
    <w:rsid w:val="0013515B"/>
    <w:rsid w:val="00157958"/>
    <w:rsid w:val="00182CA7"/>
    <w:rsid w:val="001B490F"/>
    <w:rsid w:val="001E2742"/>
    <w:rsid w:val="001F119D"/>
    <w:rsid w:val="00223576"/>
    <w:rsid w:val="00241C05"/>
    <w:rsid w:val="002C7710"/>
    <w:rsid w:val="002E47F8"/>
    <w:rsid w:val="003425B9"/>
    <w:rsid w:val="00390E60"/>
    <w:rsid w:val="003A5008"/>
    <w:rsid w:val="003C1986"/>
    <w:rsid w:val="003E18E5"/>
    <w:rsid w:val="004156D7"/>
    <w:rsid w:val="004A54C4"/>
    <w:rsid w:val="00516097"/>
    <w:rsid w:val="00525E26"/>
    <w:rsid w:val="005664BB"/>
    <w:rsid w:val="00593249"/>
    <w:rsid w:val="00644DC7"/>
    <w:rsid w:val="00651659"/>
    <w:rsid w:val="00671861"/>
    <w:rsid w:val="00685CCE"/>
    <w:rsid w:val="006D75E3"/>
    <w:rsid w:val="006E29B6"/>
    <w:rsid w:val="006F26EC"/>
    <w:rsid w:val="00700117"/>
    <w:rsid w:val="00717833"/>
    <w:rsid w:val="00754B84"/>
    <w:rsid w:val="00796996"/>
    <w:rsid w:val="0080252F"/>
    <w:rsid w:val="0082754F"/>
    <w:rsid w:val="008767BD"/>
    <w:rsid w:val="008B517D"/>
    <w:rsid w:val="008D27C5"/>
    <w:rsid w:val="00941420"/>
    <w:rsid w:val="009418C7"/>
    <w:rsid w:val="00952907"/>
    <w:rsid w:val="009C1820"/>
    <w:rsid w:val="009E6D19"/>
    <w:rsid w:val="009F0528"/>
    <w:rsid w:val="009F64C6"/>
    <w:rsid w:val="00A21DB4"/>
    <w:rsid w:val="00A57BDF"/>
    <w:rsid w:val="00A6679A"/>
    <w:rsid w:val="00AB58B4"/>
    <w:rsid w:val="00AB7F27"/>
    <w:rsid w:val="00AD6F4C"/>
    <w:rsid w:val="00CA08E4"/>
    <w:rsid w:val="00CF1423"/>
    <w:rsid w:val="00D21771"/>
    <w:rsid w:val="00DA272C"/>
    <w:rsid w:val="00DC1DDA"/>
    <w:rsid w:val="00E01C64"/>
    <w:rsid w:val="00E01E7B"/>
    <w:rsid w:val="00E24C18"/>
    <w:rsid w:val="00E55B29"/>
    <w:rsid w:val="00E96AD8"/>
    <w:rsid w:val="00EB15EF"/>
    <w:rsid w:val="00EB19C2"/>
    <w:rsid w:val="00EC2C1D"/>
    <w:rsid w:val="00FA78BE"/>
    <w:rsid w:val="00FD321B"/>
    <w:rsid w:val="00FD784C"/>
  </w:rsids>
  <m:mathPr>
    <m:mathFont m:val="Wingdings 2"/>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ja-JP" w:bidi="ar-SA"/>
      </w:rPr>
    </w:rPrDefault>
    <w:pPrDefault/>
  </w:docDefaults>
  <w:latentStyles w:defLockedState="0" w:defUIPriority="0" w:defSemiHidden="0" w:defUnhideWhenUsed="0" w:defQFormat="0" w:count="2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Standard">
    <w:name w:val="Normal"/>
    <w:qFormat/>
    <w:rsid w:val="00FD321B"/>
  </w:style>
  <w:style w:type="paragraph" w:styleId="berschrift2">
    <w:name w:val="heading 2"/>
    <w:basedOn w:val="Standard"/>
    <w:next w:val="Standard"/>
    <w:link w:val="berschrift2Zeichen"/>
    <w:rsid w:val="003E18E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customStyle="1" w:styleId="Normal1">
    <w:name w:val="Normal1"/>
    <w:rsid w:val="00AB58B4"/>
    <w:pPr>
      <w:widowControl w:val="0"/>
      <w:spacing w:after="160" w:line="259" w:lineRule="auto"/>
    </w:pPr>
    <w:rPr>
      <w:rFonts w:ascii="Calibri" w:eastAsia="Calibri" w:hAnsi="Calibri" w:cs="Calibri"/>
      <w:color w:val="000000"/>
      <w:sz w:val="22"/>
      <w:szCs w:val="22"/>
      <w:lang w:eastAsia="de-DE"/>
    </w:rPr>
  </w:style>
  <w:style w:type="paragraph" w:styleId="Sprechblasentext">
    <w:name w:val="Balloon Text"/>
    <w:basedOn w:val="Standard"/>
    <w:link w:val="SprechblasentextZeichen"/>
    <w:uiPriority w:val="99"/>
    <w:semiHidden/>
    <w:unhideWhenUsed/>
    <w:rsid w:val="00AB58B4"/>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AB58B4"/>
    <w:rPr>
      <w:rFonts w:ascii="Lucida Grande" w:eastAsiaTheme="minorEastAsia" w:hAnsi="Lucida Grande"/>
      <w:sz w:val="18"/>
      <w:szCs w:val="18"/>
      <w:lang w:eastAsia="ja-JP"/>
    </w:rPr>
  </w:style>
  <w:style w:type="paragraph" w:styleId="Listenabsatz">
    <w:name w:val="List Paragraph"/>
    <w:basedOn w:val="Standard"/>
    <w:uiPriority w:val="34"/>
    <w:qFormat/>
    <w:rsid w:val="00AB58B4"/>
    <w:pPr>
      <w:spacing w:after="160" w:line="259" w:lineRule="auto"/>
      <w:ind w:left="720"/>
      <w:contextualSpacing/>
    </w:pPr>
    <w:rPr>
      <w:sz w:val="22"/>
      <w:szCs w:val="22"/>
      <w:lang w:val="en-IN"/>
    </w:rPr>
  </w:style>
  <w:style w:type="paragraph" w:styleId="Kommentartext">
    <w:name w:val="annotation text"/>
    <w:basedOn w:val="Standard"/>
    <w:link w:val="KommentartextZeichen"/>
    <w:uiPriority w:val="99"/>
    <w:semiHidden/>
    <w:unhideWhenUsed/>
    <w:rsid w:val="00AB58B4"/>
  </w:style>
  <w:style w:type="character" w:customStyle="1" w:styleId="KommentartextZeichen">
    <w:name w:val="Kommentartext Zeichen"/>
    <w:basedOn w:val="Absatzstandardschriftart"/>
    <w:link w:val="Kommentartext"/>
    <w:uiPriority w:val="99"/>
    <w:semiHidden/>
    <w:rsid w:val="00AB58B4"/>
    <w:rPr>
      <w:rFonts w:eastAsiaTheme="minorEastAsia"/>
      <w:lang w:eastAsia="ja-JP"/>
    </w:rPr>
  </w:style>
  <w:style w:type="character" w:styleId="Kommentarzeichen">
    <w:name w:val="annotation reference"/>
    <w:basedOn w:val="Absatzstandardschriftart"/>
    <w:semiHidden/>
    <w:unhideWhenUsed/>
    <w:rsid w:val="00AB58B4"/>
    <w:rPr>
      <w:sz w:val="18"/>
      <w:szCs w:val="18"/>
    </w:rPr>
  </w:style>
  <w:style w:type="paragraph" w:styleId="Kommentarthema">
    <w:name w:val="annotation subject"/>
    <w:basedOn w:val="Kommentartext"/>
    <w:next w:val="Kommentartext"/>
    <w:link w:val="KommentarthemaZeichen"/>
    <w:uiPriority w:val="99"/>
    <w:semiHidden/>
    <w:unhideWhenUsed/>
    <w:rsid w:val="00AB58B4"/>
    <w:rPr>
      <w:b/>
      <w:bCs/>
      <w:sz w:val="20"/>
      <w:szCs w:val="20"/>
    </w:rPr>
  </w:style>
  <w:style w:type="character" w:customStyle="1" w:styleId="KommentarthemaZeichen">
    <w:name w:val="Kommentarthema Zeichen"/>
    <w:basedOn w:val="KommentartextZeichen"/>
    <w:link w:val="Kommentarthema"/>
    <w:uiPriority w:val="99"/>
    <w:semiHidden/>
    <w:rsid w:val="00AB58B4"/>
    <w:rPr>
      <w:rFonts w:eastAsiaTheme="minorEastAsia"/>
      <w:b/>
      <w:bCs/>
      <w:sz w:val="20"/>
      <w:szCs w:val="20"/>
      <w:lang w:eastAsia="ja-JP"/>
    </w:rPr>
  </w:style>
  <w:style w:type="paragraph" w:customStyle="1" w:styleId="EndNoteBibliography">
    <w:name w:val="EndNote Bibliography"/>
    <w:basedOn w:val="Standard"/>
    <w:rsid w:val="00AB58B4"/>
    <w:rPr>
      <w:rFonts w:ascii="Arial" w:eastAsia="Times New Roman" w:hAnsi="Arial" w:cs="Arial"/>
      <w:lang w:eastAsia="de-DE"/>
    </w:rPr>
  </w:style>
  <w:style w:type="paragraph" w:styleId="Fuzeile">
    <w:name w:val="footer"/>
    <w:basedOn w:val="Standard"/>
    <w:link w:val="FuzeileZeichen"/>
    <w:uiPriority w:val="99"/>
    <w:unhideWhenUsed/>
    <w:rsid w:val="00AB58B4"/>
    <w:pPr>
      <w:tabs>
        <w:tab w:val="center" w:pos="4536"/>
        <w:tab w:val="right" w:pos="9072"/>
      </w:tabs>
    </w:pPr>
  </w:style>
  <w:style w:type="character" w:customStyle="1" w:styleId="FuzeileZeichen">
    <w:name w:val="Fußzeile Zeichen"/>
    <w:basedOn w:val="Absatzstandardschriftart"/>
    <w:link w:val="Fuzeile"/>
    <w:uiPriority w:val="99"/>
    <w:rsid w:val="00AB58B4"/>
    <w:rPr>
      <w:rFonts w:eastAsiaTheme="minorEastAsia"/>
      <w:lang w:eastAsia="ja-JP"/>
    </w:rPr>
  </w:style>
  <w:style w:type="character" w:styleId="Seitenzahl">
    <w:name w:val="page number"/>
    <w:basedOn w:val="Absatzstandardschriftart"/>
    <w:uiPriority w:val="99"/>
    <w:semiHidden/>
    <w:unhideWhenUsed/>
    <w:rsid w:val="00AB58B4"/>
  </w:style>
  <w:style w:type="paragraph" w:styleId="Bearbeitung">
    <w:name w:val="Revision"/>
    <w:hidden/>
    <w:uiPriority w:val="99"/>
    <w:semiHidden/>
    <w:rsid w:val="00AB58B4"/>
  </w:style>
  <w:style w:type="character" w:customStyle="1" w:styleId="apple-converted-space">
    <w:name w:val="apple-converted-space"/>
    <w:basedOn w:val="Absatzstandardschriftart"/>
    <w:rsid w:val="00AB58B4"/>
  </w:style>
  <w:style w:type="paragraph" w:styleId="StandardWeb">
    <w:name w:val="Normal (Web)"/>
    <w:basedOn w:val="Standard"/>
    <w:rsid w:val="00AB58B4"/>
    <w:rPr>
      <w:rFonts w:ascii="Times New Roman" w:hAnsi="Times New Roman" w:cs="Times New Roman"/>
    </w:rPr>
  </w:style>
  <w:style w:type="paragraph" w:styleId="HTMLVorformatiert">
    <w:name w:val="HTML Preformatted"/>
    <w:basedOn w:val="Standard"/>
    <w:link w:val="HTMLVorformatiertZeichen"/>
    <w:uiPriority w:val="99"/>
    <w:unhideWhenUsed/>
    <w:rsid w:val="00AB58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N" w:eastAsia="en-IN"/>
    </w:rPr>
  </w:style>
  <w:style w:type="character" w:customStyle="1" w:styleId="HTMLVorformatiertZeichen">
    <w:name w:val="HTML Vorformatiert Zeichen"/>
    <w:basedOn w:val="Absatzstandardschriftart"/>
    <w:link w:val="HTMLVorformatiert"/>
    <w:uiPriority w:val="99"/>
    <w:rsid w:val="00AB58B4"/>
    <w:rPr>
      <w:rFonts w:ascii="Courier New" w:eastAsia="Times New Roman" w:hAnsi="Courier New" w:cs="Courier New"/>
      <w:sz w:val="20"/>
      <w:szCs w:val="20"/>
      <w:lang w:val="en-IN" w:eastAsia="en-IN"/>
    </w:rPr>
  </w:style>
  <w:style w:type="character" w:customStyle="1" w:styleId="smallcaps">
    <w:name w:val="smallcaps"/>
    <w:basedOn w:val="Absatzstandardschriftart"/>
    <w:rsid w:val="00AB58B4"/>
  </w:style>
  <w:style w:type="paragraph" w:customStyle="1" w:styleId="Literaturverzeichnis1">
    <w:name w:val="Literaturverzeichnis1"/>
    <w:basedOn w:val="Standard"/>
    <w:rsid w:val="00AB58B4"/>
    <w:pPr>
      <w:spacing w:after="240"/>
      <w:ind w:left="720" w:hanging="720"/>
      <w:jc w:val="both"/>
    </w:pPr>
    <w:rPr>
      <w:rFonts w:ascii="Arial" w:hAnsi="Arial" w:cs="Arial"/>
      <w:iCs/>
      <w:szCs w:val="22"/>
      <w:lang w:val="en-US"/>
    </w:rPr>
  </w:style>
  <w:style w:type="paragraph" w:customStyle="1" w:styleId="Literaturverzeichnis2">
    <w:name w:val="Literaturverzeichnis2"/>
    <w:basedOn w:val="Standard"/>
    <w:rsid w:val="00AB58B4"/>
    <w:pPr>
      <w:spacing w:after="240"/>
      <w:ind w:left="720" w:hanging="720"/>
      <w:jc w:val="both"/>
    </w:pPr>
    <w:rPr>
      <w:rFonts w:ascii="Arial" w:hAnsi="Arial" w:cs="Arial"/>
      <w:szCs w:val="22"/>
      <w:lang w:val="en-US"/>
    </w:rPr>
  </w:style>
  <w:style w:type="paragraph" w:customStyle="1" w:styleId="Bibliography1">
    <w:name w:val="Bibliography1"/>
    <w:basedOn w:val="Standard"/>
    <w:rsid w:val="00AB58B4"/>
    <w:pPr>
      <w:tabs>
        <w:tab w:val="left" w:pos="500"/>
      </w:tabs>
      <w:spacing w:after="240"/>
      <w:ind w:left="504" w:hanging="504"/>
      <w:jc w:val="both"/>
    </w:pPr>
    <w:rPr>
      <w:rFonts w:ascii="Arial" w:eastAsia="Times New Roman" w:hAnsi="Arial" w:cs="Arial"/>
      <w:b/>
      <w:lang w:val="en-US"/>
    </w:rPr>
  </w:style>
  <w:style w:type="paragraph" w:styleId="Kopfzeile">
    <w:name w:val="header"/>
    <w:basedOn w:val="Standard"/>
    <w:link w:val="KopfzeileZeichen"/>
    <w:semiHidden/>
    <w:unhideWhenUsed/>
    <w:rsid w:val="00AB58B4"/>
    <w:pPr>
      <w:tabs>
        <w:tab w:val="center" w:pos="4536"/>
        <w:tab w:val="right" w:pos="9072"/>
      </w:tabs>
    </w:pPr>
  </w:style>
  <w:style w:type="character" w:customStyle="1" w:styleId="KopfzeileZeichen">
    <w:name w:val="Kopfzeile Zeichen"/>
    <w:basedOn w:val="Absatzstandardschriftart"/>
    <w:link w:val="Kopfzeile"/>
    <w:semiHidden/>
    <w:rsid w:val="00AB58B4"/>
    <w:rPr>
      <w:rFonts w:eastAsiaTheme="minorEastAsia"/>
      <w:lang w:eastAsia="ja-JP"/>
    </w:rPr>
  </w:style>
  <w:style w:type="character" w:styleId="Link">
    <w:name w:val="Hyperlink"/>
    <w:basedOn w:val="Absatzstandardschriftart"/>
    <w:uiPriority w:val="99"/>
    <w:rsid w:val="005664BB"/>
    <w:rPr>
      <w:color w:val="0000D4"/>
      <w:u w:val="single"/>
    </w:rPr>
  </w:style>
  <w:style w:type="character" w:styleId="GesichteterLink">
    <w:name w:val="FollowedHyperlink"/>
    <w:basedOn w:val="Absatzstandardschriftart"/>
    <w:uiPriority w:val="99"/>
    <w:rsid w:val="005664BB"/>
    <w:rPr>
      <w:color w:val="993366"/>
      <w:u w:val="single"/>
    </w:rPr>
  </w:style>
  <w:style w:type="paragraph" w:customStyle="1" w:styleId="font5">
    <w:name w:val="font5"/>
    <w:basedOn w:val="Standard"/>
    <w:rsid w:val="005664BB"/>
    <w:pPr>
      <w:spacing w:beforeLines="1" w:afterLines="1"/>
    </w:pPr>
    <w:rPr>
      <w:rFonts w:ascii="Arial" w:eastAsiaTheme="minorHAnsi" w:hAnsi="Arial"/>
      <w:sz w:val="16"/>
      <w:szCs w:val="16"/>
      <w:lang w:eastAsia="de-DE"/>
    </w:rPr>
  </w:style>
  <w:style w:type="paragraph" w:customStyle="1" w:styleId="xl24">
    <w:name w:val="xl24"/>
    <w:basedOn w:val="Standard"/>
    <w:rsid w:val="005664BB"/>
    <w:pPr>
      <w:spacing w:beforeLines="1" w:afterLines="1"/>
    </w:pPr>
    <w:rPr>
      <w:rFonts w:ascii="Times" w:eastAsiaTheme="minorHAnsi" w:hAnsi="Times"/>
      <w:color w:val="333333"/>
      <w:sz w:val="20"/>
      <w:szCs w:val="20"/>
      <w:lang w:eastAsia="de-DE"/>
    </w:rPr>
  </w:style>
  <w:style w:type="paragraph" w:customStyle="1" w:styleId="xl25">
    <w:name w:val="xl25"/>
    <w:basedOn w:val="Standard"/>
    <w:rsid w:val="005664BB"/>
    <w:pPr>
      <w:spacing w:beforeLines="1" w:afterLines="1"/>
    </w:pPr>
    <w:rPr>
      <w:rFonts w:ascii="Times" w:eastAsiaTheme="minorHAnsi" w:hAnsi="Times"/>
      <w:color w:val="333333"/>
      <w:sz w:val="20"/>
      <w:szCs w:val="20"/>
      <w:lang w:eastAsia="de-DE"/>
    </w:rPr>
  </w:style>
  <w:style w:type="paragraph" w:customStyle="1" w:styleId="xl26">
    <w:name w:val="xl26"/>
    <w:basedOn w:val="Standard"/>
    <w:rsid w:val="005664BB"/>
    <w:pPr>
      <w:spacing w:beforeLines="1" w:afterLines="1"/>
    </w:pPr>
    <w:rPr>
      <w:rFonts w:ascii="Times" w:eastAsiaTheme="minorHAnsi" w:hAnsi="Times"/>
      <w:color w:val="333333"/>
      <w:sz w:val="20"/>
      <w:szCs w:val="20"/>
      <w:lang w:eastAsia="de-DE"/>
    </w:rPr>
  </w:style>
  <w:style w:type="paragraph" w:customStyle="1" w:styleId="Literaturverzeichnis3">
    <w:name w:val="Literaturverzeichnis3"/>
    <w:basedOn w:val="Standard"/>
    <w:rsid w:val="00A21DB4"/>
    <w:pPr>
      <w:spacing w:after="240"/>
      <w:ind w:left="720" w:hanging="720"/>
      <w:jc w:val="both"/>
    </w:pPr>
    <w:rPr>
      <w:rFonts w:ascii="Arial" w:hAnsi="Arial" w:cs="Arial"/>
      <w:color w:val="000000"/>
      <w:szCs w:val="22"/>
    </w:rPr>
  </w:style>
  <w:style w:type="paragraph" w:customStyle="1" w:styleId="EndNoteBibliographyTitle">
    <w:name w:val="EndNote Bibliography Title"/>
    <w:basedOn w:val="Standard"/>
    <w:rsid w:val="00CA08E4"/>
    <w:pPr>
      <w:jc w:val="center"/>
    </w:pPr>
    <w:rPr>
      <w:rFonts w:ascii="Arial" w:hAnsi="Arial" w:cs="Arial"/>
    </w:rPr>
  </w:style>
  <w:style w:type="character" w:customStyle="1" w:styleId="berschrift2Zeichen">
    <w:name w:val="Überschrift 2 Zeichen"/>
    <w:basedOn w:val="Absatzstandardschriftart"/>
    <w:link w:val="berschrift2"/>
    <w:rsid w:val="003E18E5"/>
    <w:rPr>
      <w:rFonts w:asciiTheme="majorHAnsi" w:eastAsiaTheme="majorEastAsia" w:hAnsiTheme="majorHAnsi" w:cstheme="majorBidi"/>
      <w:b/>
      <w:bCs/>
      <w:color w:val="4F81BD" w:themeColor="accent1"/>
      <w:sz w:val="26"/>
      <w:szCs w:val="26"/>
    </w:rPr>
  </w:style>
  <w:style w:type="character" w:styleId="Betont">
    <w:name w:val="Strong"/>
    <w:basedOn w:val="Absatzstandardschriftart"/>
    <w:uiPriority w:val="22"/>
    <w:qFormat/>
    <w:rsid w:val="003E18E5"/>
  </w:style>
  <w:style w:type="paragraph" w:customStyle="1" w:styleId="Literaturverzeichnis4">
    <w:name w:val="Literaturverzeichnis4"/>
    <w:basedOn w:val="Standard"/>
    <w:rsid w:val="00952907"/>
    <w:pPr>
      <w:tabs>
        <w:tab w:val="left" w:pos="500"/>
      </w:tabs>
      <w:spacing w:after="240"/>
      <w:ind w:left="504" w:hanging="504"/>
      <w:jc w:val="both"/>
    </w:pPr>
    <w:rPr>
      <w:rFonts w:ascii="Arial" w:hAnsi="Arial" w:cs="Arial"/>
      <w:b/>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0" w:defSemiHidden="0" w:defUnhideWhenUsed="0" w:defQFormat="0" w:count="2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1">
    <w:name w:val="Normal1"/>
    <w:rsid w:val="00AB58B4"/>
    <w:pPr>
      <w:widowControl w:val="0"/>
      <w:spacing w:after="160" w:line="259" w:lineRule="auto"/>
    </w:pPr>
    <w:rPr>
      <w:rFonts w:ascii="Calibri" w:eastAsia="Calibri" w:hAnsi="Calibri" w:cs="Calibri"/>
      <w:color w:val="000000"/>
      <w:sz w:val="22"/>
      <w:szCs w:val="22"/>
      <w:lang w:eastAsia="de-DE"/>
    </w:rPr>
  </w:style>
  <w:style w:type="paragraph" w:styleId="Sprechblasentext">
    <w:name w:val="Balloon Text"/>
    <w:basedOn w:val="Standard"/>
    <w:link w:val="SprechblasentextZeichen"/>
    <w:uiPriority w:val="99"/>
    <w:semiHidden/>
    <w:unhideWhenUsed/>
    <w:rsid w:val="00AB58B4"/>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AB58B4"/>
    <w:rPr>
      <w:rFonts w:ascii="Lucida Grande" w:eastAsiaTheme="minorEastAsia" w:hAnsi="Lucida Grande"/>
      <w:sz w:val="18"/>
      <w:szCs w:val="18"/>
      <w:lang w:eastAsia="ja-JP"/>
    </w:rPr>
  </w:style>
  <w:style w:type="paragraph" w:styleId="Listenabsatz">
    <w:name w:val="List Paragraph"/>
    <w:basedOn w:val="Standard"/>
    <w:uiPriority w:val="34"/>
    <w:qFormat/>
    <w:rsid w:val="00AB58B4"/>
    <w:pPr>
      <w:spacing w:after="160" w:line="259" w:lineRule="auto"/>
      <w:ind w:left="720"/>
      <w:contextualSpacing/>
    </w:pPr>
    <w:rPr>
      <w:sz w:val="22"/>
      <w:szCs w:val="22"/>
      <w:lang w:val="en-IN"/>
    </w:rPr>
  </w:style>
  <w:style w:type="paragraph" w:styleId="Kommentartext">
    <w:name w:val="annotation text"/>
    <w:basedOn w:val="Standard"/>
    <w:link w:val="KommentartextZeichen"/>
    <w:uiPriority w:val="99"/>
    <w:semiHidden/>
    <w:unhideWhenUsed/>
    <w:rsid w:val="00AB58B4"/>
  </w:style>
  <w:style w:type="character" w:customStyle="1" w:styleId="KommentartextZeichen">
    <w:name w:val="Kommentartext Zeichen"/>
    <w:basedOn w:val="Absatzstandardschriftart"/>
    <w:link w:val="Kommentartext"/>
    <w:uiPriority w:val="99"/>
    <w:semiHidden/>
    <w:rsid w:val="00AB58B4"/>
    <w:rPr>
      <w:rFonts w:eastAsiaTheme="minorEastAsia"/>
      <w:lang w:eastAsia="ja-JP"/>
    </w:rPr>
  </w:style>
  <w:style w:type="character" w:styleId="Kommentarzeichen">
    <w:name w:val="annotation reference"/>
    <w:basedOn w:val="Absatzstandardschriftart"/>
    <w:semiHidden/>
    <w:unhideWhenUsed/>
    <w:rsid w:val="00AB58B4"/>
    <w:rPr>
      <w:sz w:val="18"/>
      <w:szCs w:val="18"/>
    </w:rPr>
  </w:style>
  <w:style w:type="paragraph" w:styleId="Kommentarthema">
    <w:name w:val="annotation subject"/>
    <w:basedOn w:val="Kommentartext"/>
    <w:next w:val="Kommentartext"/>
    <w:link w:val="KommentarthemaZeichen"/>
    <w:uiPriority w:val="99"/>
    <w:semiHidden/>
    <w:unhideWhenUsed/>
    <w:rsid w:val="00AB58B4"/>
    <w:rPr>
      <w:b/>
      <w:bCs/>
      <w:sz w:val="20"/>
      <w:szCs w:val="20"/>
    </w:rPr>
  </w:style>
  <w:style w:type="character" w:customStyle="1" w:styleId="KommentarthemaZeichen">
    <w:name w:val="Kommentarthema Zeichen"/>
    <w:basedOn w:val="KommentartextZeichen"/>
    <w:link w:val="Kommentarthema"/>
    <w:uiPriority w:val="99"/>
    <w:semiHidden/>
    <w:rsid w:val="00AB58B4"/>
    <w:rPr>
      <w:rFonts w:eastAsiaTheme="minorEastAsia"/>
      <w:b/>
      <w:bCs/>
      <w:sz w:val="20"/>
      <w:szCs w:val="20"/>
      <w:lang w:eastAsia="ja-JP"/>
    </w:rPr>
  </w:style>
  <w:style w:type="paragraph" w:customStyle="1" w:styleId="EndNoteBibliography">
    <w:name w:val="EndNote Bibliography"/>
    <w:basedOn w:val="Standard"/>
    <w:rsid w:val="00AB58B4"/>
    <w:rPr>
      <w:rFonts w:ascii="Arial" w:eastAsia="Times New Roman" w:hAnsi="Arial" w:cs="Arial"/>
      <w:lang w:eastAsia="de-DE"/>
    </w:rPr>
  </w:style>
  <w:style w:type="paragraph" w:styleId="Fuzeile">
    <w:name w:val="footer"/>
    <w:basedOn w:val="Standard"/>
    <w:link w:val="FuzeileZeichen"/>
    <w:uiPriority w:val="99"/>
    <w:unhideWhenUsed/>
    <w:rsid w:val="00AB58B4"/>
    <w:pPr>
      <w:tabs>
        <w:tab w:val="center" w:pos="4536"/>
        <w:tab w:val="right" w:pos="9072"/>
      </w:tabs>
    </w:pPr>
  </w:style>
  <w:style w:type="character" w:customStyle="1" w:styleId="FuzeileZeichen">
    <w:name w:val="Fußzeile Zeichen"/>
    <w:basedOn w:val="Absatzstandardschriftart"/>
    <w:link w:val="Fuzeile"/>
    <w:uiPriority w:val="99"/>
    <w:rsid w:val="00AB58B4"/>
    <w:rPr>
      <w:rFonts w:eastAsiaTheme="minorEastAsia"/>
      <w:lang w:eastAsia="ja-JP"/>
    </w:rPr>
  </w:style>
  <w:style w:type="character" w:styleId="Seitenzahl">
    <w:name w:val="page number"/>
    <w:basedOn w:val="Absatzstandardschriftart"/>
    <w:uiPriority w:val="99"/>
    <w:semiHidden/>
    <w:unhideWhenUsed/>
    <w:rsid w:val="00AB58B4"/>
  </w:style>
  <w:style w:type="paragraph" w:styleId="Bearbeitung">
    <w:name w:val="Revision"/>
    <w:hidden/>
    <w:uiPriority w:val="99"/>
    <w:semiHidden/>
    <w:rsid w:val="00AB58B4"/>
  </w:style>
  <w:style w:type="character" w:customStyle="1" w:styleId="apple-converted-space">
    <w:name w:val="apple-converted-space"/>
    <w:basedOn w:val="Absatzstandardschriftart"/>
    <w:rsid w:val="00AB58B4"/>
  </w:style>
  <w:style w:type="paragraph" w:styleId="StandardWeb">
    <w:name w:val="Normal (Web)"/>
    <w:basedOn w:val="Standard"/>
    <w:rsid w:val="00AB58B4"/>
    <w:rPr>
      <w:rFonts w:ascii="Times New Roman" w:hAnsi="Times New Roman" w:cs="Times New Roman"/>
    </w:rPr>
  </w:style>
  <w:style w:type="paragraph" w:styleId="HTMLVorformatiert">
    <w:name w:val="HTML Preformatted"/>
    <w:basedOn w:val="Standard"/>
    <w:link w:val="HTMLVorformatiertZeichen"/>
    <w:uiPriority w:val="99"/>
    <w:unhideWhenUsed/>
    <w:rsid w:val="00AB58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N" w:eastAsia="en-IN"/>
    </w:rPr>
  </w:style>
  <w:style w:type="character" w:customStyle="1" w:styleId="HTMLVorformatiertZeichen">
    <w:name w:val="HTML Vorformatiert Zeichen"/>
    <w:basedOn w:val="Absatzstandardschriftart"/>
    <w:link w:val="HTMLVorformatiert"/>
    <w:uiPriority w:val="99"/>
    <w:rsid w:val="00AB58B4"/>
    <w:rPr>
      <w:rFonts w:ascii="Courier New" w:eastAsia="Times New Roman" w:hAnsi="Courier New" w:cs="Courier New"/>
      <w:sz w:val="20"/>
      <w:szCs w:val="20"/>
      <w:lang w:val="en-IN" w:eastAsia="en-IN"/>
    </w:rPr>
  </w:style>
  <w:style w:type="character" w:customStyle="1" w:styleId="smallcaps">
    <w:name w:val="smallcaps"/>
    <w:basedOn w:val="Absatzstandardschriftart"/>
    <w:rsid w:val="00AB58B4"/>
  </w:style>
  <w:style w:type="paragraph" w:customStyle="1" w:styleId="Literaturverzeichnis1">
    <w:name w:val="Literaturverzeichnis1"/>
    <w:basedOn w:val="Standard"/>
    <w:rsid w:val="00AB58B4"/>
    <w:pPr>
      <w:spacing w:after="240"/>
      <w:ind w:left="720" w:hanging="720"/>
      <w:jc w:val="both"/>
    </w:pPr>
    <w:rPr>
      <w:rFonts w:ascii="Arial" w:hAnsi="Arial" w:cs="Arial"/>
      <w:iCs/>
      <w:szCs w:val="22"/>
      <w:lang w:val="en-US"/>
    </w:rPr>
  </w:style>
  <w:style w:type="paragraph" w:customStyle="1" w:styleId="Literaturverzeichnis2">
    <w:name w:val="Literaturverzeichnis2"/>
    <w:basedOn w:val="Standard"/>
    <w:rsid w:val="00AB58B4"/>
    <w:pPr>
      <w:spacing w:after="240"/>
      <w:ind w:left="720" w:hanging="720"/>
      <w:jc w:val="both"/>
    </w:pPr>
    <w:rPr>
      <w:rFonts w:ascii="Arial" w:hAnsi="Arial" w:cs="Arial"/>
      <w:szCs w:val="22"/>
      <w:lang w:val="en-US"/>
    </w:rPr>
  </w:style>
  <w:style w:type="paragraph" w:customStyle="1" w:styleId="Bibliography1">
    <w:name w:val="Bibliography1"/>
    <w:basedOn w:val="Standard"/>
    <w:rsid w:val="00AB58B4"/>
    <w:pPr>
      <w:tabs>
        <w:tab w:val="left" w:pos="500"/>
      </w:tabs>
      <w:spacing w:after="240"/>
      <w:ind w:left="504" w:hanging="504"/>
      <w:jc w:val="both"/>
    </w:pPr>
    <w:rPr>
      <w:rFonts w:ascii="Arial" w:eastAsia="Times New Roman" w:hAnsi="Arial" w:cs="Arial"/>
      <w:b/>
      <w:lang w:val="en-US"/>
    </w:rPr>
  </w:style>
  <w:style w:type="paragraph" w:styleId="Kopfzeile">
    <w:name w:val="header"/>
    <w:basedOn w:val="Standard"/>
    <w:link w:val="KopfzeileZeichen"/>
    <w:semiHidden/>
    <w:unhideWhenUsed/>
    <w:rsid w:val="00AB58B4"/>
    <w:pPr>
      <w:tabs>
        <w:tab w:val="center" w:pos="4536"/>
        <w:tab w:val="right" w:pos="9072"/>
      </w:tabs>
    </w:pPr>
  </w:style>
  <w:style w:type="character" w:customStyle="1" w:styleId="KopfzeileZeichen">
    <w:name w:val="Kopfzeile Zeichen"/>
    <w:basedOn w:val="Absatzstandardschriftart"/>
    <w:link w:val="Kopfzeile"/>
    <w:semiHidden/>
    <w:rsid w:val="00AB58B4"/>
    <w:rPr>
      <w:rFonts w:eastAsiaTheme="minorEastAsia"/>
      <w:lang w:eastAsia="ja-JP"/>
    </w:rPr>
  </w:style>
  <w:style w:type="character" w:styleId="Link">
    <w:name w:val="Hyperlink"/>
    <w:basedOn w:val="Absatzstandardschriftart"/>
    <w:uiPriority w:val="99"/>
    <w:rsid w:val="005664BB"/>
    <w:rPr>
      <w:color w:val="0000D4"/>
      <w:u w:val="single"/>
    </w:rPr>
  </w:style>
  <w:style w:type="character" w:styleId="GesichteterLink">
    <w:name w:val="FollowedHyperlink"/>
    <w:basedOn w:val="Absatzstandardschriftart"/>
    <w:uiPriority w:val="99"/>
    <w:rsid w:val="005664BB"/>
    <w:rPr>
      <w:color w:val="993366"/>
      <w:u w:val="single"/>
    </w:rPr>
  </w:style>
  <w:style w:type="paragraph" w:customStyle="1" w:styleId="font5">
    <w:name w:val="font5"/>
    <w:basedOn w:val="Standard"/>
    <w:rsid w:val="005664BB"/>
    <w:pPr>
      <w:spacing w:beforeLines="1" w:afterLines="1"/>
    </w:pPr>
    <w:rPr>
      <w:rFonts w:ascii="Arial" w:eastAsiaTheme="minorHAnsi" w:hAnsi="Arial"/>
      <w:sz w:val="16"/>
      <w:szCs w:val="16"/>
      <w:lang w:eastAsia="de-DE"/>
    </w:rPr>
  </w:style>
  <w:style w:type="paragraph" w:customStyle="1" w:styleId="xl24">
    <w:name w:val="xl24"/>
    <w:basedOn w:val="Standard"/>
    <w:rsid w:val="005664BB"/>
    <w:pPr>
      <w:spacing w:beforeLines="1" w:afterLines="1"/>
    </w:pPr>
    <w:rPr>
      <w:rFonts w:ascii="Times" w:eastAsiaTheme="minorHAnsi" w:hAnsi="Times"/>
      <w:color w:val="333333"/>
      <w:sz w:val="20"/>
      <w:szCs w:val="20"/>
      <w:lang w:eastAsia="de-DE"/>
    </w:rPr>
  </w:style>
  <w:style w:type="paragraph" w:customStyle="1" w:styleId="xl25">
    <w:name w:val="xl25"/>
    <w:basedOn w:val="Standard"/>
    <w:rsid w:val="005664BB"/>
    <w:pPr>
      <w:spacing w:beforeLines="1" w:afterLines="1"/>
    </w:pPr>
    <w:rPr>
      <w:rFonts w:ascii="Times" w:eastAsiaTheme="minorHAnsi" w:hAnsi="Times"/>
      <w:color w:val="333333"/>
      <w:sz w:val="20"/>
      <w:szCs w:val="20"/>
      <w:lang w:eastAsia="de-DE"/>
    </w:rPr>
  </w:style>
  <w:style w:type="paragraph" w:customStyle="1" w:styleId="xl26">
    <w:name w:val="xl26"/>
    <w:basedOn w:val="Standard"/>
    <w:rsid w:val="005664BB"/>
    <w:pPr>
      <w:spacing w:beforeLines="1" w:afterLines="1"/>
    </w:pPr>
    <w:rPr>
      <w:rFonts w:ascii="Times" w:eastAsiaTheme="minorHAnsi" w:hAnsi="Times"/>
      <w:color w:val="333333"/>
      <w:sz w:val="20"/>
      <w:szCs w:val="20"/>
      <w:lang w:eastAsia="de-DE"/>
    </w:rPr>
  </w:style>
  <w:style w:type="paragraph" w:customStyle="1" w:styleId="Literaturverzeichnis3">
    <w:name w:val="Literaturverzeichnis3"/>
    <w:basedOn w:val="Standard"/>
    <w:rsid w:val="00A21DB4"/>
    <w:pPr>
      <w:spacing w:after="240"/>
      <w:ind w:left="720" w:hanging="720"/>
      <w:jc w:val="both"/>
    </w:pPr>
    <w:rPr>
      <w:rFonts w:ascii="Arial" w:hAnsi="Arial" w:cs="Arial"/>
      <w:color w:val="000000"/>
      <w:szCs w:val="22"/>
    </w:rPr>
  </w:style>
  <w:style w:type="paragraph" w:customStyle="1" w:styleId="EndNoteBibliographyTitle">
    <w:name w:val="EndNote Bibliography Title"/>
    <w:basedOn w:val="Standard"/>
    <w:rsid w:val="00CA08E4"/>
    <w:pPr>
      <w:jc w:val="center"/>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28343441">
      <w:bodyDiv w:val="1"/>
      <w:marLeft w:val="0"/>
      <w:marRight w:val="0"/>
      <w:marTop w:val="0"/>
      <w:marBottom w:val="0"/>
      <w:divBdr>
        <w:top w:val="none" w:sz="0" w:space="0" w:color="auto"/>
        <w:left w:val="none" w:sz="0" w:space="0" w:color="auto"/>
        <w:bottom w:val="none" w:sz="0" w:space="0" w:color="auto"/>
        <w:right w:val="none" w:sz="0" w:space="0" w:color="auto"/>
      </w:divBdr>
    </w:div>
    <w:div w:id="86076056">
      <w:bodyDiv w:val="1"/>
      <w:marLeft w:val="0"/>
      <w:marRight w:val="0"/>
      <w:marTop w:val="0"/>
      <w:marBottom w:val="0"/>
      <w:divBdr>
        <w:top w:val="none" w:sz="0" w:space="0" w:color="auto"/>
        <w:left w:val="none" w:sz="0" w:space="0" w:color="auto"/>
        <w:bottom w:val="none" w:sz="0" w:space="0" w:color="auto"/>
        <w:right w:val="none" w:sz="0" w:space="0" w:color="auto"/>
      </w:divBdr>
    </w:div>
    <w:div w:id="169681641">
      <w:bodyDiv w:val="1"/>
      <w:marLeft w:val="0"/>
      <w:marRight w:val="0"/>
      <w:marTop w:val="0"/>
      <w:marBottom w:val="0"/>
      <w:divBdr>
        <w:top w:val="none" w:sz="0" w:space="0" w:color="auto"/>
        <w:left w:val="none" w:sz="0" w:space="0" w:color="auto"/>
        <w:bottom w:val="none" w:sz="0" w:space="0" w:color="auto"/>
        <w:right w:val="none" w:sz="0" w:space="0" w:color="auto"/>
      </w:divBdr>
    </w:div>
    <w:div w:id="209151125">
      <w:bodyDiv w:val="1"/>
      <w:marLeft w:val="0"/>
      <w:marRight w:val="0"/>
      <w:marTop w:val="0"/>
      <w:marBottom w:val="0"/>
      <w:divBdr>
        <w:top w:val="none" w:sz="0" w:space="0" w:color="auto"/>
        <w:left w:val="none" w:sz="0" w:space="0" w:color="auto"/>
        <w:bottom w:val="none" w:sz="0" w:space="0" w:color="auto"/>
        <w:right w:val="none" w:sz="0" w:space="0" w:color="auto"/>
      </w:divBdr>
    </w:div>
    <w:div w:id="587811788">
      <w:bodyDiv w:val="1"/>
      <w:marLeft w:val="0"/>
      <w:marRight w:val="0"/>
      <w:marTop w:val="0"/>
      <w:marBottom w:val="0"/>
      <w:divBdr>
        <w:top w:val="none" w:sz="0" w:space="0" w:color="auto"/>
        <w:left w:val="none" w:sz="0" w:space="0" w:color="auto"/>
        <w:bottom w:val="none" w:sz="0" w:space="0" w:color="auto"/>
        <w:right w:val="none" w:sz="0" w:space="0" w:color="auto"/>
      </w:divBdr>
    </w:div>
    <w:div w:id="783890096">
      <w:bodyDiv w:val="1"/>
      <w:marLeft w:val="0"/>
      <w:marRight w:val="0"/>
      <w:marTop w:val="0"/>
      <w:marBottom w:val="0"/>
      <w:divBdr>
        <w:top w:val="none" w:sz="0" w:space="0" w:color="auto"/>
        <w:left w:val="none" w:sz="0" w:space="0" w:color="auto"/>
        <w:bottom w:val="none" w:sz="0" w:space="0" w:color="auto"/>
        <w:right w:val="none" w:sz="0" w:space="0" w:color="auto"/>
      </w:divBdr>
    </w:div>
    <w:div w:id="1027491599">
      <w:bodyDiv w:val="1"/>
      <w:marLeft w:val="0"/>
      <w:marRight w:val="0"/>
      <w:marTop w:val="0"/>
      <w:marBottom w:val="0"/>
      <w:divBdr>
        <w:top w:val="none" w:sz="0" w:space="0" w:color="auto"/>
        <w:left w:val="none" w:sz="0" w:space="0" w:color="auto"/>
        <w:bottom w:val="none" w:sz="0" w:space="0" w:color="auto"/>
        <w:right w:val="none" w:sz="0" w:space="0" w:color="auto"/>
      </w:divBdr>
    </w:div>
    <w:div w:id="1136096506">
      <w:bodyDiv w:val="1"/>
      <w:marLeft w:val="0"/>
      <w:marRight w:val="0"/>
      <w:marTop w:val="0"/>
      <w:marBottom w:val="0"/>
      <w:divBdr>
        <w:top w:val="none" w:sz="0" w:space="0" w:color="auto"/>
        <w:left w:val="none" w:sz="0" w:space="0" w:color="auto"/>
        <w:bottom w:val="none" w:sz="0" w:space="0" w:color="auto"/>
        <w:right w:val="none" w:sz="0" w:space="0" w:color="auto"/>
      </w:divBdr>
    </w:div>
    <w:div w:id="1358852929">
      <w:bodyDiv w:val="1"/>
      <w:marLeft w:val="0"/>
      <w:marRight w:val="0"/>
      <w:marTop w:val="0"/>
      <w:marBottom w:val="0"/>
      <w:divBdr>
        <w:top w:val="none" w:sz="0" w:space="0" w:color="auto"/>
        <w:left w:val="none" w:sz="0" w:space="0" w:color="auto"/>
        <w:bottom w:val="none" w:sz="0" w:space="0" w:color="auto"/>
        <w:right w:val="none" w:sz="0" w:space="0" w:color="auto"/>
      </w:divBdr>
    </w:div>
    <w:div w:id="1438913363">
      <w:bodyDiv w:val="1"/>
      <w:marLeft w:val="0"/>
      <w:marRight w:val="0"/>
      <w:marTop w:val="0"/>
      <w:marBottom w:val="0"/>
      <w:divBdr>
        <w:top w:val="none" w:sz="0" w:space="0" w:color="auto"/>
        <w:left w:val="none" w:sz="0" w:space="0" w:color="auto"/>
        <w:bottom w:val="none" w:sz="0" w:space="0" w:color="auto"/>
        <w:right w:val="none" w:sz="0" w:space="0" w:color="auto"/>
      </w:divBdr>
    </w:div>
    <w:div w:id="1462193805">
      <w:bodyDiv w:val="1"/>
      <w:marLeft w:val="0"/>
      <w:marRight w:val="0"/>
      <w:marTop w:val="0"/>
      <w:marBottom w:val="0"/>
      <w:divBdr>
        <w:top w:val="none" w:sz="0" w:space="0" w:color="auto"/>
        <w:left w:val="none" w:sz="0" w:space="0" w:color="auto"/>
        <w:bottom w:val="none" w:sz="0" w:space="0" w:color="auto"/>
        <w:right w:val="none" w:sz="0" w:space="0" w:color="auto"/>
      </w:divBdr>
    </w:div>
    <w:div w:id="1472792380">
      <w:bodyDiv w:val="1"/>
      <w:marLeft w:val="0"/>
      <w:marRight w:val="0"/>
      <w:marTop w:val="0"/>
      <w:marBottom w:val="0"/>
      <w:divBdr>
        <w:top w:val="none" w:sz="0" w:space="0" w:color="auto"/>
        <w:left w:val="none" w:sz="0" w:space="0" w:color="auto"/>
        <w:bottom w:val="none" w:sz="0" w:space="0" w:color="auto"/>
        <w:right w:val="none" w:sz="0" w:space="0" w:color="auto"/>
      </w:divBdr>
    </w:div>
    <w:div w:id="1607346955">
      <w:bodyDiv w:val="1"/>
      <w:marLeft w:val="0"/>
      <w:marRight w:val="0"/>
      <w:marTop w:val="0"/>
      <w:marBottom w:val="0"/>
      <w:divBdr>
        <w:top w:val="none" w:sz="0" w:space="0" w:color="auto"/>
        <w:left w:val="none" w:sz="0" w:space="0" w:color="auto"/>
        <w:bottom w:val="none" w:sz="0" w:space="0" w:color="auto"/>
        <w:right w:val="none" w:sz="0" w:space="0" w:color="auto"/>
      </w:divBdr>
    </w:div>
    <w:div w:id="1662201363">
      <w:bodyDiv w:val="1"/>
      <w:marLeft w:val="0"/>
      <w:marRight w:val="0"/>
      <w:marTop w:val="0"/>
      <w:marBottom w:val="0"/>
      <w:divBdr>
        <w:top w:val="none" w:sz="0" w:space="0" w:color="auto"/>
        <w:left w:val="none" w:sz="0" w:space="0" w:color="auto"/>
        <w:bottom w:val="none" w:sz="0" w:space="0" w:color="auto"/>
        <w:right w:val="none" w:sz="0" w:space="0" w:color="auto"/>
      </w:divBdr>
    </w:div>
    <w:div w:id="1670450623">
      <w:bodyDiv w:val="1"/>
      <w:marLeft w:val="0"/>
      <w:marRight w:val="0"/>
      <w:marTop w:val="0"/>
      <w:marBottom w:val="0"/>
      <w:divBdr>
        <w:top w:val="none" w:sz="0" w:space="0" w:color="auto"/>
        <w:left w:val="none" w:sz="0" w:space="0" w:color="auto"/>
        <w:bottom w:val="none" w:sz="0" w:space="0" w:color="auto"/>
        <w:right w:val="none" w:sz="0" w:space="0" w:color="auto"/>
      </w:divBdr>
    </w:div>
    <w:div w:id="2001501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13651</Words>
  <Characters>77814</Characters>
  <Application>Microsoft Macintosh Word</Application>
  <DocSecurity>0</DocSecurity>
  <Lines>648</Lines>
  <Paragraphs>155</Paragraphs>
  <ScaleCrop>false</ScaleCrop>
  <Company/>
  <LinksUpToDate>false</LinksUpToDate>
  <CharactersWithSpaces>95561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dc:creator>
  <cp:keywords/>
  <cp:lastModifiedBy>sw</cp:lastModifiedBy>
  <cp:revision>15</cp:revision>
  <cp:lastPrinted>2018-03-22T10:06:00Z</cp:lastPrinted>
  <dcterms:created xsi:type="dcterms:W3CDTF">2018-03-22T10:05:00Z</dcterms:created>
  <dcterms:modified xsi:type="dcterms:W3CDTF">2018-11-21T11:12:00Z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id="iP5b0nEG"/&gt;&lt;style id="http://www.zotero.org/styles/molecular-neurobiology" hasBibliography="1" bibliographyStyleHasBeenSet="1"/&gt;&lt;prefs&gt;&lt;pref name="fieldType" value="Field"/&gt;&lt;pref name="storeRefer</vt:lpwstr>
  </property>
  <property fmtid="{D5CDD505-2E9C-101B-9397-08002B2CF9AE}" pid="3" name="ZOTERO_PREF_2">
    <vt:lpwstr>ences" value="true"/&gt;&lt;pref name="automaticJournalAbbreviations" value="true"/&gt;&lt;/prefs&gt;&lt;/data&gt;</vt:lpwstr>
  </property>
</Properties>
</file>