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6C" w:rsidRDefault="00301406" w:rsidP="00C05750">
      <w:pPr>
        <w:spacing w:line="480" w:lineRule="auto"/>
        <w:ind w:firstLine="0"/>
        <w:rPr>
          <w:rFonts w:cs="Arial"/>
          <w:b/>
          <w:bCs/>
          <w:sz w:val="28"/>
          <w:szCs w:val="28"/>
          <w:u w:val="single"/>
          <w:lang w:val="en-US"/>
        </w:rPr>
      </w:pPr>
      <w:bookmarkStart w:id="0" w:name="_GoBack"/>
      <w:bookmarkEnd w:id="0"/>
      <w:r>
        <w:rPr>
          <w:rFonts w:cs="Arial"/>
          <w:b/>
          <w:bCs/>
          <w:sz w:val="28"/>
          <w:szCs w:val="28"/>
          <w:u w:val="single"/>
          <w:lang w:val="en-US"/>
        </w:rPr>
        <w:t>Supplementary material</w:t>
      </w:r>
    </w:p>
    <w:p w:rsidR="00C05750" w:rsidRPr="00C05750" w:rsidRDefault="00B26C07" w:rsidP="00C05750">
      <w:pPr>
        <w:spacing w:line="480" w:lineRule="auto"/>
        <w:ind w:firstLine="0"/>
        <w:rPr>
          <w:rFonts w:cs="Arial"/>
          <w:b/>
          <w:bCs/>
          <w:sz w:val="28"/>
          <w:szCs w:val="28"/>
          <w:u w:val="single"/>
          <w:lang w:val="en-US"/>
        </w:rPr>
      </w:pPr>
      <w:r>
        <w:rPr>
          <w:rFonts w:cs="Arial"/>
          <w:bCs/>
          <w:sz w:val="28"/>
          <w:szCs w:val="28"/>
          <w:u w:val="single"/>
          <w:lang w:val="en-US"/>
        </w:rPr>
        <w:t>(</w:t>
      </w:r>
      <w:proofErr w:type="gramStart"/>
      <w:r>
        <w:rPr>
          <w:rFonts w:cs="Arial"/>
          <w:bCs/>
          <w:sz w:val="28"/>
          <w:szCs w:val="28"/>
          <w:u w:val="single"/>
          <w:lang w:val="en-US"/>
        </w:rPr>
        <w:t>supplementary</w:t>
      </w:r>
      <w:proofErr w:type="gramEnd"/>
      <w:r>
        <w:rPr>
          <w:rFonts w:cs="Arial"/>
          <w:bCs/>
          <w:sz w:val="28"/>
          <w:szCs w:val="28"/>
          <w:u w:val="single"/>
          <w:lang w:val="en-US"/>
        </w:rPr>
        <w:t xml:space="preserve"> figures with</w:t>
      </w:r>
      <w:r w:rsidR="00C05750" w:rsidRPr="00C05750">
        <w:rPr>
          <w:rFonts w:cs="Arial"/>
          <w:bCs/>
          <w:sz w:val="28"/>
          <w:szCs w:val="28"/>
          <w:u w:val="single"/>
          <w:lang w:val="en-US"/>
        </w:rPr>
        <w:t xml:space="preserve"> legend</w:t>
      </w:r>
      <w:r>
        <w:rPr>
          <w:rFonts w:cs="Arial"/>
          <w:bCs/>
          <w:sz w:val="28"/>
          <w:szCs w:val="28"/>
          <w:u w:val="single"/>
          <w:lang w:val="en-US"/>
        </w:rPr>
        <w:t>s</w:t>
      </w:r>
      <w:r w:rsidR="00C05750" w:rsidRPr="00C05750">
        <w:rPr>
          <w:rFonts w:cs="Arial"/>
          <w:bCs/>
          <w:sz w:val="28"/>
          <w:szCs w:val="28"/>
          <w:u w:val="single"/>
          <w:lang w:val="en-US"/>
        </w:rPr>
        <w:t>)</w:t>
      </w:r>
    </w:p>
    <w:p w:rsidR="00C05750" w:rsidRPr="00C05750" w:rsidRDefault="00C05750" w:rsidP="00C05750">
      <w:pPr>
        <w:spacing w:line="480" w:lineRule="auto"/>
        <w:ind w:firstLine="0"/>
        <w:rPr>
          <w:rFonts w:cs="Arial"/>
          <w:b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  <w:r w:rsidRPr="00C05750">
        <w:rPr>
          <w:rFonts w:cs="Arial"/>
          <w:bCs/>
          <w:szCs w:val="22"/>
          <w:lang w:val="en-US"/>
        </w:rPr>
        <w:t>Corresponding to</w:t>
      </w:r>
    </w:p>
    <w:p w:rsidR="00C05750" w:rsidRPr="00C05750" w:rsidRDefault="00C05750" w:rsidP="00C05750">
      <w:pPr>
        <w:spacing w:line="480" w:lineRule="auto"/>
        <w:ind w:firstLine="0"/>
        <w:rPr>
          <w:rFonts w:cs="Arial"/>
          <w:b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/>
          <w:bCs/>
          <w:szCs w:val="22"/>
          <w:lang w:val="en-US"/>
        </w:rPr>
      </w:pPr>
      <w:r w:rsidRPr="00C05750">
        <w:rPr>
          <w:rFonts w:cs="Arial"/>
          <w:b/>
          <w:bCs/>
          <w:szCs w:val="22"/>
          <w:lang w:val="en-US"/>
        </w:rPr>
        <w:t>LRP1 has a predominant role in production over clearance of Aβ in a mouse model of Alzheimer’s disease</w:t>
      </w:r>
    </w:p>
    <w:p w:rsidR="00C05750" w:rsidRPr="00C05750" w:rsidRDefault="00C05750" w:rsidP="00C05750">
      <w:pPr>
        <w:spacing w:line="480" w:lineRule="auto"/>
        <w:ind w:firstLine="0"/>
        <w:rPr>
          <w:rFonts w:cs="Arial"/>
          <w:b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  <w:proofErr w:type="gramStart"/>
      <w:r w:rsidRPr="00C05750">
        <w:rPr>
          <w:rFonts w:cs="Arial"/>
          <w:bCs/>
          <w:szCs w:val="22"/>
          <w:lang w:val="en-US"/>
        </w:rPr>
        <w:t>by</w:t>
      </w:r>
      <w:proofErr w:type="gramEnd"/>
    </w:p>
    <w:p w:rsidR="00C05750" w:rsidRPr="00C05750" w:rsidRDefault="00C05750" w:rsidP="00C05750">
      <w:pPr>
        <w:spacing w:line="480" w:lineRule="auto"/>
        <w:ind w:firstLine="0"/>
        <w:rPr>
          <w:rFonts w:cs="Arial"/>
          <w:b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  <w:r w:rsidRPr="00C05750">
        <w:rPr>
          <w:rFonts w:cs="Arial"/>
          <w:bCs/>
          <w:szCs w:val="22"/>
          <w:lang w:val="en-US"/>
        </w:rPr>
        <w:t xml:space="preserve">Bart Van Gool, Steffen E. Storck, Sara M. </w:t>
      </w:r>
      <w:proofErr w:type="spellStart"/>
      <w:r w:rsidRPr="00C05750">
        <w:rPr>
          <w:rFonts w:cs="Arial"/>
          <w:bCs/>
          <w:szCs w:val="22"/>
          <w:lang w:val="en-US"/>
        </w:rPr>
        <w:t>Reekmans</w:t>
      </w:r>
      <w:proofErr w:type="spellEnd"/>
      <w:r w:rsidRPr="00C05750">
        <w:rPr>
          <w:rFonts w:cs="Arial"/>
          <w:bCs/>
          <w:szCs w:val="22"/>
          <w:lang w:val="en-US"/>
        </w:rPr>
        <w:t xml:space="preserve">, Benoit Lechat, Philip </w:t>
      </w:r>
      <w:r w:rsidRPr="00C05750">
        <w:rPr>
          <w:rFonts w:ascii="AdvP41461E" w:eastAsiaTheme="minorHAnsi" w:hAnsi="AdvP41461E" w:cs="AdvP41461E"/>
          <w:sz w:val="20"/>
          <w:szCs w:val="20"/>
          <w:lang w:val="en-US"/>
        </w:rPr>
        <w:t xml:space="preserve">L.S.M. </w:t>
      </w:r>
      <w:proofErr w:type="spellStart"/>
      <w:r w:rsidRPr="00C05750">
        <w:rPr>
          <w:rFonts w:cs="Arial"/>
          <w:bCs/>
          <w:szCs w:val="22"/>
          <w:lang w:val="en-US"/>
        </w:rPr>
        <w:t>Gordts</w:t>
      </w:r>
      <w:proofErr w:type="spellEnd"/>
      <w:r w:rsidRPr="00C05750">
        <w:rPr>
          <w:rFonts w:cs="Arial"/>
          <w:bCs/>
          <w:szCs w:val="22"/>
          <w:lang w:val="en-US"/>
        </w:rPr>
        <w:t xml:space="preserve">, Laurent </w:t>
      </w:r>
      <w:proofErr w:type="spellStart"/>
      <w:r w:rsidRPr="00C05750">
        <w:rPr>
          <w:rFonts w:cs="Arial"/>
          <w:bCs/>
          <w:szCs w:val="22"/>
          <w:lang w:val="en-US"/>
        </w:rPr>
        <w:t>Pradier</w:t>
      </w:r>
      <w:proofErr w:type="spellEnd"/>
      <w:r w:rsidRPr="00C05750">
        <w:rPr>
          <w:rFonts w:cs="Arial"/>
          <w:bCs/>
          <w:szCs w:val="22"/>
          <w:lang w:val="en-US"/>
        </w:rPr>
        <w:t>, Claus U. Pietrzik, Anton J.M. Roebroek</w:t>
      </w: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</w:p>
    <w:p w:rsidR="00C05750" w:rsidRPr="00C05750" w:rsidRDefault="00C05750" w:rsidP="00C05750">
      <w:pPr>
        <w:spacing w:line="480" w:lineRule="auto"/>
        <w:ind w:firstLine="0"/>
        <w:rPr>
          <w:rFonts w:cs="Arial"/>
          <w:bCs/>
          <w:szCs w:val="22"/>
          <w:lang w:val="en-US"/>
        </w:rPr>
      </w:pPr>
    </w:p>
    <w:p w:rsidR="00B26C07" w:rsidRDefault="00B26C07">
      <w:pPr>
        <w:spacing w:after="160" w:line="240" w:lineRule="auto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:rsidR="00B26C07" w:rsidRPr="000D05D6" w:rsidRDefault="000D05D6" w:rsidP="00C05750">
      <w:pPr>
        <w:ind w:firstLine="0"/>
        <w:rPr>
          <w:lang w:val="en-US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190500</wp:posOffset>
            </wp:positionV>
            <wp:extent cx="5126990" cy="65627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656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D9D" w:rsidRDefault="004F4D9D">
      <w:pPr>
        <w:spacing w:after="160" w:line="240" w:lineRule="auto"/>
        <w:ind w:firstLine="0"/>
        <w:jc w:val="left"/>
        <w:rPr>
          <w:lang w:val="en-US"/>
        </w:rPr>
      </w:pPr>
    </w:p>
    <w:p w:rsidR="00B26C07" w:rsidRDefault="00B26C07" w:rsidP="00B26C07">
      <w:pPr>
        <w:ind w:firstLine="0"/>
        <w:rPr>
          <w:rFonts w:cs="Arial"/>
          <w:szCs w:val="22"/>
          <w:lang w:val="en-US"/>
        </w:rPr>
      </w:pPr>
      <w:r>
        <w:rPr>
          <w:rFonts w:cs="Arial"/>
          <w:b/>
          <w:szCs w:val="22"/>
          <w:lang w:val="en-US"/>
        </w:rPr>
        <w:t xml:space="preserve">Suppl. Fig 1. </w:t>
      </w:r>
      <w:r w:rsidRPr="00C05750">
        <w:rPr>
          <w:rFonts w:cs="Arial"/>
          <w:b/>
          <w:szCs w:val="22"/>
          <w:lang w:val="en-US"/>
        </w:rPr>
        <w:t xml:space="preserve">Confirmation of </w:t>
      </w:r>
      <w:r>
        <w:rPr>
          <w:rFonts w:cs="Arial"/>
          <w:b/>
          <w:szCs w:val="22"/>
          <w:lang w:val="en-US"/>
        </w:rPr>
        <w:t xml:space="preserve">the analysis </w:t>
      </w:r>
      <w:r w:rsidRPr="00C05750">
        <w:rPr>
          <w:rFonts w:cs="Arial"/>
          <w:b/>
          <w:szCs w:val="22"/>
          <w:lang w:val="en-US"/>
        </w:rPr>
        <w:t xml:space="preserve">of equal amounts of protein </w:t>
      </w:r>
      <w:r>
        <w:rPr>
          <w:rFonts w:cs="Arial"/>
          <w:b/>
          <w:szCs w:val="22"/>
          <w:lang w:val="en-US"/>
        </w:rPr>
        <w:t xml:space="preserve">in western blot analysis of </w:t>
      </w:r>
      <w:r w:rsidRPr="00C05750">
        <w:rPr>
          <w:rFonts w:cs="Arial"/>
          <w:b/>
          <w:szCs w:val="22"/>
          <w:lang w:val="en-US"/>
        </w:rPr>
        <w:t>the protein fractions</w:t>
      </w:r>
      <w:r>
        <w:rPr>
          <w:rFonts w:cs="Arial"/>
          <w:b/>
          <w:szCs w:val="22"/>
          <w:lang w:val="en-US"/>
        </w:rPr>
        <w:t xml:space="preserve"> used in the analyses showed in Fig. 3 of the manuscript. (a) </w:t>
      </w:r>
      <w:proofErr w:type="spellStart"/>
      <w:r w:rsidRPr="00E12984">
        <w:rPr>
          <w:rFonts w:cs="Arial"/>
          <w:szCs w:val="22"/>
          <w:lang w:val="en-US"/>
        </w:rPr>
        <w:t>Ponceau</w:t>
      </w:r>
      <w:proofErr w:type="spellEnd"/>
      <w:r w:rsidRPr="00E12984">
        <w:rPr>
          <w:rFonts w:cs="Arial"/>
          <w:szCs w:val="22"/>
          <w:lang w:val="en-US"/>
        </w:rPr>
        <w:t xml:space="preserve"> S </w:t>
      </w:r>
      <w:r>
        <w:rPr>
          <w:rFonts w:cs="Arial"/>
          <w:szCs w:val="22"/>
          <w:lang w:val="en-US"/>
        </w:rPr>
        <w:t xml:space="preserve">staining </w:t>
      </w:r>
      <w:r w:rsidRPr="00E12984">
        <w:rPr>
          <w:rFonts w:cs="Arial"/>
          <w:szCs w:val="22"/>
          <w:lang w:val="en-US"/>
        </w:rPr>
        <w:t xml:space="preserve">confirming the loading </w:t>
      </w:r>
      <w:r>
        <w:rPr>
          <w:rFonts w:cs="Arial"/>
          <w:szCs w:val="22"/>
          <w:lang w:val="en-US"/>
        </w:rPr>
        <w:t xml:space="preserve">and transfer </w:t>
      </w:r>
      <w:r w:rsidRPr="00E12984">
        <w:rPr>
          <w:rFonts w:cs="Arial"/>
          <w:szCs w:val="22"/>
          <w:lang w:val="en-US"/>
        </w:rPr>
        <w:t>of equal amount</w:t>
      </w:r>
      <w:r>
        <w:rPr>
          <w:rFonts w:cs="Arial"/>
          <w:szCs w:val="22"/>
          <w:lang w:val="en-US"/>
        </w:rPr>
        <w:t>s of protein to the blots used for the analysis of the expression of (</w:t>
      </w:r>
      <w:proofErr w:type="spellStart"/>
      <w:r>
        <w:rPr>
          <w:rFonts w:cs="Arial"/>
          <w:szCs w:val="22"/>
          <w:lang w:val="en-US"/>
        </w:rPr>
        <w:t>im</w:t>
      </w:r>
      <w:proofErr w:type="spellEnd"/>
      <w:r>
        <w:rPr>
          <w:rFonts w:cs="Arial"/>
          <w:szCs w:val="22"/>
          <w:lang w:val="en-US"/>
        </w:rPr>
        <w:t xml:space="preserve">)mature APP (membrane fractions), </w:t>
      </w:r>
      <w:proofErr w:type="spellStart"/>
      <w:r>
        <w:rPr>
          <w:rFonts w:cs="Arial"/>
          <w:szCs w:val="22"/>
          <w:lang w:val="en-US"/>
        </w:rPr>
        <w:t>sAPP</w:t>
      </w:r>
      <w:proofErr w:type="spellEnd"/>
      <w:r>
        <w:rPr>
          <w:rFonts w:cs="Arial"/>
          <w:szCs w:val="22"/>
          <w:lang w:val="en-US"/>
        </w:rPr>
        <w:t xml:space="preserve">, </w:t>
      </w:r>
      <w:proofErr w:type="spellStart"/>
      <w:r>
        <w:rPr>
          <w:rFonts w:cs="Arial"/>
          <w:szCs w:val="22"/>
          <w:lang w:val="en-US"/>
        </w:rPr>
        <w:t>sAPP</w:t>
      </w:r>
      <w:proofErr w:type="spellEnd"/>
      <w:r>
        <w:rPr>
          <w:rFonts w:cs="Arial"/>
          <w:szCs w:val="22"/>
          <w:lang w:val="en-US"/>
        </w:rPr>
        <w:t xml:space="preserve">-α and </w:t>
      </w:r>
      <w:proofErr w:type="spellStart"/>
      <w:r>
        <w:rPr>
          <w:rFonts w:cs="Arial"/>
          <w:szCs w:val="22"/>
          <w:lang w:val="en-US"/>
        </w:rPr>
        <w:t>sAPP</w:t>
      </w:r>
      <w:proofErr w:type="spellEnd"/>
      <w:r>
        <w:rPr>
          <w:rFonts w:cs="Arial"/>
          <w:szCs w:val="22"/>
          <w:lang w:val="en-US"/>
        </w:rPr>
        <w:t>-β (3 x soluble fractions).</w:t>
      </w:r>
      <w:r w:rsidRPr="00E12984">
        <w:rPr>
          <w:rFonts w:cs="Arial"/>
          <w:szCs w:val="22"/>
          <w:lang w:val="en-US"/>
        </w:rPr>
        <w:t xml:space="preserve"> </w:t>
      </w:r>
      <w:r w:rsidRPr="00E12984">
        <w:rPr>
          <w:rFonts w:cs="Arial"/>
          <w:b/>
          <w:szCs w:val="22"/>
          <w:lang w:val="en-US"/>
        </w:rPr>
        <w:t>(b)</w:t>
      </w:r>
      <w:r w:rsidRPr="00E12984">
        <w:rPr>
          <w:rFonts w:cs="Arial"/>
          <w:szCs w:val="22"/>
          <w:lang w:val="en-US"/>
        </w:rPr>
        <w:t xml:space="preserve"> </w:t>
      </w:r>
      <w:r>
        <w:rPr>
          <w:rFonts w:cs="Arial"/>
          <w:szCs w:val="22"/>
          <w:lang w:val="en-US"/>
        </w:rPr>
        <w:t xml:space="preserve">Analysis of actin expression of the four blots presented in (a), reanalyzed using an antibody against actin. The blots show from left to right alternating WT + APP </w:t>
      </w:r>
      <w:proofErr w:type="gramStart"/>
      <w:r>
        <w:rPr>
          <w:rFonts w:cs="Arial"/>
          <w:szCs w:val="22"/>
          <w:lang w:val="en-US"/>
        </w:rPr>
        <w:t>and  NPxY2</w:t>
      </w:r>
      <w:proofErr w:type="gramEnd"/>
      <w:r>
        <w:rPr>
          <w:rFonts w:cs="Arial"/>
          <w:szCs w:val="22"/>
          <w:lang w:val="en-US"/>
        </w:rPr>
        <w:t xml:space="preserve"> + APP samples (in total 12 samples).</w:t>
      </w:r>
    </w:p>
    <w:p w:rsidR="004F4D9D" w:rsidRDefault="004F4D9D" w:rsidP="004D44EA">
      <w:pPr>
        <w:ind w:firstLine="0"/>
        <w:rPr>
          <w:b/>
          <w:lang w:val="en-US"/>
        </w:rPr>
      </w:pPr>
    </w:p>
    <w:p w:rsidR="004F4D9D" w:rsidRPr="00301406" w:rsidRDefault="004F4D9D" w:rsidP="004D44EA">
      <w:pPr>
        <w:ind w:firstLine="0"/>
        <w:rPr>
          <w:b/>
          <w:noProof/>
          <w:lang w:val="en-US" w:eastAsia="nl-BE"/>
        </w:rPr>
      </w:pPr>
      <w:r>
        <w:rPr>
          <w:b/>
          <w:noProof/>
          <w:lang w:val="nl-BE" w:eastAsia="nl-B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0</wp:posOffset>
            </wp:positionV>
            <wp:extent cx="5446753" cy="64808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753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44EA" w:rsidRPr="00ED5F6C" w:rsidRDefault="00ED5F6C" w:rsidP="004D44EA">
      <w:pPr>
        <w:ind w:firstLine="0"/>
        <w:rPr>
          <w:rFonts w:cs="Arial"/>
          <w:szCs w:val="22"/>
        </w:rPr>
      </w:pPr>
      <w:r>
        <w:rPr>
          <w:b/>
          <w:lang w:val="en-US"/>
        </w:rPr>
        <w:t>S</w:t>
      </w:r>
      <w:r w:rsidR="00B26C07" w:rsidRPr="00B26C07">
        <w:rPr>
          <w:b/>
          <w:lang w:val="en-US"/>
        </w:rPr>
        <w:t xml:space="preserve">uppl. Fig. 2.  </w:t>
      </w:r>
      <w:r w:rsidR="00B26C07">
        <w:rPr>
          <w:b/>
          <w:lang w:val="en-US"/>
        </w:rPr>
        <w:t xml:space="preserve">Equal expression levels of the membrane proteins </w:t>
      </w:r>
      <w:r w:rsidR="00B26C07" w:rsidRPr="00B26C07">
        <w:rPr>
          <w:b/>
          <w:lang w:val="en-US"/>
        </w:rPr>
        <w:t xml:space="preserve">PSD-95 and </w:t>
      </w:r>
      <w:proofErr w:type="spellStart"/>
      <w:r w:rsidR="00B26C07" w:rsidRPr="00B26C07">
        <w:rPr>
          <w:b/>
          <w:lang w:val="en-US"/>
        </w:rPr>
        <w:t>synaptophysin</w:t>
      </w:r>
      <w:proofErr w:type="spellEnd"/>
      <w:r w:rsidR="00B26C07" w:rsidRPr="00B26C07">
        <w:rPr>
          <w:b/>
          <w:lang w:val="en-US"/>
        </w:rPr>
        <w:t xml:space="preserve"> a</w:t>
      </w:r>
      <w:r w:rsidR="00B26C07" w:rsidRPr="00B26C07">
        <w:rPr>
          <w:rFonts w:cs="Arial"/>
          <w:b/>
          <w:szCs w:val="22"/>
        </w:rPr>
        <w:t xml:space="preserve">s an internal control for equal loading of </w:t>
      </w:r>
      <w:r w:rsidR="00C4064E">
        <w:rPr>
          <w:rFonts w:cs="Arial"/>
          <w:b/>
          <w:szCs w:val="22"/>
        </w:rPr>
        <w:t>protein</w:t>
      </w:r>
      <w:r w:rsidR="004D44EA">
        <w:rPr>
          <w:rFonts w:cs="Arial"/>
          <w:b/>
          <w:szCs w:val="22"/>
        </w:rPr>
        <w:t xml:space="preserve"> of </w:t>
      </w:r>
      <w:r w:rsidR="00B26C07" w:rsidRPr="00B26C07">
        <w:rPr>
          <w:rFonts w:cs="Arial"/>
          <w:b/>
          <w:szCs w:val="22"/>
        </w:rPr>
        <w:t>membrane fractions.</w:t>
      </w:r>
      <w:r w:rsidR="00C4064E">
        <w:rPr>
          <w:rFonts w:cs="Arial"/>
          <w:b/>
          <w:szCs w:val="22"/>
        </w:rPr>
        <w:t xml:space="preserve"> (a</w:t>
      </w:r>
      <w:r w:rsidR="004D44EA">
        <w:rPr>
          <w:rFonts w:cs="Arial"/>
          <w:b/>
          <w:szCs w:val="22"/>
        </w:rPr>
        <w:t xml:space="preserve"> + b</w:t>
      </w:r>
      <w:r w:rsidR="00C4064E">
        <w:rPr>
          <w:rFonts w:cs="Arial"/>
          <w:b/>
          <w:szCs w:val="22"/>
        </w:rPr>
        <w:t xml:space="preserve">) </w:t>
      </w:r>
      <w:proofErr w:type="spellStart"/>
      <w:r w:rsidR="00C4064E" w:rsidRPr="00C4064E">
        <w:rPr>
          <w:rFonts w:cs="Arial"/>
          <w:szCs w:val="22"/>
        </w:rPr>
        <w:t>Ponceau</w:t>
      </w:r>
      <w:proofErr w:type="spellEnd"/>
      <w:r w:rsidR="00C4064E" w:rsidRPr="00C4064E">
        <w:rPr>
          <w:rFonts w:cs="Arial"/>
          <w:szCs w:val="22"/>
        </w:rPr>
        <w:t xml:space="preserve"> S staining confirming the loading and transfer of equal amounts of protein </w:t>
      </w:r>
      <w:r w:rsidR="00C4064E">
        <w:rPr>
          <w:rFonts w:cs="Arial"/>
          <w:szCs w:val="22"/>
        </w:rPr>
        <w:t>of membrane fractions (</w:t>
      </w:r>
      <w:r w:rsidR="004D44EA">
        <w:rPr>
          <w:rFonts w:cs="Arial"/>
          <w:szCs w:val="22"/>
        </w:rPr>
        <w:t xml:space="preserve">a +b, </w:t>
      </w:r>
      <w:r w:rsidR="00C4064E">
        <w:rPr>
          <w:rFonts w:cs="Arial"/>
          <w:szCs w:val="22"/>
        </w:rPr>
        <w:t>left) to blot</w:t>
      </w:r>
      <w:r w:rsidR="004D44EA">
        <w:rPr>
          <w:rFonts w:cs="Arial"/>
          <w:szCs w:val="22"/>
        </w:rPr>
        <w:t>s</w:t>
      </w:r>
      <w:r w:rsidR="00C4064E" w:rsidRPr="00C4064E">
        <w:rPr>
          <w:rFonts w:cs="Arial"/>
          <w:szCs w:val="22"/>
        </w:rPr>
        <w:t xml:space="preserve"> used for the analysis of the expression of </w:t>
      </w:r>
      <w:r w:rsidR="00C4064E">
        <w:rPr>
          <w:rFonts w:cs="Arial"/>
          <w:szCs w:val="22"/>
        </w:rPr>
        <w:t>PSD-95 (</w:t>
      </w:r>
      <w:r w:rsidR="004D44EA">
        <w:rPr>
          <w:rFonts w:cs="Arial"/>
          <w:szCs w:val="22"/>
        </w:rPr>
        <w:t xml:space="preserve">a, </w:t>
      </w:r>
      <w:r w:rsidR="00C4064E">
        <w:rPr>
          <w:rFonts w:cs="Arial"/>
          <w:szCs w:val="22"/>
        </w:rPr>
        <w:t>middle and right)</w:t>
      </w:r>
      <w:r w:rsidR="004D44EA">
        <w:rPr>
          <w:rFonts w:cs="Arial"/>
          <w:szCs w:val="22"/>
        </w:rPr>
        <w:t xml:space="preserve"> and </w:t>
      </w:r>
      <w:proofErr w:type="spellStart"/>
      <w:r w:rsidR="004D44EA">
        <w:rPr>
          <w:rFonts w:cs="Arial"/>
          <w:szCs w:val="22"/>
        </w:rPr>
        <w:t>synaptophysin</w:t>
      </w:r>
      <w:proofErr w:type="spellEnd"/>
      <w:r w:rsidR="004D44EA">
        <w:rPr>
          <w:rFonts w:cs="Arial"/>
          <w:szCs w:val="22"/>
        </w:rPr>
        <w:t xml:space="preserve"> (b, middle and right) </w:t>
      </w:r>
      <w:r w:rsidR="00C4064E">
        <w:rPr>
          <w:rFonts w:cs="Arial"/>
          <w:szCs w:val="22"/>
        </w:rPr>
        <w:t>showing comparable expression levels</w:t>
      </w:r>
      <w:r w:rsidR="004D44EA">
        <w:rPr>
          <w:rFonts w:cs="Arial"/>
          <w:szCs w:val="22"/>
        </w:rPr>
        <w:t xml:space="preserve"> of the two proteins</w:t>
      </w:r>
      <w:r w:rsidR="00C4064E">
        <w:rPr>
          <w:rFonts w:cs="Arial"/>
          <w:szCs w:val="22"/>
        </w:rPr>
        <w:t xml:space="preserve"> as internal control. </w:t>
      </w:r>
      <w:r w:rsidR="004D44EA">
        <w:rPr>
          <w:rFonts w:cs="Arial"/>
          <w:szCs w:val="22"/>
        </w:rPr>
        <w:t>Addi</w:t>
      </w:r>
      <w:r w:rsidR="00C4064E">
        <w:rPr>
          <w:rFonts w:cs="Arial"/>
          <w:szCs w:val="22"/>
        </w:rPr>
        <w:t xml:space="preserve">tionally, </w:t>
      </w:r>
      <w:r>
        <w:rPr>
          <w:rFonts w:cs="Arial"/>
          <w:szCs w:val="22"/>
        </w:rPr>
        <w:t xml:space="preserve">it </w:t>
      </w:r>
      <w:proofErr w:type="gramStart"/>
      <w:r>
        <w:rPr>
          <w:rFonts w:cs="Arial"/>
          <w:szCs w:val="22"/>
        </w:rPr>
        <w:t>is shown</w:t>
      </w:r>
      <w:proofErr w:type="gramEnd"/>
      <w:r>
        <w:rPr>
          <w:rFonts w:cs="Arial"/>
          <w:szCs w:val="22"/>
        </w:rPr>
        <w:t>, that the</w:t>
      </w:r>
      <w:r w:rsidR="00C4064E">
        <w:rPr>
          <w:rFonts w:cs="Arial"/>
          <w:szCs w:val="22"/>
        </w:rPr>
        <w:t xml:space="preserve"> expression levels for tubulin are </w:t>
      </w:r>
      <w:r>
        <w:rPr>
          <w:rFonts w:cs="Arial"/>
          <w:szCs w:val="22"/>
        </w:rPr>
        <w:t>comparable</w:t>
      </w:r>
      <w:r w:rsidR="004D44EA">
        <w:rPr>
          <w:rFonts w:cs="Arial"/>
          <w:szCs w:val="22"/>
        </w:rPr>
        <w:t xml:space="preserve">. </w:t>
      </w:r>
      <w:r w:rsidR="004D44EA">
        <w:rPr>
          <w:rFonts w:cs="Arial"/>
          <w:szCs w:val="22"/>
          <w:lang w:val="en-US"/>
        </w:rPr>
        <w:t xml:space="preserve">Both blots show from left to right alternating WT + APP </w:t>
      </w:r>
      <w:proofErr w:type="gramStart"/>
      <w:r w:rsidR="004D44EA">
        <w:rPr>
          <w:rFonts w:cs="Arial"/>
          <w:szCs w:val="22"/>
          <w:lang w:val="en-US"/>
        </w:rPr>
        <w:t>and  NPxY2</w:t>
      </w:r>
      <w:proofErr w:type="gramEnd"/>
      <w:r w:rsidR="004D44EA">
        <w:rPr>
          <w:rFonts w:cs="Arial"/>
          <w:szCs w:val="22"/>
          <w:lang w:val="en-US"/>
        </w:rPr>
        <w:t xml:space="preserve"> + APP samples (6 samples each blot).</w:t>
      </w:r>
    </w:p>
    <w:p w:rsidR="00ED5F6C" w:rsidRDefault="004F4D9D" w:rsidP="00DF4B67">
      <w:pPr>
        <w:ind w:firstLine="0"/>
        <w:rPr>
          <w:b/>
          <w:lang w:val="en-US"/>
        </w:rPr>
      </w:pPr>
      <w:r>
        <w:rPr>
          <w:b/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140335</wp:posOffset>
            </wp:positionV>
            <wp:extent cx="4846955" cy="13716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4D9D" w:rsidRDefault="004F4D9D" w:rsidP="00DF4B67">
      <w:pPr>
        <w:ind w:firstLine="0"/>
        <w:rPr>
          <w:b/>
          <w:lang w:val="en-US"/>
        </w:rPr>
      </w:pPr>
    </w:p>
    <w:p w:rsidR="004F4D9D" w:rsidRDefault="004F4D9D" w:rsidP="00DF4B67">
      <w:pPr>
        <w:ind w:firstLine="0"/>
        <w:rPr>
          <w:b/>
          <w:lang w:val="en-US"/>
        </w:rPr>
      </w:pPr>
    </w:p>
    <w:p w:rsidR="00B26C07" w:rsidRPr="00DF4B67" w:rsidRDefault="00DF4B67" w:rsidP="00DF4B67">
      <w:pPr>
        <w:ind w:firstLine="0"/>
        <w:rPr>
          <w:sz w:val="20"/>
          <w:szCs w:val="20"/>
        </w:rPr>
      </w:pPr>
      <w:r w:rsidRPr="00B26C07">
        <w:rPr>
          <w:b/>
          <w:lang w:val="en-US"/>
        </w:rPr>
        <w:t xml:space="preserve">Suppl. Fig. </w:t>
      </w:r>
      <w:r>
        <w:rPr>
          <w:b/>
          <w:lang w:val="en-US"/>
        </w:rPr>
        <w:t>3</w:t>
      </w:r>
      <w:r w:rsidRPr="00B26C07">
        <w:rPr>
          <w:b/>
          <w:lang w:val="en-US"/>
        </w:rPr>
        <w:t xml:space="preserve">.  </w:t>
      </w:r>
      <w:r w:rsidRPr="00DF4B67">
        <w:rPr>
          <w:b/>
          <w:sz w:val="20"/>
          <w:szCs w:val="20"/>
        </w:rPr>
        <w:t>Immunoblot data from the light chain of the antibody (IC 16) that was used for immunoprecipitation  showing that equal amounts of antibody wer</w:t>
      </w:r>
      <w:r>
        <w:rPr>
          <w:b/>
          <w:sz w:val="20"/>
          <w:szCs w:val="20"/>
        </w:rPr>
        <w:t>e used for the pulldown of A</w:t>
      </w:r>
      <w:r>
        <w:rPr>
          <w:rFonts w:cs="Arial"/>
          <w:b/>
          <w:sz w:val="20"/>
          <w:szCs w:val="20"/>
        </w:rPr>
        <w:t>β</w:t>
      </w:r>
      <w:r w:rsidRPr="00DF4B67">
        <w:rPr>
          <w:b/>
          <w:sz w:val="20"/>
          <w:szCs w:val="20"/>
        </w:rPr>
        <w:t>.</w:t>
      </w:r>
      <w:r w:rsidR="00ED5F6C">
        <w:rPr>
          <w:b/>
          <w:sz w:val="20"/>
          <w:szCs w:val="20"/>
        </w:rPr>
        <w:t xml:space="preserve"> </w:t>
      </w:r>
      <w:r w:rsidR="00ED5F6C" w:rsidRPr="00ED5F6C">
        <w:rPr>
          <w:sz w:val="20"/>
          <w:szCs w:val="20"/>
        </w:rPr>
        <w:t xml:space="preserve">Three representative </w:t>
      </w:r>
      <w:r w:rsidR="00ED5F6C">
        <w:rPr>
          <w:sz w:val="20"/>
          <w:szCs w:val="20"/>
        </w:rPr>
        <w:t xml:space="preserve">samples </w:t>
      </w:r>
      <w:r w:rsidR="00ED5F6C" w:rsidRPr="00ED5F6C">
        <w:rPr>
          <w:sz w:val="20"/>
          <w:szCs w:val="20"/>
        </w:rPr>
        <w:t>for both WT + APP and NPxY2 +</w:t>
      </w:r>
      <w:r w:rsidRPr="00ED5F6C">
        <w:rPr>
          <w:sz w:val="20"/>
          <w:szCs w:val="20"/>
        </w:rPr>
        <w:t xml:space="preserve"> </w:t>
      </w:r>
      <w:r w:rsidR="00ED5F6C" w:rsidRPr="00ED5F6C">
        <w:rPr>
          <w:sz w:val="20"/>
          <w:szCs w:val="20"/>
        </w:rPr>
        <w:t xml:space="preserve">APP </w:t>
      </w:r>
      <w:proofErr w:type="gramStart"/>
      <w:r w:rsidR="00ED5F6C" w:rsidRPr="00ED5F6C">
        <w:rPr>
          <w:sz w:val="20"/>
          <w:szCs w:val="20"/>
        </w:rPr>
        <w:t>are shown</w:t>
      </w:r>
      <w:proofErr w:type="gramEnd"/>
      <w:r w:rsidR="00ED5F6C">
        <w:rPr>
          <w:sz w:val="20"/>
          <w:szCs w:val="20"/>
        </w:rPr>
        <w:t>, illustrating the limited variation</w:t>
      </w:r>
      <w:r w:rsidR="00ED5F6C" w:rsidRPr="00ED5F6C">
        <w:rPr>
          <w:sz w:val="20"/>
          <w:szCs w:val="20"/>
        </w:rPr>
        <w:t>.</w:t>
      </w:r>
    </w:p>
    <w:sectPr w:rsidR="00B26C07" w:rsidRPr="00DF4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41461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50"/>
    <w:rsid w:val="000D05D6"/>
    <w:rsid w:val="00301406"/>
    <w:rsid w:val="004D44EA"/>
    <w:rsid w:val="004F4D9D"/>
    <w:rsid w:val="00563D80"/>
    <w:rsid w:val="00650281"/>
    <w:rsid w:val="006C027D"/>
    <w:rsid w:val="006C1F19"/>
    <w:rsid w:val="00B26C07"/>
    <w:rsid w:val="00B933F1"/>
    <w:rsid w:val="00C05750"/>
    <w:rsid w:val="00C4064E"/>
    <w:rsid w:val="00DF4B67"/>
    <w:rsid w:val="00E12984"/>
    <w:rsid w:val="00ED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4DBDD-D5A5-4D22-AF86-5EAA2453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750"/>
    <w:pPr>
      <w:spacing w:after="0" w:line="360" w:lineRule="auto"/>
      <w:ind w:firstLine="284"/>
      <w:jc w:val="both"/>
    </w:pPr>
    <w:rPr>
      <w:rFonts w:ascii="Arial" w:eastAsia="SimSu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Roebroek</dc:creator>
  <cp:keywords/>
  <dc:description/>
  <cp:lastModifiedBy>Anton Roebroek</cp:lastModifiedBy>
  <cp:revision>2</cp:revision>
  <dcterms:created xsi:type="dcterms:W3CDTF">2019-04-16T12:13:00Z</dcterms:created>
  <dcterms:modified xsi:type="dcterms:W3CDTF">2019-04-16T12:13:00Z</dcterms:modified>
</cp:coreProperties>
</file>