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9A840" w14:textId="77777777" w:rsidR="006217B5" w:rsidRPr="00083DD4" w:rsidRDefault="006217B5" w:rsidP="0081107C">
      <w:pPr>
        <w:pStyle w:val="MDPI13authornames"/>
        <w:spacing w:line="480" w:lineRule="auto"/>
        <w:rPr>
          <w:rFonts w:ascii="Times New Roman" w:hAnsi="Times New Roman"/>
          <w:snapToGrid w:val="0"/>
          <w:sz w:val="28"/>
          <w:szCs w:val="28"/>
          <w:lang w:val="en-GB"/>
        </w:rPr>
      </w:pPr>
      <w:bookmarkStart w:id="0" w:name="_GoBack"/>
      <w:bookmarkEnd w:id="0"/>
      <w:r w:rsidRPr="00083DD4">
        <w:rPr>
          <w:rFonts w:ascii="Times New Roman" w:hAnsi="Times New Roman"/>
          <w:snapToGrid w:val="0"/>
          <w:sz w:val="28"/>
          <w:szCs w:val="28"/>
          <w:lang w:val="en-GB"/>
        </w:rPr>
        <w:t>Common and rare variants in TMEM175 gene concur to the pathogenesis of Parkinson’s disease in Italian patients</w:t>
      </w:r>
    </w:p>
    <w:p w14:paraId="31752310" w14:textId="061CBADF" w:rsidR="00623ECA" w:rsidRPr="008468AF" w:rsidRDefault="00623ECA" w:rsidP="0081107C">
      <w:pPr>
        <w:pStyle w:val="MDPI13authornames"/>
        <w:spacing w:line="480" w:lineRule="auto"/>
        <w:rPr>
          <w:rFonts w:ascii="Times New Roman" w:hAnsi="Times New Roman"/>
          <w:b w:val="0"/>
          <w:sz w:val="24"/>
          <w:szCs w:val="24"/>
          <w:lang w:val="it-IT"/>
        </w:rPr>
      </w:pP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Nicole Piera Palomba </w:t>
      </w:r>
      <w:proofErr w:type="gramStart"/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1,#</w:t>
      </w:r>
      <w:proofErr w:type="gramEnd"/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Giorgio Fortunato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2,3,#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Giuseppe Pepe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Nicola Modugno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Sara Pietracupa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Immacolata Damiano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2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Giada Mascio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Federica Carrillo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2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Laura Ianiro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Katiuscia Martinello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Viola Volpato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4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Vincenzo Desiato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Riccardo Acri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>, Marianna Storto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Ferdinando Nicoletti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1,5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Caleb Webber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4</w:t>
      </w:r>
      <w:r w:rsidR="006217B5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,6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Sergio Fucile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1,5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Vittorio Magione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 xml:space="preserve">, and Teresa Esposito </w:t>
      </w:r>
      <w:r w:rsidRPr="008468AF">
        <w:rPr>
          <w:rFonts w:ascii="Times New Roman" w:hAnsi="Times New Roman"/>
          <w:b w:val="0"/>
          <w:sz w:val="24"/>
          <w:szCs w:val="24"/>
          <w:vertAlign w:val="superscript"/>
          <w:lang w:val="it-IT"/>
        </w:rPr>
        <w:t>1,2,</w:t>
      </w:r>
      <w:r w:rsidRPr="008468AF">
        <w:rPr>
          <w:rFonts w:ascii="Times New Roman" w:hAnsi="Times New Roman"/>
          <w:b w:val="0"/>
          <w:sz w:val="24"/>
          <w:szCs w:val="24"/>
          <w:lang w:val="it-IT"/>
        </w:rPr>
        <w:t>*</w:t>
      </w:r>
    </w:p>
    <w:p w14:paraId="6924F187" w14:textId="77777777" w:rsidR="00C5590B" w:rsidRPr="008468AF" w:rsidRDefault="00C5590B" w:rsidP="0081107C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4952C64C" w14:textId="77777777" w:rsidR="00C5590B" w:rsidRPr="008468AF" w:rsidRDefault="00C5590B" w:rsidP="0081107C">
      <w:pPr>
        <w:pStyle w:val="Titolo2"/>
        <w:spacing w:before="0" w:after="0"/>
        <w:jc w:val="center"/>
        <w:rPr>
          <w:rFonts w:ascii="Times New Roman" w:hAnsi="Times New Roman"/>
          <w:b w:val="0"/>
          <w:lang w:val="en-GB"/>
        </w:rPr>
      </w:pPr>
      <w:r w:rsidRPr="008468AF">
        <w:rPr>
          <w:rFonts w:ascii="Times New Roman" w:hAnsi="Times New Roman"/>
          <w:b w:val="0"/>
          <w:lang w:val="en-GB"/>
        </w:rPr>
        <w:t>Supporting information</w:t>
      </w:r>
    </w:p>
    <w:p w14:paraId="078E2DED" w14:textId="77777777" w:rsidR="00C5590B" w:rsidRPr="008468AF" w:rsidRDefault="00C5590B" w:rsidP="0081107C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CFFC501" w14:textId="77777777" w:rsidR="00DB236E" w:rsidRPr="008468AF" w:rsidRDefault="00DB236E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61838A8F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E678AC3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5430327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66DCBE5D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D7FF5C3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71041CF8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45D83BD9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37CC116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40826E2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7C8874A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22FAFDE6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1EB1622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2BCC4F6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EDCC419" w14:textId="77777777" w:rsidR="003E053D" w:rsidRDefault="003E053D" w:rsidP="0081107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B35A090" w14:textId="53BB0585" w:rsidR="00C5590B" w:rsidRPr="003E053D" w:rsidRDefault="003E053D" w:rsidP="0081107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3E053D">
        <w:rPr>
          <w:rFonts w:ascii="Times New Roman" w:hAnsi="Times New Roman"/>
          <w:b/>
          <w:sz w:val="24"/>
          <w:szCs w:val="24"/>
        </w:rPr>
        <w:lastRenderedPageBreak/>
        <w:t xml:space="preserve">Legend to </w:t>
      </w:r>
      <w:r w:rsidR="00DB236E" w:rsidRPr="003E053D">
        <w:rPr>
          <w:rFonts w:ascii="Times New Roman" w:hAnsi="Times New Roman"/>
          <w:b/>
          <w:sz w:val="24"/>
          <w:szCs w:val="24"/>
        </w:rPr>
        <w:t xml:space="preserve">Supplementary </w:t>
      </w:r>
      <w:r w:rsidR="00C5590B" w:rsidRPr="003E053D">
        <w:rPr>
          <w:rFonts w:ascii="Times New Roman" w:hAnsi="Times New Roman"/>
          <w:b/>
          <w:sz w:val="24"/>
          <w:szCs w:val="24"/>
        </w:rPr>
        <w:t>figure</w:t>
      </w:r>
      <w:r w:rsidR="00DB236E" w:rsidRPr="003E053D">
        <w:rPr>
          <w:rFonts w:ascii="Times New Roman" w:hAnsi="Times New Roman"/>
          <w:b/>
          <w:sz w:val="24"/>
          <w:szCs w:val="24"/>
        </w:rPr>
        <w:t xml:space="preserve">s </w:t>
      </w:r>
    </w:p>
    <w:p w14:paraId="3745DA62" w14:textId="7F70DE64" w:rsidR="00476D4F" w:rsidRDefault="00083DD4" w:rsidP="008468AF">
      <w:pPr>
        <w:suppressAutoHyphens w:val="0"/>
        <w:autoSpaceDN/>
        <w:spacing w:line="259" w:lineRule="auto"/>
        <w:jc w:val="both"/>
        <w:textAlignment w:val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Fig. S1</w:t>
      </w:r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</w:t>
      </w:r>
      <w:r w:rsidR="00623ECA" w:rsidRPr="00083DD4">
        <w:rPr>
          <w:rFonts w:ascii="Times New Roman" w:eastAsia="Arial" w:hAnsi="Times New Roman"/>
          <w:sz w:val="24"/>
          <w:szCs w:val="24"/>
          <w:lang w:val="en-US" w:eastAsia="fr-FR"/>
        </w:rPr>
        <w:t>Immuno-localization of TMEM175 and LAMP1 in human dermal fibroblasts.</w:t>
      </w:r>
      <w:r w:rsidR="00623ECA" w:rsidRPr="008468AF">
        <w:rPr>
          <w:rFonts w:ascii="Times New Roman" w:eastAsia="Arial" w:hAnsi="Times New Roman"/>
          <w:b/>
          <w:sz w:val="24"/>
          <w:szCs w:val="24"/>
          <w:lang w:val="en-US" w:eastAsia="fr-FR"/>
        </w:rPr>
        <w:t xml:space="preserve"> </w:t>
      </w:r>
      <w:r w:rsidR="004D54D6" w:rsidRPr="008468AF">
        <w:rPr>
          <w:rFonts w:ascii="Times New Roman" w:eastAsia="Arial" w:hAnsi="Times New Roman"/>
          <w:sz w:val="24"/>
          <w:szCs w:val="24"/>
          <w:lang w:val="en-US" w:eastAsia="fr-FR"/>
        </w:rPr>
        <w:t>TMEM</w:t>
      </w:r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175 protein was stained using anti-TMEM175/CY3, LAMP1 lysosomal marker </w:t>
      </w:r>
      <w:proofErr w:type="gramStart"/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>was stained</w:t>
      </w:r>
      <w:proofErr w:type="gramEnd"/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using anti-LAMP1/488. Nuclei </w:t>
      </w:r>
      <w:proofErr w:type="gramStart"/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>were stained</w:t>
      </w:r>
      <w:proofErr w:type="gramEnd"/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with Hoechst. </w:t>
      </w:r>
      <w:r w:rsidR="004D54D6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Intense co-staining with LAMP1 </w:t>
      </w:r>
      <w:proofErr w:type="gramStart"/>
      <w:r w:rsidR="004D54D6" w:rsidRPr="008468AF">
        <w:rPr>
          <w:rFonts w:ascii="Times New Roman" w:eastAsia="Arial" w:hAnsi="Times New Roman"/>
          <w:sz w:val="24"/>
          <w:szCs w:val="24"/>
          <w:lang w:val="en-US" w:eastAsia="fr-FR"/>
        </w:rPr>
        <w:t>was observed</w:t>
      </w:r>
      <w:proofErr w:type="gramEnd"/>
      <w:r w:rsidR="004D54D6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for wt and mutant proteins, suggesting</w:t>
      </w:r>
      <w:r w:rsidR="004D54D6" w:rsidRPr="008468AF">
        <w:rPr>
          <w:rFonts w:ascii="Times New Roman" w:hAnsi="Times New Roman"/>
          <w:sz w:val="24"/>
          <w:szCs w:val="24"/>
          <w:lang w:val="en-US"/>
        </w:rPr>
        <w:t xml:space="preserve"> that the mutations did not affect the localization of the protein on lysosome.</w:t>
      </w:r>
      <w:r w:rsidR="007D5AB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76D4F" w:rsidRPr="008468AF">
        <w:rPr>
          <w:rFonts w:ascii="Times New Roman" w:hAnsi="Times New Roman"/>
          <w:sz w:val="24"/>
          <w:szCs w:val="24"/>
          <w:lang w:val="en-US"/>
        </w:rPr>
        <w:t>Slides were visualized with Nikon Confocal Microscope A1R at 60x magnification.</w:t>
      </w:r>
    </w:p>
    <w:p w14:paraId="05E50A45" w14:textId="77777777" w:rsidR="003E053D" w:rsidRDefault="003E053D" w:rsidP="008468AF">
      <w:pPr>
        <w:suppressAutoHyphens w:val="0"/>
        <w:autoSpaceDN/>
        <w:spacing w:line="259" w:lineRule="auto"/>
        <w:jc w:val="both"/>
        <w:textAlignment w:val="auto"/>
        <w:rPr>
          <w:rFonts w:ascii="Times New Roman" w:hAnsi="Times New Roman"/>
          <w:sz w:val="24"/>
          <w:szCs w:val="24"/>
          <w:lang w:val="en-US"/>
        </w:rPr>
      </w:pPr>
    </w:p>
    <w:p w14:paraId="685BE137" w14:textId="77777777" w:rsidR="003E053D" w:rsidRDefault="00083DD4" w:rsidP="007D673A">
      <w:pPr>
        <w:suppressAutoHyphens w:val="0"/>
        <w:autoSpaceDN/>
        <w:spacing w:line="259" w:lineRule="auto"/>
        <w:jc w:val="both"/>
        <w:textAlignment w:val="auto"/>
        <w:rPr>
          <w:rFonts w:ascii="Times New Roman" w:eastAsia="Arial" w:hAnsi="Times New Roman"/>
          <w:b/>
          <w:sz w:val="24"/>
          <w:szCs w:val="24"/>
          <w:lang w:val="en-US" w:eastAsia="fr-FR"/>
        </w:rPr>
      </w:pPr>
      <w:r>
        <w:rPr>
          <w:rFonts w:ascii="Times New Roman" w:eastAsia="Arial" w:hAnsi="Times New Roman"/>
          <w:b/>
          <w:sz w:val="24"/>
          <w:szCs w:val="24"/>
          <w:lang w:val="en-US" w:eastAsia="fr-FR"/>
        </w:rPr>
        <w:t>Fig. S2</w:t>
      </w:r>
      <w:r w:rsidR="00DB236E" w:rsidRPr="008468AF">
        <w:rPr>
          <w:rFonts w:ascii="Times New Roman" w:eastAsia="Arial" w:hAnsi="Times New Roman"/>
          <w:b/>
          <w:sz w:val="24"/>
          <w:szCs w:val="24"/>
          <w:lang w:val="en-US" w:eastAsia="fr-FR"/>
        </w:rPr>
        <w:t xml:space="preserve"> </w:t>
      </w:r>
      <w:r w:rsidR="00623ECA" w:rsidRPr="00083DD4">
        <w:rPr>
          <w:rFonts w:ascii="Times New Roman" w:eastAsia="Arial" w:hAnsi="Times New Roman"/>
          <w:sz w:val="24"/>
          <w:szCs w:val="24"/>
          <w:lang w:val="en-US" w:eastAsia="fr-FR"/>
        </w:rPr>
        <w:t xml:space="preserve">Immuno-localization of </w:t>
      </w:r>
      <w:r w:rsidR="004D54D6" w:rsidRPr="00083DD4">
        <w:rPr>
          <w:rFonts w:ascii="Times New Roman" w:eastAsia="Arial" w:hAnsi="Times New Roman"/>
          <w:sz w:val="24"/>
          <w:szCs w:val="24"/>
          <w:lang w:val="en-US" w:eastAsia="fr-FR"/>
        </w:rPr>
        <w:t>TMEM175 wt –GFP tagged</w:t>
      </w:r>
      <w:r w:rsidR="00623ECA" w:rsidRPr="00083DD4">
        <w:rPr>
          <w:rFonts w:ascii="Times New Roman" w:eastAsia="Arial" w:hAnsi="Times New Roman"/>
          <w:sz w:val="24"/>
          <w:szCs w:val="24"/>
          <w:lang w:val="en-US" w:eastAsia="fr-FR"/>
        </w:rPr>
        <w:t xml:space="preserve"> and mutant (</w:t>
      </w:r>
      <w:r w:rsidR="00476D4F" w:rsidRPr="00083DD4">
        <w:rPr>
          <w:rFonts w:ascii="Times New Roman" w:eastAsia="Arial" w:hAnsi="Times New Roman"/>
          <w:sz w:val="24"/>
          <w:szCs w:val="24"/>
          <w:lang w:val="en-US" w:eastAsia="fr-FR"/>
        </w:rPr>
        <w:t>TMEM175</w:t>
      </w:r>
      <w:r w:rsidR="00623ECA" w:rsidRPr="00083DD4">
        <w:rPr>
          <w:rFonts w:ascii="Times New Roman" w:eastAsia="Arial" w:hAnsi="Times New Roman"/>
          <w:sz w:val="24"/>
          <w:szCs w:val="24"/>
          <w:lang w:val="en-US" w:eastAsia="fr-FR"/>
        </w:rPr>
        <w:t>-</w:t>
      </w:r>
      <w:r w:rsidR="00476D4F" w:rsidRPr="00083DD4">
        <w:rPr>
          <w:rFonts w:ascii="Times New Roman" w:eastAsia="Arial" w:hAnsi="Times New Roman"/>
          <w:sz w:val="24"/>
          <w:szCs w:val="24"/>
          <w:lang w:val="en-US" w:eastAsia="fr-FR"/>
        </w:rPr>
        <w:t>mut</w:t>
      </w:r>
      <w:r w:rsidR="00623ECA" w:rsidRPr="00083DD4">
        <w:rPr>
          <w:rFonts w:ascii="Times New Roman" w:eastAsia="Arial" w:hAnsi="Times New Roman"/>
          <w:sz w:val="24"/>
          <w:szCs w:val="24"/>
          <w:lang w:val="en-US" w:eastAsia="fr-FR"/>
        </w:rPr>
        <w:t xml:space="preserve">-GFP) and </w:t>
      </w:r>
      <w:r w:rsidR="00476D4F" w:rsidRPr="00083DD4">
        <w:rPr>
          <w:rFonts w:ascii="Times New Roman" w:eastAsia="Arial" w:hAnsi="Times New Roman"/>
          <w:sz w:val="24"/>
          <w:szCs w:val="24"/>
          <w:lang w:val="en-US" w:eastAsia="fr-FR"/>
        </w:rPr>
        <w:t xml:space="preserve">LAMP2 lysosomal marker </w:t>
      </w:r>
      <w:r w:rsidR="00623ECA" w:rsidRPr="00083DD4">
        <w:rPr>
          <w:rFonts w:ascii="Times New Roman" w:eastAsia="Arial" w:hAnsi="Times New Roman"/>
          <w:sz w:val="24"/>
          <w:szCs w:val="24"/>
          <w:lang w:val="en-US" w:eastAsia="fr-FR"/>
        </w:rPr>
        <w:t>in HeLa cells.</w:t>
      </w:r>
      <w:r w:rsidR="00623ECA" w:rsidRPr="008468AF">
        <w:rPr>
          <w:rFonts w:ascii="Times New Roman" w:eastAsia="Arial" w:hAnsi="Times New Roman"/>
          <w:b/>
          <w:sz w:val="24"/>
          <w:szCs w:val="24"/>
          <w:lang w:val="en-US" w:eastAsia="fr-FR"/>
        </w:rPr>
        <w:t xml:space="preserve"> </w:t>
      </w:r>
      <w:r w:rsidR="00476D4F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GFP-tagged </w:t>
      </w:r>
      <w:proofErr w:type="gramStart"/>
      <w:r w:rsidR="00476D4F" w:rsidRPr="008468AF">
        <w:rPr>
          <w:rFonts w:ascii="Times New Roman" w:eastAsia="Arial" w:hAnsi="Times New Roman"/>
          <w:sz w:val="24"/>
          <w:szCs w:val="24"/>
          <w:lang w:val="en-US" w:eastAsia="fr-FR"/>
        </w:rPr>
        <w:t>wild-type</w:t>
      </w:r>
      <w:proofErr w:type="gramEnd"/>
      <w:r w:rsidR="00476D4F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and mutant proteins</w:t>
      </w:r>
      <w:r w:rsidR="00476D4F" w:rsidRPr="008468AF">
        <w:rPr>
          <w:rFonts w:ascii="Times New Roman" w:eastAsia="Arial" w:hAnsi="Times New Roman"/>
          <w:b/>
          <w:sz w:val="24"/>
          <w:szCs w:val="24"/>
          <w:lang w:val="en-US" w:eastAsia="fr-FR"/>
        </w:rPr>
        <w:t xml:space="preserve"> </w:t>
      </w:r>
      <w:r w:rsidR="00476D4F" w:rsidRPr="008468AF">
        <w:rPr>
          <w:rFonts w:ascii="Times New Roman" w:eastAsia="Arial" w:hAnsi="Times New Roman"/>
          <w:sz w:val="24"/>
          <w:szCs w:val="24"/>
          <w:lang w:val="en-US" w:eastAsia="fr-FR"/>
        </w:rPr>
        <w:t>were visualized as green spots</w:t>
      </w:r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, LAMP2 </w:t>
      </w:r>
      <w:r w:rsidR="00476D4F" w:rsidRPr="008468AF">
        <w:rPr>
          <w:rFonts w:ascii="Times New Roman" w:eastAsia="Arial" w:hAnsi="Times New Roman"/>
          <w:sz w:val="24"/>
          <w:szCs w:val="24"/>
          <w:lang w:val="en-US" w:eastAsia="fr-FR"/>
        </w:rPr>
        <w:t>was</w:t>
      </w:r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stained using anti-LAMP2 /CY3. </w:t>
      </w:r>
      <w:r w:rsidR="00476D4F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TMEM175 localyzed on lysosomal membrane in HeLa cells (Figure 5d, Figure S2). However, we also observed Intense staining signals were observed into the lysosome (co-staining with LAMP2), into the cytoplasm and faint staining signal on plasma membrane. No difference </w:t>
      </w:r>
      <w:proofErr w:type="gramStart"/>
      <w:r w:rsidR="00476D4F" w:rsidRPr="008468AF">
        <w:rPr>
          <w:rFonts w:ascii="Times New Roman" w:eastAsia="Arial" w:hAnsi="Times New Roman"/>
          <w:sz w:val="24"/>
          <w:szCs w:val="24"/>
          <w:lang w:val="en-US" w:eastAsia="fr-FR"/>
        </w:rPr>
        <w:t>was observed</w:t>
      </w:r>
      <w:proofErr w:type="gramEnd"/>
      <w:r w:rsidR="00476D4F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between wt and mutant proteins. </w:t>
      </w:r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Nuclei </w:t>
      </w:r>
      <w:proofErr w:type="gramStart"/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>were stained</w:t>
      </w:r>
      <w:proofErr w:type="gramEnd"/>
      <w:r w:rsidR="00623ECA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with Hoechst. </w:t>
      </w:r>
      <w:r w:rsidR="00623ECA" w:rsidRPr="008468AF">
        <w:rPr>
          <w:rFonts w:ascii="Times New Roman" w:hAnsi="Times New Roman"/>
          <w:sz w:val="24"/>
          <w:szCs w:val="24"/>
          <w:lang w:val="en-US"/>
        </w:rPr>
        <w:t xml:space="preserve">Slides were visualized with Nikon Confocal Microscope A1R at </w:t>
      </w:r>
      <w:proofErr w:type="gramStart"/>
      <w:r w:rsidR="00623ECA" w:rsidRPr="008468AF">
        <w:rPr>
          <w:rFonts w:ascii="Times New Roman" w:hAnsi="Times New Roman"/>
          <w:sz w:val="24"/>
          <w:szCs w:val="24"/>
          <w:lang w:val="en-US"/>
        </w:rPr>
        <w:t>60x</w:t>
      </w:r>
      <w:proofErr w:type="gramEnd"/>
      <w:r w:rsidR="00623ECA" w:rsidRPr="008468AF">
        <w:rPr>
          <w:rFonts w:ascii="Times New Roman" w:hAnsi="Times New Roman"/>
          <w:sz w:val="24"/>
          <w:szCs w:val="24"/>
          <w:lang w:val="en-US"/>
        </w:rPr>
        <w:t xml:space="preserve"> magnification</w:t>
      </w:r>
      <w:r w:rsidR="00476D4F" w:rsidRPr="008468AF">
        <w:rPr>
          <w:rFonts w:ascii="Times New Roman" w:hAnsi="Times New Roman"/>
          <w:sz w:val="24"/>
          <w:szCs w:val="24"/>
          <w:lang w:val="en-US"/>
        </w:rPr>
        <w:t>.</w:t>
      </w:r>
    </w:p>
    <w:p w14:paraId="37F068EB" w14:textId="77777777" w:rsidR="003E053D" w:rsidRDefault="003E053D" w:rsidP="007D673A">
      <w:pPr>
        <w:suppressAutoHyphens w:val="0"/>
        <w:autoSpaceDN/>
        <w:spacing w:line="259" w:lineRule="auto"/>
        <w:jc w:val="both"/>
        <w:textAlignment w:val="auto"/>
        <w:rPr>
          <w:rFonts w:ascii="Times New Roman" w:eastAsia="Arial" w:hAnsi="Times New Roman"/>
          <w:b/>
          <w:sz w:val="24"/>
          <w:szCs w:val="24"/>
          <w:lang w:val="en-US" w:eastAsia="fr-FR"/>
        </w:rPr>
      </w:pPr>
    </w:p>
    <w:p w14:paraId="033C2233" w14:textId="1CF5D17F" w:rsidR="00A50099" w:rsidRPr="007D673A" w:rsidRDefault="00083DD4" w:rsidP="007D673A">
      <w:pPr>
        <w:suppressAutoHyphens w:val="0"/>
        <w:autoSpaceDN/>
        <w:spacing w:line="259" w:lineRule="auto"/>
        <w:jc w:val="both"/>
        <w:textAlignment w:val="auto"/>
        <w:rPr>
          <w:rFonts w:ascii="Times New Roman" w:eastAsia="Arial" w:hAnsi="Times New Roman"/>
          <w:b/>
          <w:sz w:val="24"/>
          <w:szCs w:val="24"/>
          <w:lang w:val="en-US" w:eastAsia="fr-FR"/>
        </w:rPr>
      </w:pPr>
      <w:r>
        <w:rPr>
          <w:rFonts w:ascii="Times New Roman" w:eastAsia="Arial" w:hAnsi="Times New Roman"/>
          <w:b/>
          <w:sz w:val="24"/>
          <w:szCs w:val="24"/>
          <w:lang w:val="en-US" w:eastAsia="fr-FR"/>
        </w:rPr>
        <w:t>Fig.</w:t>
      </w:r>
      <w:r w:rsidR="00944882" w:rsidRPr="008468AF">
        <w:rPr>
          <w:rFonts w:ascii="Times New Roman" w:eastAsia="Arial" w:hAnsi="Times New Roman"/>
          <w:b/>
          <w:sz w:val="24"/>
          <w:szCs w:val="24"/>
          <w:lang w:val="en-US" w:eastAsia="fr-FR"/>
        </w:rPr>
        <w:t xml:space="preserve"> S3</w:t>
      </w:r>
      <w:r w:rsidR="00DB236E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</w:t>
      </w:r>
      <w:r w:rsidR="00DB236E" w:rsidRPr="00083DD4">
        <w:rPr>
          <w:rFonts w:ascii="Times New Roman" w:eastAsia="Arial" w:hAnsi="Times New Roman"/>
          <w:sz w:val="24"/>
          <w:szCs w:val="24"/>
          <w:lang w:val="en-US" w:eastAsia="fr-FR"/>
        </w:rPr>
        <w:t xml:space="preserve">Immuno-localization of </w:t>
      </w:r>
      <w:r w:rsidR="00944882" w:rsidRPr="00083DD4">
        <w:rPr>
          <w:rFonts w:ascii="Times New Roman" w:eastAsia="Arial" w:hAnsi="Times New Roman"/>
          <w:sz w:val="24"/>
          <w:szCs w:val="24"/>
          <w:lang w:val="en-US" w:eastAsia="fr-FR"/>
        </w:rPr>
        <w:t>LAMP1 and p62 in patient-derived fibroblast</w:t>
      </w:r>
      <w:r w:rsidR="00DB236E" w:rsidRPr="00083DD4">
        <w:rPr>
          <w:rFonts w:ascii="Times New Roman" w:eastAsia="Arial" w:hAnsi="Times New Roman"/>
          <w:sz w:val="24"/>
          <w:szCs w:val="24"/>
          <w:lang w:val="en-US" w:eastAsia="fr-FR"/>
        </w:rPr>
        <w:t>.</w:t>
      </w:r>
      <w:r w:rsidR="00DB236E" w:rsidRPr="008468AF">
        <w:rPr>
          <w:rFonts w:ascii="Times New Roman" w:eastAsia="Arial" w:hAnsi="Times New Roman"/>
          <w:b/>
          <w:sz w:val="24"/>
          <w:szCs w:val="24"/>
          <w:lang w:val="en-US" w:eastAsia="fr-FR"/>
        </w:rPr>
        <w:t xml:space="preserve"> </w:t>
      </w:r>
      <w:r w:rsidR="00944882" w:rsidRPr="008468AF">
        <w:rPr>
          <w:rFonts w:ascii="Times New Roman" w:eastAsia="Arial" w:hAnsi="Times New Roman"/>
          <w:sz w:val="24"/>
          <w:szCs w:val="24"/>
          <w:lang w:val="en-US" w:eastAsia="fr-FR"/>
        </w:rPr>
        <w:t>LAMP1</w:t>
      </w:r>
      <w:r w:rsidR="00DB236E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</w:t>
      </w:r>
      <w:proofErr w:type="gramStart"/>
      <w:r w:rsidR="00944882" w:rsidRPr="008468AF">
        <w:rPr>
          <w:rFonts w:ascii="Times New Roman" w:eastAsia="Arial" w:hAnsi="Times New Roman"/>
          <w:sz w:val="24"/>
          <w:szCs w:val="24"/>
          <w:lang w:val="en-US" w:eastAsia="fr-FR"/>
        </w:rPr>
        <w:t>was stained</w:t>
      </w:r>
      <w:proofErr w:type="gramEnd"/>
      <w:r w:rsidR="00944882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with </w:t>
      </w:r>
      <w:r w:rsidR="005B67F7" w:rsidRPr="008468AF">
        <w:rPr>
          <w:rFonts w:ascii="Times New Roman" w:eastAsia="Arial" w:hAnsi="Times New Roman"/>
          <w:sz w:val="24"/>
          <w:szCs w:val="24"/>
          <w:lang w:val="en-US" w:eastAsia="fr-FR"/>
        </w:rPr>
        <w:t>anti-LAMP1</w:t>
      </w:r>
      <w:r w:rsidR="00944882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/488 and p62 autophagic marker was</w:t>
      </w:r>
      <w:r w:rsidR="00DB236E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stained using anti-</w:t>
      </w:r>
      <w:r w:rsidR="00944882" w:rsidRPr="008468AF">
        <w:rPr>
          <w:rFonts w:ascii="Times New Roman" w:eastAsia="Arial" w:hAnsi="Times New Roman"/>
          <w:sz w:val="24"/>
          <w:szCs w:val="24"/>
          <w:lang w:val="en-US" w:eastAsia="fr-FR"/>
        </w:rPr>
        <w:t>p62</w:t>
      </w:r>
      <w:r w:rsidR="00DB236E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/CY3. Nuclei </w:t>
      </w:r>
      <w:proofErr w:type="gramStart"/>
      <w:r w:rsidR="00DB236E" w:rsidRPr="008468AF">
        <w:rPr>
          <w:rFonts w:ascii="Times New Roman" w:eastAsia="Arial" w:hAnsi="Times New Roman"/>
          <w:sz w:val="24"/>
          <w:szCs w:val="24"/>
          <w:lang w:val="en-US" w:eastAsia="fr-FR"/>
        </w:rPr>
        <w:t>were stained</w:t>
      </w:r>
      <w:proofErr w:type="gramEnd"/>
      <w:r w:rsidR="00DB236E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with Hoechst. </w:t>
      </w:r>
      <w:r w:rsidR="00DB236E" w:rsidRPr="008468AF">
        <w:rPr>
          <w:rFonts w:ascii="Times New Roman" w:hAnsi="Times New Roman"/>
          <w:sz w:val="24"/>
          <w:szCs w:val="24"/>
          <w:lang w:val="en-US"/>
        </w:rPr>
        <w:t xml:space="preserve">Slides were visualized with </w:t>
      </w:r>
      <w:r w:rsidR="00944882" w:rsidRPr="008468AF">
        <w:rPr>
          <w:rFonts w:ascii="Times New Roman" w:hAnsi="Times New Roman"/>
          <w:sz w:val="24"/>
          <w:szCs w:val="24"/>
          <w:lang w:val="en-US"/>
        </w:rPr>
        <w:t xml:space="preserve">Nikon Eclipse Ni-E </w:t>
      </w:r>
      <w:proofErr w:type="gramStart"/>
      <w:r w:rsidR="00944882" w:rsidRPr="008468AF">
        <w:rPr>
          <w:rFonts w:ascii="Times New Roman" w:hAnsi="Times New Roman"/>
          <w:sz w:val="24"/>
          <w:szCs w:val="24"/>
          <w:lang w:val="en-US"/>
        </w:rPr>
        <w:t>60x</w:t>
      </w:r>
      <w:proofErr w:type="gramEnd"/>
      <w:r w:rsidR="00944882" w:rsidRPr="008468AF">
        <w:rPr>
          <w:rFonts w:ascii="Times New Roman" w:hAnsi="Times New Roman"/>
          <w:sz w:val="24"/>
          <w:szCs w:val="24"/>
          <w:lang w:val="en-US"/>
        </w:rPr>
        <w:t xml:space="preserve"> magnification</w:t>
      </w:r>
      <w:r w:rsidR="00DB236E" w:rsidRPr="008468A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A50099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Number, size, and intensity of p62 puncta </w:t>
      </w:r>
      <w:proofErr w:type="gramStart"/>
      <w:r w:rsidR="00A50099" w:rsidRPr="008468AF">
        <w:rPr>
          <w:rFonts w:ascii="Times New Roman" w:eastAsia="Arial" w:hAnsi="Times New Roman"/>
          <w:sz w:val="24"/>
          <w:szCs w:val="24"/>
          <w:lang w:val="en-US" w:eastAsia="fr-FR"/>
        </w:rPr>
        <w:t>are increased</w:t>
      </w:r>
      <w:proofErr w:type="gramEnd"/>
      <w:r w:rsidR="00A50099" w:rsidRPr="008468AF">
        <w:rPr>
          <w:rFonts w:ascii="Times New Roman" w:eastAsia="Arial" w:hAnsi="Times New Roman"/>
          <w:sz w:val="24"/>
          <w:szCs w:val="24"/>
          <w:lang w:val="en-US" w:eastAsia="fr-FR"/>
        </w:rPr>
        <w:t xml:space="preserve"> in patient–derived fibroblasts.</w:t>
      </w:r>
    </w:p>
    <w:p w14:paraId="580431B4" w14:textId="77777777" w:rsidR="007D673A" w:rsidRDefault="007D673A">
      <w:pPr>
        <w:suppressAutoHyphens w:val="0"/>
        <w:autoSpaceDN/>
        <w:spacing w:line="259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33F3BA15" w14:textId="367C5952" w:rsidR="007D673A" w:rsidRPr="007D673A" w:rsidRDefault="007D673A" w:rsidP="007D673A">
      <w:pPr>
        <w:suppressAutoHyphens w:val="0"/>
        <w:autoSpaceDN/>
        <w:spacing w:line="259" w:lineRule="auto"/>
        <w:jc w:val="both"/>
        <w:textAlignment w:val="auto"/>
        <w:rPr>
          <w:rFonts w:ascii="Times New Roman" w:eastAsia="Arial" w:hAnsi="Times New Roman"/>
          <w:sz w:val="24"/>
          <w:szCs w:val="24"/>
          <w:lang w:val="en-US" w:eastAsia="fr-FR"/>
        </w:rPr>
      </w:pPr>
      <w:r w:rsidRPr="009C1E55">
        <w:rPr>
          <w:rFonts w:ascii="Times New Roman" w:eastAsia="Arial" w:hAnsi="Times New Roman"/>
          <w:b/>
          <w:sz w:val="24"/>
          <w:szCs w:val="24"/>
          <w:lang w:val="en-US" w:eastAsia="fr-FR"/>
        </w:rPr>
        <w:t>Fig. S4</w:t>
      </w:r>
      <w:r w:rsidRPr="009C1E55">
        <w:rPr>
          <w:rFonts w:ascii="Times New Roman" w:eastAsia="Arial" w:hAnsi="Times New Roman"/>
          <w:sz w:val="24"/>
          <w:szCs w:val="24"/>
          <w:lang w:val="en-US" w:eastAsia="fr-FR"/>
        </w:rPr>
        <w:t xml:space="preserve"> In silico predictions of the variants p.T105A, p.R335H and p.R370H. The analysis was performed with Dynamut (biosig.lab.uq.edu.au/dynamut/prediction) on the TMEM175 protein structure</w:t>
      </w:r>
      <w:r w:rsidR="00510F32" w:rsidRPr="009C1E55">
        <w:rPr>
          <w:rFonts w:ascii="Times New Roman" w:eastAsia="Arial" w:hAnsi="Times New Roman"/>
          <w:sz w:val="24"/>
          <w:szCs w:val="24"/>
          <w:lang w:val="en-US" w:eastAsia="fr-FR"/>
        </w:rPr>
        <w:t>,</w:t>
      </w:r>
      <w:r w:rsidRPr="009C1E55">
        <w:rPr>
          <w:rFonts w:ascii="Times New Roman" w:eastAsia="Arial" w:hAnsi="Times New Roman"/>
          <w:sz w:val="24"/>
          <w:szCs w:val="24"/>
          <w:lang w:val="en-US" w:eastAsia="fr-FR"/>
        </w:rPr>
        <w:t xml:space="preserve"> PDB accession </w:t>
      </w:r>
      <w:r w:rsidR="00510F32" w:rsidRPr="009C1E55">
        <w:rPr>
          <w:rFonts w:ascii="Times New Roman" w:eastAsia="Arial" w:hAnsi="Times New Roman"/>
          <w:sz w:val="24"/>
          <w:szCs w:val="24"/>
          <w:lang w:val="en-US" w:eastAsia="fr-FR"/>
        </w:rPr>
        <w:t xml:space="preserve">number </w:t>
      </w:r>
      <w:r w:rsidR="007D5ABF">
        <w:rPr>
          <w:rFonts w:ascii="Times New Roman" w:eastAsia="Arial" w:hAnsi="Times New Roman"/>
          <w:sz w:val="24"/>
          <w:szCs w:val="24"/>
          <w:lang w:val="en-US" w:eastAsia="fr-FR"/>
        </w:rPr>
        <w:t xml:space="preserve">6WCB, chain A. </w:t>
      </w:r>
      <w:r w:rsidRPr="009C1E55">
        <w:rPr>
          <w:rFonts w:ascii="Times New Roman" w:eastAsia="Arial" w:hAnsi="Times New Roman"/>
          <w:sz w:val="24"/>
          <w:szCs w:val="24"/>
          <w:lang w:val="en-US" w:eastAsia="fr-FR"/>
        </w:rPr>
        <w:t xml:space="preserve">We observed an alteration of the interatomic interactions and of the vibrational entropy energy between wt and mutant proteins. Wt and mutant residues </w:t>
      </w:r>
      <w:proofErr w:type="gramStart"/>
      <w:r w:rsidRPr="009C1E55">
        <w:rPr>
          <w:rFonts w:ascii="Times New Roman" w:eastAsia="Arial" w:hAnsi="Times New Roman"/>
          <w:sz w:val="24"/>
          <w:szCs w:val="24"/>
          <w:lang w:val="en-US" w:eastAsia="fr-FR"/>
        </w:rPr>
        <w:t>are colored</w:t>
      </w:r>
      <w:proofErr w:type="gramEnd"/>
      <w:r w:rsidRPr="009C1E55">
        <w:rPr>
          <w:rFonts w:ascii="Times New Roman" w:eastAsia="Arial" w:hAnsi="Times New Roman"/>
          <w:sz w:val="24"/>
          <w:szCs w:val="24"/>
          <w:lang w:val="en-US" w:eastAsia="fr-FR"/>
        </w:rPr>
        <w:t xml:space="preserve"> in </w:t>
      </w:r>
      <w:r w:rsidR="00510F32" w:rsidRPr="009C1E55">
        <w:rPr>
          <w:rFonts w:ascii="Times New Roman" w:eastAsia="Arial" w:hAnsi="Times New Roman"/>
          <w:sz w:val="24"/>
          <w:szCs w:val="24"/>
          <w:lang w:val="en-US" w:eastAsia="fr-FR"/>
        </w:rPr>
        <w:t>light green</w:t>
      </w:r>
      <w:r w:rsidRPr="009C1E55">
        <w:rPr>
          <w:rFonts w:ascii="Times New Roman" w:eastAsia="Arial" w:hAnsi="Times New Roman"/>
          <w:sz w:val="24"/>
          <w:szCs w:val="24"/>
          <w:lang w:val="en-US" w:eastAsia="fr-FR"/>
        </w:rPr>
        <w:t xml:space="preserve"> and are represented as sticks alongside with the surrounding </w:t>
      </w:r>
      <w:r w:rsidR="00510F32" w:rsidRPr="009C1E55">
        <w:rPr>
          <w:rFonts w:ascii="Times New Roman" w:eastAsia="Arial" w:hAnsi="Times New Roman"/>
          <w:sz w:val="24"/>
          <w:szCs w:val="24"/>
          <w:lang w:val="en-US" w:eastAsia="fr-FR"/>
        </w:rPr>
        <w:t>residues, which</w:t>
      </w:r>
      <w:r w:rsidRPr="009C1E55">
        <w:rPr>
          <w:rFonts w:ascii="Times New Roman" w:eastAsia="Arial" w:hAnsi="Times New Roman"/>
          <w:sz w:val="24"/>
          <w:szCs w:val="24"/>
          <w:lang w:val="en-US" w:eastAsia="fr-FR"/>
        </w:rPr>
        <w:t xml:space="preserve"> are involved on any type of interactions.  </w:t>
      </w:r>
      <w:r w:rsidR="00510F32" w:rsidRPr="009C1E55">
        <w:rPr>
          <w:rFonts w:ascii="Times New Roman" w:eastAsia="Arial" w:hAnsi="Times New Roman"/>
          <w:sz w:val="24"/>
          <w:szCs w:val="24"/>
          <w:lang w:val="en-US" w:eastAsia="fr-FR"/>
        </w:rPr>
        <w:t>Amino acids colored according to the vibrational entropy change upon mutation. Blue represents a rigidification of the structure and Red a gain in flexibility.</w:t>
      </w:r>
      <w:r w:rsidR="00510F32">
        <w:rPr>
          <w:rFonts w:ascii="Times New Roman" w:eastAsia="Arial" w:hAnsi="Times New Roman"/>
          <w:sz w:val="24"/>
          <w:szCs w:val="24"/>
          <w:lang w:val="en-US" w:eastAsia="fr-FR"/>
        </w:rPr>
        <w:t xml:space="preserve"> </w:t>
      </w:r>
    </w:p>
    <w:p w14:paraId="5EF80582" w14:textId="77777777" w:rsidR="007D673A" w:rsidRDefault="007D673A">
      <w:pPr>
        <w:suppressAutoHyphens w:val="0"/>
        <w:autoSpaceDN/>
        <w:spacing w:line="259" w:lineRule="auto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CFEE5E3" w14:textId="5584B3F1" w:rsidR="002C7085" w:rsidRPr="00963B63" w:rsidRDefault="00963B63" w:rsidP="002C7085">
      <w:pPr>
        <w:rPr>
          <w:rFonts w:ascii="Times New Roman" w:hAnsi="Times New Roman"/>
          <w:b/>
          <w:sz w:val="24"/>
          <w:szCs w:val="24"/>
        </w:rPr>
      </w:pPr>
      <w:r w:rsidRPr="00963B63">
        <w:rPr>
          <w:rFonts w:ascii="Times New Roman" w:hAnsi="Times New Roman"/>
          <w:b/>
          <w:sz w:val="24"/>
          <w:szCs w:val="24"/>
        </w:rPr>
        <w:lastRenderedPageBreak/>
        <w:t>Table S1</w:t>
      </w:r>
      <w:r w:rsidR="002C7085" w:rsidRPr="00963B63">
        <w:rPr>
          <w:rFonts w:ascii="Times New Roman" w:hAnsi="Times New Roman"/>
          <w:b/>
          <w:sz w:val="24"/>
          <w:szCs w:val="24"/>
        </w:rPr>
        <w:t>. The complete list of gene specific primers used for qPCR</w:t>
      </w:r>
    </w:p>
    <w:tbl>
      <w:tblPr>
        <w:tblStyle w:val="Grigliatabella"/>
        <w:tblpPr w:leftFromText="141" w:rightFromText="141" w:vertAnchor="text" w:tblpX="108" w:tblpY="1"/>
        <w:tblOverlap w:val="never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2"/>
        <w:gridCol w:w="3543"/>
        <w:gridCol w:w="142"/>
        <w:gridCol w:w="3544"/>
        <w:gridCol w:w="142"/>
        <w:gridCol w:w="709"/>
        <w:gridCol w:w="142"/>
        <w:gridCol w:w="566"/>
        <w:gridCol w:w="147"/>
      </w:tblGrid>
      <w:tr w:rsidR="002C7085" w:rsidRPr="00963B63" w14:paraId="218DB392" w14:textId="77777777" w:rsidTr="000A1A13">
        <w:trPr>
          <w:trHeight w:val="283"/>
        </w:trPr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613B9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Gene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F8D60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Primer Forward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F8EA9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Primer Reverse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0F417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Size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0D23A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MT</w:t>
            </w:r>
          </w:p>
        </w:tc>
      </w:tr>
      <w:tr w:rsidR="002C7085" w:rsidRPr="00963B63" w14:paraId="05AADE16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42E99DE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ATF6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  <w:vAlign w:val="center"/>
          </w:tcPr>
          <w:p w14:paraId="1AD1AB79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 AGGCTGGATGAAGATTGGGA-3’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  <w:vAlign w:val="center"/>
          </w:tcPr>
          <w:p w14:paraId="78AC01EB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5’-CTGGAGAAAGTGGCTGAGGT-3’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79D280B7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223bp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vAlign w:val="center"/>
          </w:tcPr>
          <w:p w14:paraId="1BA0DF7F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  <w:tr w:rsidR="002C7085" w:rsidRPr="00963B63" w14:paraId="05FB7674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vAlign w:val="center"/>
          </w:tcPr>
          <w:p w14:paraId="0716A865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BIP</w:t>
            </w:r>
          </w:p>
        </w:tc>
        <w:tc>
          <w:tcPr>
            <w:tcW w:w="3685" w:type="dxa"/>
            <w:gridSpan w:val="2"/>
            <w:vAlign w:val="center"/>
          </w:tcPr>
          <w:p w14:paraId="0B46D93A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5’-TTCTTGCCGTTCAAGGTGGT-3’</w:t>
            </w:r>
          </w:p>
        </w:tc>
        <w:tc>
          <w:tcPr>
            <w:tcW w:w="3686" w:type="dxa"/>
            <w:gridSpan w:val="2"/>
            <w:vAlign w:val="center"/>
          </w:tcPr>
          <w:p w14:paraId="380831D4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5’-CTTGGCGTTGGGCATCATTA-3’</w:t>
            </w:r>
          </w:p>
        </w:tc>
        <w:tc>
          <w:tcPr>
            <w:tcW w:w="851" w:type="dxa"/>
            <w:gridSpan w:val="2"/>
            <w:vAlign w:val="center"/>
          </w:tcPr>
          <w:p w14:paraId="2D6C6EDA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208bp</w:t>
            </w:r>
          </w:p>
        </w:tc>
        <w:tc>
          <w:tcPr>
            <w:tcW w:w="708" w:type="dxa"/>
            <w:gridSpan w:val="2"/>
            <w:vAlign w:val="center"/>
          </w:tcPr>
          <w:p w14:paraId="33E57D0F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  <w:tr w:rsidR="002C7085" w:rsidRPr="00963B63" w14:paraId="4CE24911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vAlign w:val="center"/>
          </w:tcPr>
          <w:p w14:paraId="1AFBF6FE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CALR</w:t>
            </w:r>
          </w:p>
        </w:tc>
        <w:tc>
          <w:tcPr>
            <w:tcW w:w="3685" w:type="dxa"/>
            <w:gridSpan w:val="2"/>
            <w:vAlign w:val="center"/>
          </w:tcPr>
          <w:p w14:paraId="4F3F2040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5’-TGATAACTTTGGCGTGCTGG-3’</w:t>
            </w:r>
          </w:p>
        </w:tc>
        <w:tc>
          <w:tcPr>
            <w:tcW w:w="3686" w:type="dxa"/>
            <w:gridSpan w:val="2"/>
            <w:vAlign w:val="center"/>
          </w:tcPr>
          <w:p w14:paraId="43C51702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5’-CTCCTCCTCTTTGCGTTTCT-3’</w:t>
            </w:r>
          </w:p>
        </w:tc>
        <w:tc>
          <w:tcPr>
            <w:tcW w:w="851" w:type="dxa"/>
            <w:gridSpan w:val="2"/>
            <w:vAlign w:val="center"/>
          </w:tcPr>
          <w:p w14:paraId="7B1086CF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217bp</w:t>
            </w:r>
          </w:p>
        </w:tc>
        <w:tc>
          <w:tcPr>
            <w:tcW w:w="708" w:type="dxa"/>
            <w:gridSpan w:val="2"/>
            <w:vAlign w:val="center"/>
          </w:tcPr>
          <w:p w14:paraId="4410A04B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  <w:tr w:rsidR="002C7085" w:rsidRPr="00963B63" w14:paraId="048E6E78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vAlign w:val="center"/>
          </w:tcPr>
          <w:p w14:paraId="2019F9A1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CHOP</w:t>
            </w:r>
          </w:p>
        </w:tc>
        <w:tc>
          <w:tcPr>
            <w:tcW w:w="3685" w:type="dxa"/>
            <w:gridSpan w:val="2"/>
            <w:vAlign w:val="center"/>
          </w:tcPr>
          <w:p w14:paraId="1F8A50E9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5’-TTAAGTCTAAGGCACTGAGCG-3’</w:t>
            </w:r>
          </w:p>
        </w:tc>
        <w:tc>
          <w:tcPr>
            <w:tcW w:w="3686" w:type="dxa"/>
            <w:gridSpan w:val="2"/>
            <w:vAlign w:val="center"/>
          </w:tcPr>
          <w:p w14:paraId="184EAFB2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5’-GTCTGATGCCTGTTTTTGTAG-3’</w:t>
            </w:r>
          </w:p>
        </w:tc>
        <w:tc>
          <w:tcPr>
            <w:tcW w:w="851" w:type="dxa"/>
            <w:gridSpan w:val="2"/>
            <w:vAlign w:val="center"/>
          </w:tcPr>
          <w:p w14:paraId="1DB70A38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221bp</w:t>
            </w:r>
          </w:p>
        </w:tc>
        <w:tc>
          <w:tcPr>
            <w:tcW w:w="708" w:type="dxa"/>
            <w:gridSpan w:val="2"/>
            <w:vAlign w:val="center"/>
          </w:tcPr>
          <w:p w14:paraId="120FD5EC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  <w:tr w:rsidR="002C7085" w:rsidRPr="00963B63" w14:paraId="2E8887CC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vAlign w:val="center"/>
          </w:tcPr>
          <w:p w14:paraId="673099C1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TMEM175</w:t>
            </w:r>
          </w:p>
        </w:tc>
        <w:tc>
          <w:tcPr>
            <w:tcW w:w="3685" w:type="dxa"/>
            <w:gridSpan w:val="2"/>
            <w:vAlign w:val="center"/>
          </w:tcPr>
          <w:p w14:paraId="4E8768BD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5’-TGCCGTCTACCTGATGACCT-3’</w:t>
            </w:r>
          </w:p>
        </w:tc>
        <w:tc>
          <w:tcPr>
            <w:tcW w:w="3686" w:type="dxa"/>
            <w:gridSpan w:val="2"/>
            <w:vAlign w:val="center"/>
          </w:tcPr>
          <w:p w14:paraId="3BC9FC84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5’-TTGAGCAGGGCAAGTGTGCT-3’</w:t>
            </w:r>
          </w:p>
        </w:tc>
        <w:tc>
          <w:tcPr>
            <w:tcW w:w="851" w:type="dxa"/>
            <w:gridSpan w:val="2"/>
            <w:vAlign w:val="center"/>
          </w:tcPr>
          <w:p w14:paraId="4EE93655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105bp</w:t>
            </w:r>
          </w:p>
        </w:tc>
        <w:tc>
          <w:tcPr>
            <w:tcW w:w="708" w:type="dxa"/>
            <w:gridSpan w:val="2"/>
            <w:vAlign w:val="center"/>
          </w:tcPr>
          <w:p w14:paraId="63D647AC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  <w:tr w:rsidR="002C7085" w:rsidRPr="00963B63" w14:paraId="27452E0C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vAlign w:val="center"/>
          </w:tcPr>
          <w:p w14:paraId="46CE6FAE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MTOR</w:t>
            </w:r>
          </w:p>
        </w:tc>
        <w:tc>
          <w:tcPr>
            <w:tcW w:w="3685" w:type="dxa"/>
            <w:gridSpan w:val="2"/>
            <w:vAlign w:val="center"/>
          </w:tcPr>
          <w:p w14:paraId="789F467E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5’-CTCGCTTCTATGACCAACTG-3’</w:t>
            </w:r>
          </w:p>
        </w:tc>
        <w:tc>
          <w:tcPr>
            <w:tcW w:w="3686" w:type="dxa"/>
            <w:gridSpan w:val="2"/>
            <w:vAlign w:val="center"/>
          </w:tcPr>
          <w:p w14:paraId="11603947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5’-TTCCCACCTTCCACTCCTAT-3’</w:t>
            </w:r>
          </w:p>
        </w:tc>
        <w:tc>
          <w:tcPr>
            <w:tcW w:w="851" w:type="dxa"/>
            <w:gridSpan w:val="2"/>
            <w:vAlign w:val="center"/>
          </w:tcPr>
          <w:p w14:paraId="338202AE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118bp</w:t>
            </w:r>
          </w:p>
        </w:tc>
        <w:tc>
          <w:tcPr>
            <w:tcW w:w="708" w:type="dxa"/>
            <w:gridSpan w:val="2"/>
            <w:vAlign w:val="center"/>
          </w:tcPr>
          <w:p w14:paraId="1DAD954B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  <w:tr w:rsidR="002C7085" w:rsidRPr="00963B63" w14:paraId="7DB8CDB1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vAlign w:val="center"/>
          </w:tcPr>
          <w:p w14:paraId="240446FF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TFEB</w:t>
            </w:r>
          </w:p>
        </w:tc>
        <w:tc>
          <w:tcPr>
            <w:tcW w:w="3685" w:type="dxa"/>
            <w:gridSpan w:val="2"/>
            <w:vAlign w:val="center"/>
          </w:tcPr>
          <w:p w14:paraId="532466CC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5’-CATCAATACCCCCGTCCACT-3’</w:t>
            </w:r>
          </w:p>
        </w:tc>
        <w:tc>
          <w:tcPr>
            <w:tcW w:w="3686" w:type="dxa"/>
            <w:gridSpan w:val="2"/>
            <w:vAlign w:val="center"/>
          </w:tcPr>
          <w:p w14:paraId="368888DC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5’-ACATCATCCAACTCCCTCTC-3’</w:t>
            </w:r>
          </w:p>
        </w:tc>
        <w:tc>
          <w:tcPr>
            <w:tcW w:w="851" w:type="dxa"/>
            <w:gridSpan w:val="2"/>
            <w:vAlign w:val="center"/>
          </w:tcPr>
          <w:p w14:paraId="2EF73737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442bp</w:t>
            </w:r>
          </w:p>
        </w:tc>
        <w:tc>
          <w:tcPr>
            <w:tcW w:w="708" w:type="dxa"/>
            <w:gridSpan w:val="2"/>
            <w:vAlign w:val="center"/>
          </w:tcPr>
          <w:p w14:paraId="5D0E03E8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  <w:tr w:rsidR="002C7085" w:rsidRPr="00963B63" w14:paraId="6F859D74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vAlign w:val="center"/>
          </w:tcPr>
          <w:p w14:paraId="35B80D84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SQSTM1</w:t>
            </w:r>
          </w:p>
        </w:tc>
        <w:tc>
          <w:tcPr>
            <w:tcW w:w="3685" w:type="dxa"/>
            <w:gridSpan w:val="2"/>
            <w:vAlign w:val="center"/>
          </w:tcPr>
          <w:p w14:paraId="70EB5180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5’-GAGATTCGCCGCTTCAGCTT-3’</w:t>
            </w:r>
          </w:p>
        </w:tc>
        <w:tc>
          <w:tcPr>
            <w:tcW w:w="3686" w:type="dxa"/>
            <w:gridSpan w:val="2"/>
            <w:vAlign w:val="center"/>
          </w:tcPr>
          <w:p w14:paraId="0EA27F75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5’-GGCCATTGTCAATTCCTCGT-3’</w:t>
            </w:r>
          </w:p>
        </w:tc>
        <w:tc>
          <w:tcPr>
            <w:tcW w:w="851" w:type="dxa"/>
            <w:gridSpan w:val="2"/>
            <w:vAlign w:val="center"/>
          </w:tcPr>
          <w:p w14:paraId="0B006AF9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204bp</w:t>
            </w:r>
          </w:p>
        </w:tc>
        <w:tc>
          <w:tcPr>
            <w:tcW w:w="708" w:type="dxa"/>
            <w:gridSpan w:val="2"/>
            <w:vAlign w:val="center"/>
          </w:tcPr>
          <w:p w14:paraId="2A14802A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  <w:tr w:rsidR="002C7085" w:rsidRPr="00963B63" w14:paraId="51093822" w14:textId="77777777" w:rsidTr="000A1A13">
        <w:trPr>
          <w:gridAfter w:val="1"/>
          <w:wAfter w:w="147" w:type="dxa"/>
          <w:trHeight w:val="283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3F64EF1" w14:textId="77777777" w:rsidR="002C7085" w:rsidRPr="00963B63" w:rsidRDefault="002C7085" w:rsidP="000A1A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63B63">
              <w:rPr>
                <w:rFonts w:ascii="Times New Roman" w:hAnsi="Times New Roman"/>
                <w:b/>
                <w:sz w:val="20"/>
                <w:szCs w:val="20"/>
              </w:rPr>
              <w:t>GAPDH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vAlign w:val="center"/>
          </w:tcPr>
          <w:p w14:paraId="4B3F71A8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5’-TGGTATCGTGGAAGGACTCA-3’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vAlign w:val="center"/>
          </w:tcPr>
          <w:p w14:paraId="5BF8087B" w14:textId="77777777" w:rsidR="002C7085" w:rsidRPr="00963B63" w:rsidRDefault="002C7085" w:rsidP="000A1A13">
            <w:pPr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5’-AGGGATGATGTTCTGGAGAG-3’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556A3757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125bp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vAlign w:val="center"/>
          </w:tcPr>
          <w:p w14:paraId="66D9EA95" w14:textId="77777777" w:rsidR="002C7085" w:rsidRPr="00963B63" w:rsidRDefault="002C7085" w:rsidP="000A1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B63">
              <w:rPr>
                <w:rFonts w:ascii="Times New Roman" w:hAnsi="Times New Roman"/>
                <w:sz w:val="20"/>
                <w:szCs w:val="20"/>
              </w:rPr>
              <w:t>60°C</w:t>
            </w:r>
          </w:p>
        </w:tc>
      </w:tr>
    </w:tbl>
    <w:p w14:paraId="69BB60AB" w14:textId="77777777" w:rsidR="002C7085" w:rsidRPr="00963B63" w:rsidRDefault="002C7085" w:rsidP="002C7085">
      <w:pPr>
        <w:rPr>
          <w:rFonts w:ascii="Times New Roman" w:hAnsi="Times New Roman"/>
          <w:sz w:val="20"/>
          <w:szCs w:val="20"/>
        </w:rPr>
      </w:pPr>
      <w:r w:rsidRPr="00963B63">
        <w:rPr>
          <w:rFonts w:ascii="Times New Roman" w:hAnsi="Times New Roman"/>
          <w:sz w:val="20"/>
          <w:szCs w:val="20"/>
        </w:rPr>
        <w:t>All primer sequences are specific to human genes. MT: melting temperature</w:t>
      </w:r>
    </w:p>
    <w:p w14:paraId="4F1E0050" w14:textId="77777777" w:rsidR="002C7085" w:rsidRDefault="002C7085" w:rsidP="00A50099">
      <w:pPr>
        <w:suppressAutoHyphens w:val="0"/>
        <w:autoSpaceDN/>
        <w:spacing w:after="0" w:line="228" w:lineRule="auto"/>
        <w:textAlignment w:val="auto"/>
        <w:rPr>
          <w:rFonts w:ascii="Palatino Linotype" w:eastAsia="Arial" w:hAnsi="Palatino Linotype"/>
          <w:sz w:val="18"/>
          <w:szCs w:val="18"/>
          <w:lang w:val="en-US" w:eastAsia="fr-FR"/>
        </w:rPr>
      </w:pPr>
    </w:p>
    <w:p w14:paraId="0FEE6F78" w14:textId="77777777" w:rsidR="00A50099" w:rsidRDefault="00A50099" w:rsidP="00A50099">
      <w:pPr>
        <w:suppressAutoHyphens w:val="0"/>
        <w:autoSpaceDN/>
        <w:spacing w:after="0" w:line="228" w:lineRule="auto"/>
        <w:textAlignment w:val="auto"/>
        <w:rPr>
          <w:rFonts w:ascii="Palatino Linotype" w:eastAsia="Arial" w:hAnsi="Palatino Linotype"/>
          <w:sz w:val="18"/>
          <w:szCs w:val="18"/>
          <w:lang w:val="en-US" w:eastAsia="fr-FR"/>
        </w:rPr>
      </w:pPr>
    </w:p>
    <w:p w14:paraId="49370571" w14:textId="77777777" w:rsidR="00A50099" w:rsidRDefault="00A50099" w:rsidP="00A50099">
      <w:pPr>
        <w:suppressAutoHyphens w:val="0"/>
        <w:autoSpaceDN/>
        <w:spacing w:after="0" w:line="228" w:lineRule="auto"/>
        <w:textAlignment w:val="auto"/>
        <w:rPr>
          <w:rFonts w:ascii="Palatino Linotype" w:eastAsia="Arial" w:hAnsi="Palatino Linotype"/>
          <w:sz w:val="18"/>
          <w:szCs w:val="18"/>
          <w:lang w:val="en-US" w:eastAsia="fr-FR"/>
        </w:rPr>
      </w:pPr>
    </w:p>
    <w:sectPr w:rsidR="00A50099" w:rsidSect="00A50099"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7C02D" w14:textId="77777777" w:rsidR="00D1535F" w:rsidRDefault="00D1535F" w:rsidP="00C5590B">
      <w:pPr>
        <w:spacing w:after="0" w:line="240" w:lineRule="auto"/>
      </w:pPr>
      <w:r>
        <w:separator/>
      </w:r>
    </w:p>
  </w:endnote>
  <w:endnote w:type="continuationSeparator" w:id="0">
    <w:p w14:paraId="6BDEA30D" w14:textId="77777777" w:rsidR="00D1535F" w:rsidRDefault="00D1535F" w:rsidP="00C55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347688"/>
      <w:docPartObj>
        <w:docPartGallery w:val="Page Numbers (Bottom of Page)"/>
        <w:docPartUnique/>
      </w:docPartObj>
    </w:sdtPr>
    <w:sdtEndPr/>
    <w:sdtContent>
      <w:p w14:paraId="5C83C49A" w14:textId="77777777" w:rsidR="00623ECA" w:rsidRDefault="00623EC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395" w:rsidRPr="00925395">
          <w:rPr>
            <w:noProof/>
            <w:lang w:val="it-IT"/>
          </w:rPr>
          <w:t>1</w:t>
        </w:r>
        <w:r>
          <w:fldChar w:fldCharType="end"/>
        </w:r>
      </w:p>
    </w:sdtContent>
  </w:sdt>
  <w:p w14:paraId="461A405B" w14:textId="77777777" w:rsidR="00623ECA" w:rsidRDefault="00623EC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A39AF" w14:textId="77777777" w:rsidR="00D1535F" w:rsidRDefault="00D1535F" w:rsidP="00C5590B">
      <w:pPr>
        <w:spacing w:after="0" w:line="240" w:lineRule="auto"/>
      </w:pPr>
      <w:r>
        <w:separator/>
      </w:r>
    </w:p>
  </w:footnote>
  <w:footnote w:type="continuationSeparator" w:id="0">
    <w:p w14:paraId="2D1BA9E4" w14:textId="77777777" w:rsidR="00D1535F" w:rsidRDefault="00D1535F" w:rsidP="00C55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87AA2"/>
    <w:multiLevelType w:val="hybridMultilevel"/>
    <w:tmpl w:val="CBE8342E"/>
    <w:lvl w:ilvl="0" w:tplc="459A87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745D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83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00C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00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069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4EF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A25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10E1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0B"/>
    <w:rsid w:val="00005FBB"/>
    <w:rsid w:val="00083DD4"/>
    <w:rsid w:val="000C7FB4"/>
    <w:rsid w:val="000E2FBF"/>
    <w:rsid w:val="001363CB"/>
    <w:rsid w:val="001E0440"/>
    <w:rsid w:val="00210CDC"/>
    <w:rsid w:val="002370BD"/>
    <w:rsid w:val="00242462"/>
    <w:rsid w:val="002B15FF"/>
    <w:rsid w:val="002B1601"/>
    <w:rsid w:val="002C7085"/>
    <w:rsid w:val="003074EE"/>
    <w:rsid w:val="003D4A55"/>
    <w:rsid w:val="003E053D"/>
    <w:rsid w:val="0042417B"/>
    <w:rsid w:val="0044158A"/>
    <w:rsid w:val="00476D4F"/>
    <w:rsid w:val="004D501C"/>
    <w:rsid w:val="004D54D6"/>
    <w:rsid w:val="004F61E1"/>
    <w:rsid w:val="00510F32"/>
    <w:rsid w:val="00523CBD"/>
    <w:rsid w:val="005965AA"/>
    <w:rsid w:val="005B67F7"/>
    <w:rsid w:val="005B6A32"/>
    <w:rsid w:val="006217B5"/>
    <w:rsid w:val="00623ECA"/>
    <w:rsid w:val="006B2482"/>
    <w:rsid w:val="006C3514"/>
    <w:rsid w:val="007D5ABF"/>
    <w:rsid w:val="007D673A"/>
    <w:rsid w:val="0081107C"/>
    <w:rsid w:val="008230EA"/>
    <w:rsid w:val="0082401D"/>
    <w:rsid w:val="008468AF"/>
    <w:rsid w:val="008D161C"/>
    <w:rsid w:val="009210AE"/>
    <w:rsid w:val="00925395"/>
    <w:rsid w:val="00944882"/>
    <w:rsid w:val="009624B3"/>
    <w:rsid w:val="00963B63"/>
    <w:rsid w:val="009C1E55"/>
    <w:rsid w:val="00A323D9"/>
    <w:rsid w:val="00A50099"/>
    <w:rsid w:val="00A57E13"/>
    <w:rsid w:val="00B10E51"/>
    <w:rsid w:val="00B833E2"/>
    <w:rsid w:val="00C5590B"/>
    <w:rsid w:val="00C64523"/>
    <w:rsid w:val="00D1535F"/>
    <w:rsid w:val="00DB236E"/>
    <w:rsid w:val="00DE5163"/>
    <w:rsid w:val="00E10682"/>
    <w:rsid w:val="00F1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AE9867"/>
  <w15:chartTrackingRefBased/>
  <w15:docId w15:val="{51DA2F27-D285-4A67-A169-DD7A9A71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C5590B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590B"/>
    <w:pPr>
      <w:keepNext/>
      <w:suppressAutoHyphens w:val="0"/>
      <w:autoSpaceDN/>
      <w:spacing w:before="240" w:after="60" w:line="480" w:lineRule="auto"/>
      <w:textAlignment w:val="auto"/>
      <w:outlineLvl w:val="1"/>
    </w:pPr>
    <w:rPr>
      <w:rFonts w:eastAsia="Times New Roman"/>
      <w:b/>
      <w:bCs/>
      <w:iCs/>
      <w:sz w:val="24"/>
      <w:szCs w:val="24"/>
      <w:shd w:val="clear" w:color="auto" w:fill="FFFFFF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urrent-selection">
    <w:name w:val="current-selection"/>
    <w:basedOn w:val="Carpredefinitoparagrafo"/>
    <w:rsid w:val="00C5590B"/>
  </w:style>
  <w:style w:type="character" w:styleId="Collegamentoipertestuale">
    <w:name w:val="Hyperlink"/>
    <w:basedOn w:val="Carpredefinitoparagrafo"/>
    <w:uiPriority w:val="99"/>
    <w:unhideWhenUsed/>
    <w:rsid w:val="00C5590B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590B"/>
    <w:rPr>
      <w:rFonts w:ascii="Calibri" w:eastAsia="Times New Roman" w:hAnsi="Calibri" w:cs="Times New Roman"/>
      <w:b/>
      <w:bCs/>
      <w:iCs/>
      <w:sz w:val="24"/>
      <w:szCs w:val="24"/>
      <w:lang w:val="x-none"/>
    </w:rPr>
  </w:style>
  <w:style w:type="paragraph" w:customStyle="1" w:styleId="EndNoteBibliography">
    <w:name w:val="EndNote Bibliography"/>
    <w:basedOn w:val="Normale"/>
    <w:link w:val="EndNoteBibliographyChar"/>
    <w:rsid w:val="00C5590B"/>
    <w:pPr>
      <w:suppressAutoHyphens w:val="0"/>
      <w:autoSpaceDN/>
      <w:spacing w:after="200" w:line="480" w:lineRule="auto"/>
      <w:ind w:right="397"/>
      <w:textAlignment w:val="auto"/>
    </w:pPr>
    <w:rPr>
      <w:noProof/>
    </w:rPr>
  </w:style>
  <w:style w:type="character" w:customStyle="1" w:styleId="EndNoteBibliographyChar">
    <w:name w:val="EndNote Bibliography Char"/>
    <w:link w:val="EndNoteBibliography"/>
    <w:rsid w:val="00C5590B"/>
    <w:rPr>
      <w:rFonts w:ascii="Calibri" w:eastAsia="Calibri" w:hAnsi="Calibri" w:cs="Times New Roman"/>
      <w:noProof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C559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590B"/>
    <w:rPr>
      <w:rFonts w:ascii="Calibri" w:eastAsia="Calibri" w:hAnsi="Calibri" w:cs="Times New Roman"/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C559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590B"/>
    <w:rPr>
      <w:rFonts w:ascii="Calibri" w:eastAsia="Calibri" w:hAnsi="Calibri" w:cs="Times New Roman"/>
      <w:lang w:val="en-GB"/>
    </w:rPr>
  </w:style>
  <w:style w:type="paragraph" w:styleId="Paragrafoelenco">
    <w:name w:val="List Paragraph"/>
    <w:basedOn w:val="Normale"/>
    <w:uiPriority w:val="34"/>
    <w:qFormat/>
    <w:rsid w:val="002370BD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US" w:eastAsia="it-IT"/>
    </w:rPr>
  </w:style>
  <w:style w:type="character" w:customStyle="1" w:styleId="ref-journal">
    <w:name w:val="ref-journal"/>
    <w:basedOn w:val="Carpredefinitoparagrafo"/>
    <w:rsid w:val="002370BD"/>
  </w:style>
  <w:style w:type="character" w:customStyle="1" w:styleId="ref-vol">
    <w:name w:val="ref-vol"/>
    <w:basedOn w:val="Carpredefinitoparagrafo"/>
    <w:rsid w:val="002370BD"/>
  </w:style>
  <w:style w:type="table" w:styleId="Grigliatabella">
    <w:name w:val="Table Grid"/>
    <w:basedOn w:val="Tabellanormale"/>
    <w:uiPriority w:val="59"/>
    <w:rsid w:val="00237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semplice-21">
    <w:name w:val="Tabella semplice - 21"/>
    <w:basedOn w:val="Tabellanormale"/>
    <w:uiPriority w:val="42"/>
    <w:rsid w:val="002370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lid-translation">
    <w:name w:val="tlid-translation"/>
    <w:basedOn w:val="Carpredefinitoparagrafo"/>
    <w:rsid w:val="00DB236E"/>
  </w:style>
  <w:style w:type="paragraph" w:customStyle="1" w:styleId="Default">
    <w:name w:val="Default"/>
    <w:rsid w:val="00DB236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624B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Theme="minorEastAsia" w:hAnsi="Times New Roman"/>
      <w:sz w:val="24"/>
      <w:szCs w:val="24"/>
      <w:lang w:val="it-IT" w:eastAsia="it-IT"/>
    </w:rPr>
  </w:style>
  <w:style w:type="paragraph" w:customStyle="1" w:styleId="MDPI12title">
    <w:name w:val="MDPI_1.2_title"/>
    <w:next w:val="Normale"/>
    <w:qFormat/>
    <w:rsid w:val="00623ECA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Normale"/>
    <w:qFormat/>
    <w:rsid w:val="00623ECA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URT IGB2</dc:creator>
  <cp:keywords/>
  <dc:description/>
  <cp:lastModifiedBy>URT-IGB1</cp:lastModifiedBy>
  <cp:revision>5</cp:revision>
  <dcterms:created xsi:type="dcterms:W3CDTF">2022-10-24T08:30:00Z</dcterms:created>
  <dcterms:modified xsi:type="dcterms:W3CDTF">2022-10-28T08:48:00Z</dcterms:modified>
</cp:coreProperties>
</file>