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D508C" w14:textId="4841AE98" w:rsidR="007B05D8" w:rsidRPr="007B05D8" w:rsidRDefault="007B05D8" w:rsidP="007B05D8">
      <w:pPr>
        <w:rPr>
          <w:rFonts w:asciiTheme="majorBidi" w:hAnsiTheme="majorBidi" w:cstheme="majorBidi"/>
          <w:b/>
          <w:bCs/>
          <w:sz w:val="24"/>
          <w:szCs w:val="24"/>
        </w:rPr>
      </w:pPr>
      <w:r w:rsidRPr="007B05D8">
        <w:rPr>
          <w:rFonts w:asciiTheme="majorBidi" w:hAnsiTheme="majorBidi" w:cstheme="majorBidi"/>
          <w:b/>
          <w:bCs/>
          <w:sz w:val="24"/>
          <w:szCs w:val="24"/>
        </w:rPr>
        <w:t xml:space="preserve">List of tables: </w:t>
      </w:r>
    </w:p>
    <w:p w14:paraId="68E808E3" w14:textId="77777777" w:rsidR="007B05D8" w:rsidRDefault="007B05D8" w:rsidP="007B05D8">
      <w:pPr>
        <w:spacing w:after="0" w:line="360" w:lineRule="auto"/>
        <w:jc w:val="both"/>
        <w:rPr>
          <w:rFonts w:asciiTheme="majorBidi" w:hAnsiTheme="majorBidi" w:cstheme="majorBidi"/>
          <w:sz w:val="24"/>
          <w:szCs w:val="24"/>
        </w:rPr>
      </w:pPr>
    </w:p>
    <w:p w14:paraId="28A9DA63" w14:textId="1E2D4C5D" w:rsidR="007B05D8" w:rsidRDefault="00F55C97" w:rsidP="007B05D8">
      <w:pPr>
        <w:jc w:val="both"/>
        <w:rPr>
          <w:rFonts w:asciiTheme="majorBidi" w:hAnsiTheme="majorBidi" w:cstheme="majorBidi"/>
          <w:sz w:val="24"/>
          <w:szCs w:val="24"/>
        </w:rPr>
      </w:pPr>
      <w:r>
        <w:rPr>
          <w:rFonts w:asciiTheme="majorBidi" w:hAnsiTheme="majorBidi" w:cstheme="majorBidi"/>
          <w:b/>
          <w:bCs/>
          <w:sz w:val="24"/>
          <w:szCs w:val="24"/>
        </w:rPr>
        <w:t>S</w:t>
      </w:r>
      <w:r w:rsidR="007B05D8">
        <w:rPr>
          <w:rFonts w:asciiTheme="majorBidi" w:hAnsiTheme="majorBidi" w:cstheme="majorBidi"/>
          <w:b/>
          <w:bCs/>
          <w:sz w:val="24"/>
          <w:szCs w:val="24"/>
        </w:rPr>
        <w:t xml:space="preserve">1: </w:t>
      </w:r>
      <w:r w:rsidR="007B05D8" w:rsidRPr="00800124">
        <w:rPr>
          <w:rFonts w:asciiTheme="majorBidi" w:hAnsiTheme="majorBidi" w:cstheme="majorBidi"/>
          <w:b/>
          <w:bCs/>
          <w:sz w:val="24"/>
          <w:szCs w:val="24"/>
        </w:rPr>
        <w:t xml:space="preserve">The effect of immune </w:t>
      </w:r>
      <w:r w:rsidR="007B05D8">
        <w:rPr>
          <w:rFonts w:asciiTheme="majorBidi" w:hAnsiTheme="majorBidi" w:cstheme="majorBidi"/>
          <w:b/>
          <w:bCs/>
          <w:sz w:val="24"/>
          <w:szCs w:val="24"/>
        </w:rPr>
        <w:t>components</w:t>
      </w:r>
      <w:r w:rsidR="007B05D8" w:rsidRPr="00800124">
        <w:rPr>
          <w:rFonts w:asciiTheme="majorBidi" w:hAnsiTheme="majorBidi" w:cstheme="majorBidi"/>
          <w:b/>
          <w:bCs/>
          <w:sz w:val="24"/>
          <w:szCs w:val="24"/>
        </w:rPr>
        <w:t xml:space="preserve"> in MS pathogenesis</w:t>
      </w:r>
      <w:r w:rsidR="007B05D8" w:rsidRPr="00230069">
        <w:rPr>
          <w:rFonts w:asciiTheme="majorBidi" w:hAnsiTheme="majorBidi" w:cstheme="majorBidi"/>
          <w:sz w:val="24"/>
          <w:szCs w:val="24"/>
        </w:rPr>
        <w:t xml:space="preserve"> </w:t>
      </w:r>
    </w:p>
    <w:tbl>
      <w:tblPr>
        <w:tblStyle w:val="PlainTable2"/>
        <w:tblW w:w="0" w:type="auto"/>
        <w:tblLook w:val="04A0" w:firstRow="1" w:lastRow="0" w:firstColumn="1" w:lastColumn="0" w:noHBand="0" w:noVBand="1"/>
      </w:tblPr>
      <w:tblGrid>
        <w:gridCol w:w="1721"/>
        <w:gridCol w:w="2058"/>
        <w:gridCol w:w="3046"/>
        <w:gridCol w:w="2535"/>
      </w:tblGrid>
      <w:tr w:rsidR="007B05D8" w:rsidRPr="000B695D" w14:paraId="1DC5EF42" w14:textId="77777777" w:rsidTr="001551A4">
        <w:trPr>
          <w:cnfStyle w:val="100000000000" w:firstRow="1" w:lastRow="0" w:firstColumn="0" w:lastColumn="0" w:oddVBand="0" w:evenVBand="0" w:oddHBand="0" w:evenHBand="0" w:firstRowFirstColumn="0" w:firstRowLastColumn="0" w:lastRowFirstColumn="0" w:lastRowLastColumn="0"/>
          <w:trHeight w:val="1202"/>
        </w:trPr>
        <w:tc>
          <w:tcPr>
            <w:cnfStyle w:val="001000000000" w:firstRow="0" w:lastRow="0" w:firstColumn="1" w:lastColumn="0" w:oddVBand="0" w:evenVBand="0" w:oddHBand="0" w:evenHBand="0" w:firstRowFirstColumn="0" w:firstRowLastColumn="0" w:lastRowFirstColumn="0" w:lastRowLastColumn="0"/>
            <w:tcW w:w="1721" w:type="dxa"/>
            <w:tcBorders>
              <w:top w:val="single" w:sz="4" w:space="0" w:color="auto"/>
              <w:bottom w:val="single" w:sz="4" w:space="0" w:color="auto"/>
            </w:tcBorders>
          </w:tcPr>
          <w:p w14:paraId="172BCD5A" w14:textId="77777777" w:rsidR="007B05D8" w:rsidRPr="00800124" w:rsidRDefault="007B05D8" w:rsidP="001551A4">
            <w:pPr>
              <w:spacing w:after="200" w:line="276" w:lineRule="auto"/>
              <w:rPr>
                <w:rFonts w:asciiTheme="majorBidi" w:hAnsiTheme="majorBidi" w:cstheme="majorBidi"/>
                <w:sz w:val="24"/>
                <w:szCs w:val="24"/>
              </w:rPr>
            </w:pPr>
            <w:r w:rsidRPr="00800124">
              <w:rPr>
                <w:rFonts w:asciiTheme="majorBidi" w:hAnsiTheme="majorBidi" w:cstheme="majorBidi"/>
                <w:sz w:val="24"/>
                <w:szCs w:val="24"/>
              </w:rPr>
              <w:t>Immune system</w:t>
            </w:r>
          </w:p>
          <w:p w14:paraId="0671B0D1" w14:textId="77777777" w:rsidR="007B05D8" w:rsidRPr="00800124" w:rsidRDefault="007B05D8" w:rsidP="001551A4">
            <w:pPr>
              <w:spacing w:after="200" w:line="276" w:lineRule="auto"/>
              <w:rPr>
                <w:rFonts w:asciiTheme="majorBidi" w:hAnsiTheme="majorBidi" w:cstheme="majorBidi"/>
                <w:b w:val="0"/>
                <w:bCs w:val="0"/>
                <w:sz w:val="24"/>
                <w:szCs w:val="24"/>
              </w:rPr>
            </w:pPr>
          </w:p>
        </w:tc>
        <w:tc>
          <w:tcPr>
            <w:tcW w:w="2058" w:type="dxa"/>
            <w:tcBorders>
              <w:bottom w:val="nil"/>
            </w:tcBorders>
          </w:tcPr>
          <w:p w14:paraId="52990177" w14:textId="77777777" w:rsidR="007B05D8" w:rsidRPr="00800124" w:rsidRDefault="007B05D8" w:rsidP="001551A4">
            <w:pPr>
              <w:spacing w:after="200"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800124">
              <w:rPr>
                <w:rFonts w:asciiTheme="majorBidi" w:hAnsiTheme="majorBidi" w:cstheme="majorBidi"/>
                <w:sz w:val="24"/>
                <w:szCs w:val="24"/>
              </w:rPr>
              <w:t>Types of cells</w:t>
            </w:r>
          </w:p>
        </w:tc>
        <w:tc>
          <w:tcPr>
            <w:tcW w:w="3046" w:type="dxa"/>
            <w:tcBorders>
              <w:bottom w:val="nil"/>
            </w:tcBorders>
          </w:tcPr>
          <w:p w14:paraId="52DA0D44" w14:textId="77777777" w:rsidR="007B05D8" w:rsidRPr="00800124" w:rsidRDefault="007B05D8" w:rsidP="001551A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heme="majorBidi" w:eastAsiaTheme="minorEastAsia" w:hAnsiTheme="majorBidi" w:cstheme="majorBidi"/>
                <w:b w:val="0"/>
                <w:bCs w:val="0"/>
                <w:sz w:val="24"/>
                <w:szCs w:val="24"/>
              </w:rPr>
            </w:pPr>
            <w:r w:rsidRPr="00800124">
              <w:rPr>
                <w:rFonts w:asciiTheme="majorBidi" w:hAnsiTheme="majorBidi" w:cstheme="majorBidi"/>
                <w:sz w:val="24"/>
                <w:szCs w:val="24"/>
              </w:rPr>
              <w:t>Implication in MS pathogenesis</w:t>
            </w:r>
            <w:r w:rsidRPr="000B695D" w:rsidDel="00DD6708">
              <w:rPr>
                <w:rFonts w:asciiTheme="majorBidi" w:hAnsiTheme="majorBidi" w:cstheme="majorBidi"/>
                <w:sz w:val="24"/>
                <w:szCs w:val="24"/>
              </w:rPr>
              <w:t xml:space="preserve"> </w:t>
            </w:r>
          </w:p>
        </w:tc>
        <w:tc>
          <w:tcPr>
            <w:tcW w:w="2535" w:type="dxa"/>
            <w:tcBorders>
              <w:bottom w:val="nil"/>
            </w:tcBorders>
          </w:tcPr>
          <w:p w14:paraId="123BDE25" w14:textId="77777777" w:rsidR="007B05D8" w:rsidRPr="00800124" w:rsidRDefault="007B05D8" w:rsidP="001551A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EC112A">
              <w:rPr>
                <w:rFonts w:asciiTheme="majorBidi" w:hAnsiTheme="majorBidi" w:cstheme="majorBidi"/>
                <w:sz w:val="24"/>
                <w:szCs w:val="24"/>
              </w:rPr>
              <w:t>Reference</w:t>
            </w:r>
            <w:r>
              <w:rPr>
                <w:rFonts w:asciiTheme="majorBidi" w:hAnsiTheme="majorBidi" w:cstheme="majorBidi"/>
                <w:b w:val="0"/>
                <w:bCs w:val="0"/>
                <w:sz w:val="24"/>
                <w:szCs w:val="24"/>
              </w:rPr>
              <w:t xml:space="preserve"> </w:t>
            </w:r>
          </w:p>
        </w:tc>
      </w:tr>
      <w:tr w:rsidR="007B05D8" w:rsidRPr="000B695D" w14:paraId="0B8787BB" w14:textId="77777777" w:rsidTr="001551A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1721" w:type="dxa"/>
            <w:vMerge w:val="restart"/>
            <w:tcBorders>
              <w:top w:val="single" w:sz="4" w:space="0" w:color="auto"/>
            </w:tcBorders>
          </w:tcPr>
          <w:p w14:paraId="4D788B32" w14:textId="77777777" w:rsidR="007B05D8" w:rsidRPr="00800124" w:rsidRDefault="007B05D8" w:rsidP="001551A4">
            <w:pPr>
              <w:spacing w:after="200" w:line="276" w:lineRule="auto"/>
              <w:rPr>
                <w:rFonts w:asciiTheme="majorBidi" w:hAnsiTheme="majorBidi" w:cstheme="majorBidi"/>
              </w:rPr>
            </w:pPr>
            <w:r w:rsidRPr="00800124">
              <w:rPr>
                <w:rFonts w:asciiTheme="majorBidi" w:hAnsiTheme="majorBidi" w:cstheme="majorBidi"/>
              </w:rPr>
              <w:t>A- Adaptive Immunity</w:t>
            </w:r>
          </w:p>
        </w:tc>
        <w:tc>
          <w:tcPr>
            <w:tcW w:w="2058" w:type="dxa"/>
            <w:vMerge w:val="restart"/>
          </w:tcPr>
          <w:p w14:paraId="2480DD4D" w14:textId="77777777" w:rsidR="007B05D8" w:rsidRPr="00800124" w:rsidRDefault="007B05D8" w:rsidP="001551A4">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B695D">
              <w:rPr>
                <w:rFonts w:asciiTheme="majorBidi" w:hAnsiTheme="majorBidi" w:cstheme="majorBidi"/>
                <w:sz w:val="24"/>
                <w:szCs w:val="24"/>
              </w:rPr>
              <w:t>Effector CD4</w:t>
            </w:r>
            <w:r w:rsidRPr="000B695D">
              <w:rPr>
                <w:rFonts w:asciiTheme="majorBidi" w:hAnsiTheme="majorBidi" w:cstheme="majorBidi"/>
                <w:sz w:val="24"/>
                <w:szCs w:val="24"/>
                <w:vertAlign w:val="superscript"/>
              </w:rPr>
              <w:t>+</w:t>
            </w:r>
            <w:r w:rsidRPr="000B695D">
              <w:rPr>
                <w:rFonts w:asciiTheme="majorBidi" w:hAnsiTheme="majorBidi" w:cstheme="majorBidi"/>
                <w:sz w:val="24"/>
                <w:szCs w:val="24"/>
              </w:rPr>
              <w:t xml:space="preserve"> T Cells</w:t>
            </w:r>
          </w:p>
        </w:tc>
        <w:tc>
          <w:tcPr>
            <w:tcW w:w="3046" w:type="dxa"/>
          </w:tcPr>
          <w:p w14:paraId="7EB6882B" w14:textId="77777777" w:rsidR="007B05D8" w:rsidRPr="00D74D5F" w:rsidRDefault="007B05D8" w:rsidP="001551A4">
            <w:pPr>
              <w:pStyle w:val="ListParagraph"/>
              <w:numPr>
                <w:ilvl w:val="0"/>
                <w:numId w:val="6"/>
              </w:numPr>
              <w:ind w:left="36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74D5F">
              <w:rPr>
                <w:rFonts w:asciiTheme="majorBidi" w:hAnsiTheme="majorBidi" w:cstheme="majorBidi"/>
                <w:sz w:val="24"/>
                <w:szCs w:val="24"/>
              </w:rPr>
              <w:t xml:space="preserve">Th1 cells produce IL2, IFN-γ and TNF-α </w:t>
            </w:r>
          </w:p>
        </w:tc>
        <w:tc>
          <w:tcPr>
            <w:tcW w:w="2535" w:type="dxa"/>
          </w:tcPr>
          <w:p w14:paraId="3B92D87A" w14:textId="77777777" w:rsidR="007B05D8" w:rsidRPr="00893643" w:rsidRDefault="007B05D8" w:rsidP="001551A4">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93643">
              <w:rPr>
                <w:rFonts w:asciiTheme="majorBidi" w:hAnsiTheme="majorBidi" w:cstheme="majorBidi"/>
                <w:color w:val="000000"/>
                <w:sz w:val="24"/>
                <w:szCs w:val="24"/>
              </w:rPr>
              <w:fldChar w:fldCharType="begin" w:fldLock="1"/>
            </w:r>
            <w:r w:rsidRPr="00893643">
              <w:rPr>
                <w:rFonts w:asciiTheme="majorBidi" w:hAnsiTheme="majorBidi" w:cstheme="majorBidi"/>
                <w:color w:val="000000"/>
                <w:sz w:val="24"/>
                <w:szCs w:val="24"/>
              </w:rPr>
              <w:instrText>ADDIN CSL_CITATION {"citationItems":[{"id":"ITEM-1","itemData":{"DOI":"10.1007/s11481-015-9614-0","ISSN":"15571904","PMID":"25946987","abstract":"Multiple sclerosis (MS) is the prototypic inflammatory disease of the central nervous system (CNS) characterized by multifocal areas of demyelination, axonal damage, activation of glial cells, and immune cell infiltration. Despite intensive years of research, the etiology of this neurological disorder remains elusive. Nevertheless, the abundance of immune cells such as T lymphocytes and their products in CNS lesions of MS patients supports the notion that MS is an immune-mediated disorder. An important body of evidence gathered from MS animal models such as experimental autoimmune encephalomyelitis (EAE), points to the central contribution of CD4 T lymphocytes in disease pathogenesis. Both Th1 (producing interferon-γ) and Th17 (producing interleukin 17) CD4 T lymphocytes targeting CNS self-antigens have been implicated in MS and EAE pathobiology. Moreover, several publications suggest that CD8 T lymphocytes also participate in the development of MS lesions. The migration of activated T lymphocytes from the periphery into the CNS has been identified as a crucial step in the formation of MS lesions. Several factors promote such T cell extravasation including: molecules (e.g., cell adhesion molecules) implicated in the T cell-blood brain barrier interaction, and chemokines produced by neural cells. Finally, once in the CNS, T lymphocytes need to be reactivated by local antigen presenting cells prior to enter the parenchyma where they can initiate damage. Further investigations will be necessary to elucidate the impact of environmental factors (e.g., gut microbiota) and CNS intrinsic properties (e.g., microglial activation) on this inflammatory neurological disease.","author":[{"dropping-particle":"","family":"Legroux","given":"Laurine","non-dropping-particle":"","parse-names":false,"suffix":""},{"dropping-particle":"","family":"Arbour","given":"Nathalie","non-dropping-particle":"","parse-names":false,"suffix":""}],"container-title":"Journal of Neuroimmune Pharmacology","id":"ITEM-1","issue":"4","issued":{"date-parts":[["2015","12","1"]]},"page":"528-546","publisher":"Springer New York LLC","title":"Multiple Sclerosis and T Lymphocytes: An Entangled Story","type":"article","volume":"10"},"uris":["http://www.mendeley.com/documents/?uuid=68565774-7b33-3e48-bb31-040ea77d638a"]}],"mendeley":{"formattedCitation":"(Legroux and Arbour, 2015)","plainTextFormattedCitation":"(Legroux and Arbour, 2015)","previouslyFormattedCitation":"(Legroux and Arbour, 2015)"},"properties":{"noteIndex":0},"schema":"https://github.com/citation-style-language/schema/raw/master/csl-citation.json"}</w:instrText>
            </w:r>
            <w:r w:rsidRPr="00893643">
              <w:rPr>
                <w:rFonts w:asciiTheme="majorBidi" w:hAnsiTheme="majorBidi" w:cstheme="majorBidi"/>
                <w:color w:val="000000"/>
                <w:sz w:val="24"/>
                <w:szCs w:val="24"/>
              </w:rPr>
              <w:fldChar w:fldCharType="separate"/>
            </w:r>
            <w:r w:rsidRPr="00893643">
              <w:rPr>
                <w:rFonts w:asciiTheme="majorBidi" w:hAnsiTheme="majorBidi" w:cstheme="majorBidi"/>
                <w:noProof/>
                <w:color w:val="000000"/>
                <w:sz w:val="24"/>
                <w:szCs w:val="24"/>
              </w:rPr>
              <w:t>Legroux and Arbour, 2015)</w:t>
            </w:r>
            <w:r w:rsidRPr="00893643">
              <w:rPr>
                <w:rFonts w:asciiTheme="majorBidi" w:hAnsiTheme="majorBidi" w:cstheme="majorBidi"/>
                <w:color w:val="000000"/>
                <w:sz w:val="24"/>
                <w:szCs w:val="24"/>
              </w:rPr>
              <w:fldChar w:fldCharType="end"/>
            </w:r>
            <w:r w:rsidRPr="00893643">
              <w:rPr>
                <w:rFonts w:asciiTheme="majorBidi" w:hAnsiTheme="majorBidi" w:cstheme="majorBidi"/>
                <w:sz w:val="24"/>
                <w:szCs w:val="24"/>
              </w:rPr>
              <w:t>.</w:t>
            </w:r>
          </w:p>
        </w:tc>
      </w:tr>
      <w:tr w:rsidR="007B05D8" w:rsidRPr="000B695D" w14:paraId="3DB57DFA" w14:textId="77777777" w:rsidTr="001551A4">
        <w:trPr>
          <w:trHeight w:val="90"/>
        </w:trPr>
        <w:tc>
          <w:tcPr>
            <w:cnfStyle w:val="001000000000" w:firstRow="0" w:lastRow="0" w:firstColumn="1" w:lastColumn="0" w:oddVBand="0" w:evenVBand="0" w:oddHBand="0" w:evenHBand="0" w:firstRowFirstColumn="0" w:firstRowLastColumn="0" w:lastRowFirstColumn="0" w:lastRowLastColumn="0"/>
            <w:tcW w:w="1721" w:type="dxa"/>
            <w:vMerge/>
          </w:tcPr>
          <w:p w14:paraId="696EC861" w14:textId="77777777" w:rsidR="007B05D8" w:rsidRPr="00800124" w:rsidRDefault="007B05D8" w:rsidP="001551A4">
            <w:pPr>
              <w:spacing w:after="200" w:line="276" w:lineRule="auto"/>
              <w:rPr>
                <w:rFonts w:asciiTheme="majorBidi" w:hAnsiTheme="majorBidi" w:cstheme="majorBidi"/>
              </w:rPr>
            </w:pPr>
          </w:p>
        </w:tc>
        <w:tc>
          <w:tcPr>
            <w:tcW w:w="2058" w:type="dxa"/>
            <w:vMerge/>
          </w:tcPr>
          <w:p w14:paraId="5A0A1AF6" w14:textId="77777777" w:rsidR="007B05D8" w:rsidRPr="00800124" w:rsidRDefault="007B05D8" w:rsidP="001551A4">
            <w:pPr>
              <w:spacing w:after="200"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3046" w:type="dxa"/>
          </w:tcPr>
          <w:p w14:paraId="50B93485" w14:textId="77777777" w:rsidR="007B05D8" w:rsidRPr="00D74D5F" w:rsidRDefault="007B05D8" w:rsidP="001551A4">
            <w:pPr>
              <w:pStyle w:val="ListParagraph"/>
              <w:numPr>
                <w:ilvl w:val="0"/>
                <w:numId w:val="5"/>
              </w:numPr>
              <w:ind w:left="36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74D5F">
              <w:rPr>
                <w:rFonts w:asciiTheme="majorBidi" w:hAnsiTheme="majorBidi" w:cstheme="majorBidi"/>
                <w:sz w:val="24"/>
                <w:szCs w:val="24"/>
              </w:rPr>
              <w:t xml:space="preserve">Th2 cells produce proinflammatory IL-4, IL-5 and IL-13 </w:t>
            </w:r>
          </w:p>
        </w:tc>
        <w:tc>
          <w:tcPr>
            <w:tcW w:w="2535" w:type="dxa"/>
          </w:tcPr>
          <w:p w14:paraId="6C20B465" w14:textId="77777777" w:rsidR="007B05D8" w:rsidRPr="00893643" w:rsidRDefault="007B05D8" w:rsidP="001551A4">
            <w:pPr>
              <w:pStyle w:val="ListParagraph"/>
              <w:numPr>
                <w:ilvl w:val="0"/>
                <w:numId w:val="7"/>
              </w:numPr>
              <w:ind w:left="158"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93643">
              <w:rPr>
                <w:rFonts w:asciiTheme="majorBidi" w:hAnsiTheme="majorBidi" w:cstheme="majorBidi"/>
                <w:sz w:val="24"/>
                <w:szCs w:val="24"/>
              </w:rPr>
              <w:fldChar w:fldCharType="begin" w:fldLock="1"/>
            </w:r>
            <w:r w:rsidRPr="00893643">
              <w:rPr>
                <w:rFonts w:asciiTheme="majorBidi" w:hAnsiTheme="majorBidi" w:cstheme="majorBidi"/>
                <w:sz w:val="24"/>
                <w:szCs w:val="24"/>
              </w:rPr>
              <w:instrText>ADDIN CSL_CITATION {"citationItems":[{"id":"ITEM-1","itemData":{"DOI":"10.3389/fimmu.2020.02025","ISSN":"16643224","PMID":"32973809","abstract":"During pregnancy, various immune effectors and molecules participating in the immune-microenvironment establish specific maternal tolerance toward the semi-allogeneic fetus. Activated maternal immune effectors by the trophoblast antigens, such as T helper (Th), T cytotoxic (Tc), T regulatory (Treg), and B cells, are involved in the regulation of adaptive immunity. Recognition of active signal through the T cell receptors stimulate the differentiation of naive CD3+CD4+ T cells into specific T cell subsets, such as Th1, Th2, Th9, Th17, Th22, and follicular Th cells (Tfh). Each of these subsets has a significant and distinct role in human pregnancy. Th1 immunity, characterized by immune-inflammatory responses, becomes dominant during the peri-implantation period, and the “controlled” Th1 immunity benefits the invading trophoblasts rather than harm. Quickly after the placental implantation, the early inflammatory Th1 immunity is shifted to the Th2 anti-inflammatory immune responses. The predominant Th2 immunity, which overrules the Th1 immunity at the placental implantation site, protects a fetus by balancing Th1 immunity and accommodate fetal and placental development. Moreover, Treg and Th9 cells regulate local inflammatory immune responses, potentially detrimental to the fetus. Th17 cells induce protective immunity against extracellular microbes during pregnancy. However, excessive Th17 immunity may induce uncontrolled neutrophil infiltration at the maternal-fetal interface. Other Th cell subsets such as Tfh cells, also contribute to pregnancy by setting up favorable humoral immunity during pregnancy. However, dysregulation of Th cell immunity during pregnancy may result in obstetrical complications, such as recurrent pregnancy losses (RPL) and preeclampsia (PE). With this review, we intend to deliver a comprehensive overview of CD4+ Th cell subsets, including Th1, Th2, Th9, Th17, Th22, and Tfh cells, in human pregnancy by reviewing their roles in normal and pathological pregnancies.","author":[{"dropping-particle":"","family":"Wang","given":"Wenjuan","non-dropping-particle":"","parse-names":false,"suffix":""},{"dropping-particle":"","family":"Sung","given":"Nayoung","non-dropping-particle":"","parse-names":false,"suffix":""},{"dropping-particle":"","family":"Gilman-Sachs","given":"Alice","non-dropping-particle":"","parse-names":false,"suffix":""},{"dropping-particle":"","family":"Kwak-Kim","given":"Joanne","non-dropping-particle":"","parse-names":false,"suffix":""}],"container-title":"Frontiers in Immunology","id":"ITEM-1","issued":{"date-parts":[["2020","8","18"]]},"page":"548539","publisher":"Frontiers Media S.A.","title":"T Helper (Th) Cell Profiles in Pregnancy and Recurrent Pregnancy Losses: Th1/Th2/Th9/Th17/Th22/Tfh Cells","type":"article","volume":"11"},"uris":["http://www.mendeley.com/documents/?uuid=2e7ff419-4063-3a04-92da-46ecaaa309eb"]}],"mendeley":{"formattedCitation":"(Wang et al., 2020)","plainTextFormattedCitation":"(Wang et al., 2020)","previouslyFormattedCitation":"(Wang et al., 2020)"},"properties":{"noteIndex":0},"schema":"https://github.com/citation-style-language/schema/raw/master/csl-citation.json"}</w:instrText>
            </w:r>
            <w:r w:rsidRPr="00893643">
              <w:rPr>
                <w:rFonts w:asciiTheme="majorBidi" w:hAnsiTheme="majorBidi" w:cstheme="majorBidi"/>
                <w:sz w:val="24"/>
                <w:szCs w:val="24"/>
              </w:rPr>
              <w:fldChar w:fldCharType="separate"/>
            </w:r>
            <w:r w:rsidRPr="00893643">
              <w:rPr>
                <w:rFonts w:asciiTheme="majorBidi" w:hAnsiTheme="majorBidi" w:cstheme="majorBidi"/>
                <w:noProof/>
                <w:sz w:val="24"/>
                <w:szCs w:val="24"/>
              </w:rPr>
              <w:t>(Wang et al., 2020)</w:t>
            </w:r>
            <w:r w:rsidRPr="00893643">
              <w:rPr>
                <w:rFonts w:asciiTheme="majorBidi" w:hAnsiTheme="majorBidi" w:cstheme="majorBidi"/>
                <w:sz w:val="24"/>
                <w:szCs w:val="24"/>
              </w:rPr>
              <w:fldChar w:fldCharType="end"/>
            </w:r>
            <w:r w:rsidRPr="00893643">
              <w:rPr>
                <w:rFonts w:asciiTheme="majorBidi" w:hAnsiTheme="majorBidi" w:cstheme="majorBidi"/>
                <w:sz w:val="24"/>
                <w:szCs w:val="24"/>
              </w:rPr>
              <w:t>.</w:t>
            </w:r>
          </w:p>
        </w:tc>
      </w:tr>
      <w:tr w:rsidR="007B05D8" w:rsidRPr="000B695D" w14:paraId="5723BCEC" w14:textId="77777777" w:rsidTr="001551A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1721" w:type="dxa"/>
            <w:vMerge/>
          </w:tcPr>
          <w:p w14:paraId="76AEC040" w14:textId="77777777" w:rsidR="007B05D8" w:rsidRPr="00800124" w:rsidRDefault="007B05D8" w:rsidP="001551A4">
            <w:pPr>
              <w:spacing w:after="200" w:line="276" w:lineRule="auto"/>
              <w:rPr>
                <w:rFonts w:asciiTheme="majorBidi" w:hAnsiTheme="majorBidi" w:cstheme="majorBidi"/>
              </w:rPr>
            </w:pPr>
          </w:p>
        </w:tc>
        <w:tc>
          <w:tcPr>
            <w:tcW w:w="2058" w:type="dxa"/>
            <w:vMerge/>
          </w:tcPr>
          <w:p w14:paraId="29124EB0" w14:textId="77777777" w:rsidR="007B05D8" w:rsidRPr="00800124" w:rsidRDefault="007B05D8" w:rsidP="001551A4">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3046" w:type="dxa"/>
          </w:tcPr>
          <w:p w14:paraId="3E617E18" w14:textId="77777777" w:rsidR="007B05D8" w:rsidRPr="00D74D5F" w:rsidRDefault="007B05D8" w:rsidP="001551A4">
            <w:pPr>
              <w:pStyle w:val="ListParagraph"/>
              <w:numPr>
                <w:ilvl w:val="0"/>
                <w:numId w:val="4"/>
              </w:numPr>
              <w:ind w:left="36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74D5F">
              <w:rPr>
                <w:rFonts w:asciiTheme="majorBidi" w:hAnsiTheme="majorBidi" w:cstheme="majorBidi"/>
                <w:sz w:val="24"/>
                <w:szCs w:val="24"/>
              </w:rPr>
              <w:t xml:space="preserve">Th17 cells produce IL-17 </w:t>
            </w:r>
          </w:p>
        </w:tc>
        <w:tc>
          <w:tcPr>
            <w:tcW w:w="2535" w:type="dxa"/>
          </w:tcPr>
          <w:p w14:paraId="3D2F357C" w14:textId="77777777" w:rsidR="007B05D8" w:rsidRPr="00893643" w:rsidRDefault="007B05D8" w:rsidP="001551A4">
            <w:pPr>
              <w:pStyle w:val="ListParagraph"/>
              <w:numPr>
                <w:ilvl w:val="0"/>
                <w:numId w:val="7"/>
              </w:numPr>
              <w:ind w:left="158"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93643">
              <w:rPr>
                <w:rFonts w:asciiTheme="majorBidi" w:hAnsiTheme="majorBidi" w:cstheme="majorBidi"/>
                <w:sz w:val="24"/>
                <w:szCs w:val="24"/>
              </w:rPr>
              <w:fldChar w:fldCharType="begin" w:fldLock="1"/>
            </w:r>
            <w:r w:rsidRPr="00893643">
              <w:rPr>
                <w:rFonts w:asciiTheme="majorBidi" w:hAnsiTheme="majorBidi" w:cstheme="majorBidi"/>
                <w:sz w:val="24"/>
                <w:szCs w:val="24"/>
              </w:rPr>
              <w:instrText>ADDIN CSL_CITATION {"citationItems":[{"id":"ITEM-1","itemData":{"DOI":"10.3389/fimmu.2020.02025","ISSN":"16643224","PMID":"32973809","abstract":"During pregnancy, various immune effectors and molecules participating in the immune-microenvironment establish specific maternal tolerance toward the semi-allogeneic fetus. Activated maternal immune effectors by the trophoblast antigens, such as T helper (Th), T cytotoxic (Tc), T regulatory (Treg), and B cells, are involved in the regulation of adaptive immunity. Recognition of active signal through the T cell receptors stimulate the differentiation of naive CD3+CD4+ T cells into specific T cell subsets, such as Th1, Th2, Th9, Th17, Th22, and follicular Th cells (Tfh). Each of these subsets has a significant and distinct role in human pregnancy. Th1 immunity, characterized by immune-inflammatory responses, becomes dominant during the peri-implantation period, and the “controlled” Th1 immunity benefits the invading trophoblasts rather than harm. Quickly after the placental implantation, the early inflammatory Th1 immunity is shifted to the Th2 anti-inflammatory immune responses. The predominant Th2 immunity, which overrules the Th1 immunity at the placental implantation site, protects a fetus by balancing Th1 immunity and accommodate fetal and placental development. Moreover, Treg and Th9 cells regulate local inflammatory immune responses, potentially detrimental to the fetus. Th17 cells induce protective immunity against extracellular microbes during pregnancy. However, excessive Th17 immunity may induce uncontrolled neutrophil infiltration at the maternal-fetal interface. Other Th cell subsets such as Tfh cells, also contribute to pregnancy by setting up favorable humoral immunity during pregnancy. However, dysregulation of Th cell immunity during pregnancy may result in obstetrical complications, such as recurrent pregnancy losses (RPL) and preeclampsia (PE). With this review, we intend to deliver a comprehensive overview of CD4+ Th cell subsets, including Th1, Th2, Th9, Th17, Th22, and Tfh cells, in human pregnancy by reviewing their roles in normal and pathological pregnancies.","author":[{"dropping-particle":"","family":"Wang","given":"Wenjuan","non-dropping-particle":"","parse-names":false,"suffix":""},{"dropping-particle":"","family":"Sung","given":"Nayoung","non-dropping-particle":"","parse-names":false,"suffix":""},{"dropping-particle":"","family":"Gilman-Sachs","given":"Alice","non-dropping-particle":"","parse-names":false,"suffix":""},{"dropping-particle":"","family":"Kwak-Kim","given":"Joanne","non-dropping-particle":"","parse-names":false,"suffix":""}],"container-title":"Frontiers in Immunology","id":"ITEM-1","issued":{"date-parts":[["2020","8","18"]]},"page":"548539","publisher":"Frontiers Media S.A.","title":"T Helper (Th) Cell Profiles in Pregnancy and Recurrent Pregnancy Losses: Th1/Th2/Th9/Th17/Th22/Tfh Cells","type":"article","volume":"11"},"uris":["http://www.mendeley.com/documents/?uuid=2e7ff419-4063-3a04-92da-46ecaaa309eb"]}],"mendeley":{"formattedCitation":"(Wang et al., 2020)","plainTextFormattedCitation":"(Wang et al., 2020)","previouslyFormattedCitation":"(Wang et al., 2020)"},"properties":{"noteIndex":0},"schema":"https://github.com/citation-style-language/schema/raw/master/csl-citation.json"}</w:instrText>
            </w:r>
            <w:r w:rsidRPr="00893643">
              <w:rPr>
                <w:rFonts w:asciiTheme="majorBidi" w:hAnsiTheme="majorBidi" w:cstheme="majorBidi"/>
                <w:sz w:val="24"/>
                <w:szCs w:val="24"/>
              </w:rPr>
              <w:fldChar w:fldCharType="separate"/>
            </w:r>
            <w:r w:rsidRPr="00893643">
              <w:rPr>
                <w:rFonts w:asciiTheme="majorBidi" w:hAnsiTheme="majorBidi" w:cstheme="majorBidi"/>
                <w:noProof/>
                <w:sz w:val="24"/>
                <w:szCs w:val="24"/>
              </w:rPr>
              <w:t>(Wang et al., 2020)</w:t>
            </w:r>
            <w:r w:rsidRPr="00893643">
              <w:rPr>
                <w:rFonts w:asciiTheme="majorBidi" w:hAnsiTheme="majorBidi" w:cstheme="majorBidi"/>
                <w:sz w:val="24"/>
                <w:szCs w:val="24"/>
              </w:rPr>
              <w:fldChar w:fldCharType="end"/>
            </w:r>
            <w:r w:rsidRPr="00893643">
              <w:rPr>
                <w:rFonts w:asciiTheme="majorBidi" w:hAnsiTheme="majorBidi" w:cstheme="majorBidi"/>
                <w:sz w:val="24"/>
                <w:szCs w:val="24"/>
              </w:rPr>
              <w:t>.</w:t>
            </w:r>
          </w:p>
        </w:tc>
      </w:tr>
      <w:tr w:rsidR="007B05D8" w:rsidRPr="000B695D" w14:paraId="235BF7E1" w14:textId="77777777" w:rsidTr="001551A4">
        <w:tc>
          <w:tcPr>
            <w:cnfStyle w:val="001000000000" w:firstRow="0" w:lastRow="0" w:firstColumn="1" w:lastColumn="0" w:oddVBand="0" w:evenVBand="0" w:oddHBand="0" w:evenHBand="0" w:firstRowFirstColumn="0" w:firstRowLastColumn="0" w:lastRowFirstColumn="0" w:lastRowLastColumn="0"/>
            <w:tcW w:w="1721" w:type="dxa"/>
            <w:vMerge/>
          </w:tcPr>
          <w:p w14:paraId="111392A3" w14:textId="77777777" w:rsidR="007B05D8" w:rsidRPr="00800124" w:rsidRDefault="007B05D8" w:rsidP="001551A4">
            <w:pPr>
              <w:spacing w:after="200" w:line="276" w:lineRule="auto"/>
              <w:rPr>
                <w:rFonts w:asciiTheme="majorBidi" w:hAnsiTheme="majorBidi" w:cstheme="majorBidi"/>
              </w:rPr>
            </w:pPr>
          </w:p>
        </w:tc>
        <w:tc>
          <w:tcPr>
            <w:tcW w:w="2058" w:type="dxa"/>
          </w:tcPr>
          <w:p w14:paraId="36ED3615" w14:textId="77777777" w:rsidR="007B05D8" w:rsidRPr="000B695D" w:rsidRDefault="007B05D8" w:rsidP="001551A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B695D">
              <w:rPr>
                <w:rFonts w:asciiTheme="majorBidi" w:hAnsiTheme="majorBidi" w:cstheme="majorBidi"/>
                <w:sz w:val="24"/>
                <w:szCs w:val="24"/>
              </w:rPr>
              <w:t>Effector CD8</w:t>
            </w:r>
            <w:r w:rsidRPr="000B695D">
              <w:rPr>
                <w:rFonts w:asciiTheme="majorBidi" w:hAnsiTheme="majorBidi" w:cstheme="majorBidi"/>
                <w:sz w:val="24"/>
                <w:szCs w:val="24"/>
                <w:vertAlign w:val="superscript"/>
              </w:rPr>
              <w:t xml:space="preserve">+ </w:t>
            </w:r>
            <w:r w:rsidRPr="000B695D">
              <w:rPr>
                <w:rFonts w:asciiTheme="majorBidi" w:hAnsiTheme="majorBidi" w:cstheme="majorBidi"/>
                <w:sz w:val="24"/>
                <w:szCs w:val="24"/>
              </w:rPr>
              <w:t>T Cells</w:t>
            </w:r>
          </w:p>
        </w:tc>
        <w:tc>
          <w:tcPr>
            <w:tcW w:w="3046" w:type="dxa"/>
          </w:tcPr>
          <w:p w14:paraId="45408651" w14:textId="77777777" w:rsidR="007B05D8" w:rsidRPr="00D74D5F" w:rsidRDefault="007B05D8" w:rsidP="001551A4">
            <w:pPr>
              <w:pStyle w:val="ListParagraph"/>
              <w:numPr>
                <w:ilvl w:val="0"/>
                <w:numId w:val="3"/>
              </w:numPr>
              <w:ind w:left="36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74D5F">
              <w:rPr>
                <w:rFonts w:asciiTheme="majorBidi" w:hAnsiTheme="majorBidi" w:cstheme="majorBidi"/>
                <w:color w:val="000000"/>
                <w:sz w:val="24"/>
                <w:szCs w:val="24"/>
              </w:rPr>
              <w:t xml:space="preserve">Produce IL-17 and IFN-γ that; cytotoxic function that causing axonal damage. </w:t>
            </w:r>
          </w:p>
        </w:tc>
        <w:tc>
          <w:tcPr>
            <w:tcW w:w="2535" w:type="dxa"/>
          </w:tcPr>
          <w:p w14:paraId="576D9E3A" w14:textId="77777777" w:rsidR="007B05D8" w:rsidRPr="00893643" w:rsidRDefault="007B05D8" w:rsidP="001551A4">
            <w:pPr>
              <w:pStyle w:val="ListParagraph"/>
              <w:numPr>
                <w:ilvl w:val="0"/>
                <w:numId w:val="7"/>
              </w:numPr>
              <w:ind w:left="158"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893643">
              <w:rPr>
                <w:rFonts w:asciiTheme="majorBidi" w:hAnsiTheme="majorBidi" w:cstheme="majorBidi"/>
                <w:color w:val="000000"/>
                <w:sz w:val="24"/>
                <w:szCs w:val="24"/>
              </w:rPr>
              <w:fldChar w:fldCharType="begin" w:fldLock="1"/>
            </w:r>
            <w:r w:rsidRPr="00893643">
              <w:rPr>
                <w:rFonts w:asciiTheme="majorBidi" w:hAnsiTheme="majorBidi" w:cstheme="majorBidi"/>
                <w:color w:val="000000"/>
                <w:sz w:val="24"/>
                <w:szCs w:val="24"/>
              </w:rPr>
              <w:instrText>ADDIN CSL_CITATION {"citationItems":[{"id":"ITEM-1","itemData":{"DOI":"10.1002/ana.24415","ISSN":"03645134","abstract":"Objective Although Tc17 lymphocytes are enriched in the central nervous system (CNS) of multiple sclerosis (MS) subjects and of experimental autoimmune encephalomyelitis (EAE) animals, limited information is available about their recruitment into the CNS and their role in neuroinflammation. Identification of adhesion molecules used by autoaggressive CD8+ T lymphocytes to enter the CNS would allow further characterization of this pathogenic subset and could provide new therapeutic targets in MS. We propose that melanoma cell adhesion molecule (MCAM) is a surface marker and adhesion molecule used by pathogenic CD8+ T lymphocytes to access the CNS. Methods Frequency, phenotype, and function of MCAM+CD8+ T lymphocytes was characterized using a combination of ex vivo, in vitro, in situ, and in vivo approaches in humans and mice, including healthy controls, MS subjects, and EAE animals. Results Herein, we report that MCAM is expressed by human effector CD8+ T lymphocytes and it is strikingly upregulated during MS relapses. We further demonstrate that MCAM+CD8+ T lymphocytes express more interleukin 17, interferon γ, granulocyte-macrophage colony-stimulating factor, and tumor necrosis factor than MCAM- lymphocytes, and exhibit an enhanced killing capacity toward oligodendrocytes. MCAM blockade restricts the transmigration of CD8+ T lymphocytes across human blood-brain barrier endothelial cells in vitro, and blocking or depleting MCAM in vivo reduces chronic neurological deficits in active, transfer, and spontaneous progressive EAE models. Interpretation Our data demonstrate that MCAM identifies encephalitogenic CD8+ T lymphocytes, suggesting that MCAM could represent a biomarker of MS disease activity and a valid target for the treatment of neuroinflammatory conditions.","author":[{"dropping-particle":"","family":"Larochelle","given":"Catherine","non-dropping-particle":"","parse-names":false,"suffix":""},{"dropping-particle":"","family":"Lécuyer","given":"Marc-André","non-dropping-particle":"","parse-names":false,"suffix":""},{"dropping-particle":"","family":"Alvarez","given":"Jorge Ivan","non-dropping-particle":"","parse-names":false,"suffix":""},{"dropping-particle":"","family":"Charabati","given":"Marc","non-dropping-particle":"","parse-names":false,"suffix":""},{"dropping-particle":"","family":"Saint-Laurent","given":"Olivia","non-dropping-particle":"","parse-names":false,"suffix":""},{"dropping-particle":"","family":"Ghannam","given":"Soufiane","non-dropping-particle":"","parse-names":false,"suffix":""},{"dropping-particle":"","family":"Kebir","given":"Hania","non-dropping-particle":"","parse-names":false,"suffix":""},{"dropping-particle":"","family":"Flanagan","given":"Ken","non-dropping-particle":"","parse-names":false,"suffix":""},{"dropping-particle":"","family":"Yednock","given":"Ted","non-dropping-particle":"","parse-names":false,"suffix":""},{"dropping-particle":"","family":"Duquette","given":"Pierre","non-dropping-particle":"","parse-names":false,"suffix":""},{"dropping-particle":"","family":"Arbour","given":"Nathalie","non-dropping-particle":"","parse-names":false,"suffix":""},{"dropping-particle":"","family":"Prat","given":"Alexandre","non-dropping-particle":"","parse-names":false,"suffix":""}],"container-title":"Annals of Neurology","id":"ITEM-1","issue":"1","issued":{"date-parts":[["2015","7","1"]]},"page":"39-53","publisher":"John Wiley and Sons Inc.","title":"Melanoma cell adhesion molecule-positive CD8 T lymphocytes mediate central nervous system inflammation","type":"article-journal","volume":"78"},"uris":["http://www.mendeley.com/documents/?uuid=d32c0383-f3d4-3694-811f-7dc4cb6cb12f"]}],"mendeley":{"formattedCitation":"(Larochelle et al., 2015a)","plainTextFormattedCitation":"(Larochelle et al., 2015a)","previouslyFormattedCitation":"(Larochelle et al., 2015a)"},"properties":{"noteIndex":0},"schema":"https://github.com/citation-style-language/schema/raw/master/csl-citation.json"}</w:instrText>
            </w:r>
            <w:r w:rsidRPr="00893643">
              <w:rPr>
                <w:rFonts w:asciiTheme="majorBidi" w:hAnsiTheme="majorBidi" w:cstheme="majorBidi"/>
                <w:color w:val="000000"/>
                <w:sz w:val="24"/>
                <w:szCs w:val="24"/>
              </w:rPr>
              <w:fldChar w:fldCharType="separate"/>
            </w:r>
            <w:r w:rsidRPr="00893643">
              <w:rPr>
                <w:rFonts w:asciiTheme="majorBidi" w:hAnsiTheme="majorBidi" w:cstheme="majorBidi"/>
                <w:noProof/>
                <w:color w:val="000000"/>
                <w:sz w:val="24"/>
                <w:szCs w:val="24"/>
              </w:rPr>
              <w:t>(Larochelle et al., 2015a)</w:t>
            </w:r>
            <w:r w:rsidRPr="00893643">
              <w:rPr>
                <w:rFonts w:asciiTheme="majorBidi" w:hAnsiTheme="majorBidi" w:cstheme="majorBidi"/>
                <w:color w:val="000000"/>
                <w:sz w:val="24"/>
                <w:szCs w:val="24"/>
              </w:rPr>
              <w:fldChar w:fldCharType="end"/>
            </w:r>
            <w:r w:rsidRPr="00893643">
              <w:rPr>
                <w:rFonts w:asciiTheme="majorBidi" w:hAnsiTheme="majorBidi" w:cstheme="majorBidi"/>
                <w:color w:val="000000"/>
                <w:sz w:val="24"/>
                <w:szCs w:val="24"/>
              </w:rPr>
              <w:t xml:space="preserve">, </w:t>
            </w:r>
            <w:r w:rsidRPr="00893643">
              <w:rPr>
                <w:rFonts w:asciiTheme="majorBidi" w:hAnsiTheme="majorBidi" w:cstheme="majorBidi"/>
                <w:color w:val="000000"/>
                <w:sz w:val="24"/>
                <w:szCs w:val="24"/>
              </w:rPr>
              <w:fldChar w:fldCharType="begin" w:fldLock="1"/>
            </w:r>
            <w:r w:rsidRPr="00893643">
              <w:rPr>
                <w:rFonts w:asciiTheme="majorBidi" w:hAnsiTheme="majorBidi" w:cstheme="majorBidi"/>
                <w:color w:val="000000"/>
                <w:sz w:val="24"/>
                <w:szCs w:val="24"/>
              </w:rPr>
              <w:instrText>ADDIN CSL_CITATION {"citationItems":[{"id":"ITEM-1","itemData":{"DOI":"10.1096/fj.09-136200","ISSN":"0892-6638","abstract":"Cytotoxic CD8+ T cells are increasingly recognized as key players in various inflammatory and degenerative central nervous system (CNS) disorders. CD8+ T cells are believed to actively contribute to neural damage in these CNS conditions. Conceptually, one can separate two possible ways that CD8+ T cells harm neuronal function or integrity: CD8 + T cells either directly target neurons and their neurites in an antigen- or contact-dependent fashion, or exert their action via \"collateral\" mechanisms of neuronal damage that might follow destruction of the myelin sheath or glial cells in both the CNS gray and white matter. After introducing clinical examples, in which the putative relevance CD8+ T cells has been demonstrated, we summarize knowledge on the sequence of initiation and execution of CD8+ T-cell responses in the CNS. This includes the initial antigen cross-presentation and priming of naive CD8+ T cells, followed by the invasion, migration, and target-cell recognition of CD8+ effector T cells in the CNS parenchyma. Moreover, we discuss mechanisms of impaired electrical signaling and cell death of neurons as direct and collateral targets of CD8+ T cells in the CNS. © FASEB.","author":[{"dropping-particle":"","family":"Melzer","given":"Nico","non-dropping-particle":"","parse-names":false,"suffix":""},{"dropping-particle":"","family":"Meuth","given":"Sven G.","non-dropping-particle":"","parse-names":false,"suffix":""},{"dropping-particle":"","family":"Wiendl","given":"Heinz","non-dropping-particle":"","parse-names":false,"suffix":""}],"container-title":"The FASEB Journal","id":"ITEM-1","issue":"11","issued":{"date-parts":[["2009","11","30"]]},"page":"3659-3673","publisher":"FASEB","title":"CD8 &lt;sup&gt;+&lt;/sup&gt; T cells and neuronal damage: direct and collateral mechanisms of cytotoxicity and impaired electrical excitability","type":"article-journal","volume":"23"},"uris":["http://www.mendeley.com/documents/?uuid=bff29f69-3099-3b5f-99d0-74b75fe8407b"]}],"mendeley":{"formattedCitation":"(Melzer et al., 2009)","plainTextFormattedCitation":"(Melzer et al., 2009)","previouslyFormattedCitation":"(Melzer et al., 2009)"},"properties":{"noteIndex":0},"schema":"https://github.com/citation-style-language/schema/raw/master/csl-citation.json"}</w:instrText>
            </w:r>
            <w:r w:rsidRPr="00893643">
              <w:rPr>
                <w:rFonts w:asciiTheme="majorBidi" w:hAnsiTheme="majorBidi" w:cstheme="majorBidi"/>
                <w:color w:val="000000"/>
                <w:sz w:val="24"/>
                <w:szCs w:val="24"/>
              </w:rPr>
              <w:fldChar w:fldCharType="separate"/>
            </w:r>
            <w:r w:rsidRPr="00893643">
              <w:rPr>
                <w:rFonts w:asciiTheme="majorBidi" w:hAnsiTheme="majorBidi" w:cstheme="majorBidi"/>
                <w:noProof/>
                <w:color w:val="000000"/>
                <w:sz w:val="24"/>
                <w:szCs w:val="24"/>
              </w:rPr>
              <w:t>(Melzer et al., 2009)</w:t>
            </w:r>
            <w:r w:rsidRPr="00893643">
              <w:rPr>
                <w:rFonts w:asciiTheme="majorBidi" w:hAnsiTheme="majorBidi" w:cstheme="majorBidi"/>
                <w:color w:val="000000"/>
                <w:sz w:val="24"/>
                <w:szCs w:val="24"/>
              </w:rPr>
              <w:fldChar w:fldCharType="end"/>
            </w:r>
            <w:r w:rsidRPr="00893643">
              <w:rPr>
                <w:rFonts w:asciiTheme="majorBidi" w:hAnsiTheme="majorBidi" w:cstheme="majorBidi"/>
                <w:color w:val="000000"/>
                <w:sz w:val="24"/>
                <w:szCs w:val="24"/>
              </w:rPr>
              <w:t>.</w:t>
            </w:r>
          </w:p>
        </w:tc>
      </w:tr>
      <w:tr w:rsidR="007B05D8" w:rsidRPr="000B695D" w14:paraId="5F21AD5D" w14:textId="77777777" w:rsidTr="001551A4">
        <w:trPr>
          <w:cnfStyle w:val="000000100000" w:firstRow="0" w:lastRow="0" w:firstColumn="0" w:lastColumn="0" w:oddVBand="0" w:evenVBand="0" w:oddHBand="1"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1721" w:type="dxa"/>
            <w:vMerge/>
          </w:tcPr>
          <w:p w14:paraId="1A41404B" w14:textId="77777777" w:rsidR="007B05D8" w:rsidRPr="00800124" w:rsidRDefault="007B05D8" w:rsidP="001551A4">
            <w:pPr>
              <w:spacing w:after="200" w:line="276" w:lineRule="auto"/>
              <w:rPr>
                <w:rFonts w:asciiTheme="majorBidi" w:hAnsiTheme="majorBidi" w:cstheme="majorBidi"/>
              </w:rPr>
            </w:pPr>
          </w:p>
        </w:tc>
        <w:tc>
          <w:tcPr>
            <w:tcW w:w="2058" w:type="dxa"/>
            <w:vMerge w:val="restart"/>
          </w:tcPr>
          <w:p w14:paraId="544C30A5" w14:textId="77777777" w:rsidR="007B05D8" w:rsidRPr="000B695D" w:rsidRDefault="007B05D8" w:rsidP="001551A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B695D">
              <w:rPr>
                <w:rFonts w:asciiTheme="majorBidi" w:hAnsiTheme="majorBidi" w:cstheme="majorBidi"/>
                <w:sz w:val="24"/>
                <w:szCs w:val="24"/>
              </w:rPr>
              <w:t>B Cells</w:t>
            </w:r>
          </w:p>
        </w:tc>
        <w:tc>
          <w:tcPr>
            <w:tcW w:w="3046" w:type="dxa"/>
          </w:tcPr>
          <w:p w14:paraId="09F31B03" w14:textId="77777777" w:rsidR="007B05D8" w:rsidRPr="00D74D5F" w:rsidRDefault="007B05D8" w:rsidP="001551A4">
            <w:pPr>
              <w:pStyle w:val="ListParagraph"/>
              <w:numPr>
                <w:ilvl w:val="0"/>
                <w:numId w:val="2"/>
              </w:numPr>
              <w:ind w:left="36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74D5F">
              <w:rPr>
                <w:rFonts w:asciiTheme="majorBidi" w:hAnsiTheme="majorBidi" w:cstheme="majorBidi"/>
                <w:sz w:val="24"/>
                <w:szCs w:val="24"/>
              </w:rPr>
              <w:t>Production of CSF-​restricted IgG OCBs</w:t>
            </w:r>
            <w:r>
              <w:rPr>
                <w:rFonts w:asciiTheme="majorBidi" w:hAnsiTheme="majorBidi" w:cstheme="majorBidi"/>
                <w:sz w:val="24"/>
                <w:szCs w:val="24"/>
              </w:rPr>
              <w:t>.</w:t>
            </w:r>
          </w:p>
          <w:p w14:paraId="4E5FF93D" w14:textId="77777777" w:rsidR="007B05D8" w:rsidRPr="00C66728" w:rsidRDefault="007B05D8" w:rsidP="001551A4">
            <w:pPr>
              <w:ind w:left="36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c>
          <w:tcPr>
            <w:tcW w:w="2535" w:type="dxa"/>
          </w:tcPr>
          <w:p w14:paraId="52E96703" w14:textId="77777777" w:rsidR="007B05D8" w:rsidRPr="00893643" w:rsidRDefault="007B05D8" w:rsidP="001551A4">
            <w:pPr>
              <w:pStyle w:val="ListParagraph"/>
              <w:numPr>
                <w:ilvl w:val="0"/>
                <w:numId w:val="7"/>
              </w:numPr>
              <w:ind w:left="158"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893643">
              <w:rPr>
                <w:rFonts w:asciiTheme="majorBidi" w:hAnsiTheme="majorBidi" w:cstheme="majorBidi"/>
                <w:color w:val="000000"/>
                <w:sz w:val="24"/>
                <w:szCs w:val="24"/>
              </w:rPr>
              <w:fldChar w:fldCharType="begin" w:fldLock="1"/>
            </w:r>
            <w:r w:rsidRPr="00893643">
              <w:rPr>
                <w:rFonts w:asciiTheme="majorBidi" w:hAnsiTheme="majorBidi" w:cstheme="majorBidi"/>
                <w:color w:val="000000"/>
                <w:sz w:val="24"/>
                <w:szCs w:val="24"/>
              </w:rPr>
              <w:instrText>ADDIN CSL_CITATION {"citationItems":[{"id":"ITEM-1","itemData":{"DOI":"10.1177/1352458514522104","ISSN":"14770970","PMID":"24589684","abstract":"The search for autoantibodies in multiple sclerosis (MS) has been challenging for the last 3 decades. With the development of new proteomic methods and advances in expression and assay technologies, progress in the identification of MS autoantibodies has been made. A number of MS-specific autoantibodies have been proposed, most of them targeting proteins expressed in oligodendrocytes and along the myelin sheath. In this review, we summarize the status of antibody research in MS and then discuss recent developments and future strategies in defining and characterizing the potential antigenic targets of autoantibodies in MS. © 2014 The Author(s).","author":[{"dropping-particle":"","family":"Schirmer","given":"Lucas","non-dropping-particle":"","parse-names":false,"suffix":""},{"dropping-particle":"","family":"Srivastava","given":"Rajneesh","non-dropping-particle":"","parse-names":false,"suffix":""},{"dropping-particle":"","family":"Hemmer","given":"Bernhard","non-dropping-particle":"","parse-names":false,"suffix":""}],"container-title":"Multiple Sclerosis Journal","id":"ITEM-1","issue":"3","issued":{"date-parts":[["2014","3","3"]]},"page":"271-279","publisher":"SAGE PublicationsSage UK: London, England","title":"To look for a needle in a haystack: The search for autoantibodies in multiple sclerosis","type":"article","volume":"20"},"uris":["http://www.mendeley.com/documents/?uuid=2a5dcaf1-e4f1-355a-8593-8aa712e66bdb"]}],"mendeley":{"formattedCitation":"(Schirmer et al., 2014)","plainTextFormattedCitation":"(Schirmer et al., 2014)","previouslyFormattedCitation":"(Schirmer et al., 2014)"},"properties":{"noteIndex":0},"schema":"https://github.com/citation-style-language/schema/raw/master/csl-citation.json"}</w:instrText>
            </w:r>
            <w:r w:rsidRPr="00893643">
              <w:rPr>
                <w:rFonts w:asciiTheme="majorBidi" w:hAnsiTheme="majorBidi" w:cstheme="majorBidi"/>
                <w:color w:val="000000"/>
                <w:sz w:val="24"/>
                <w:szCs w:val="24"/>
              </w:rPr>
              <w:fldChar w:fldCharType="separate"/>
            </w:r>
            <w:r w:rsidRPr="00893643">
              <w:rPr>
                <w:rFonts w:asciiTheme="majorBidi" w:hAnsiTheme="majorBidi" w:cstheme="majorBidi"/>
                <w:noProof/>
                <w:color w:val="000000"/>
                <w:sz w:val="24"/>
                <w:szCs w:val="24"/>
              </w:rPr>
              <w:t>(Schirmer et al., 2014)</w:t>
            </w:r>
            <w:r w:rsidRPr="00893643">
              <w:rPr>
                <w:rFonts w:asciiTheme="majorBidi" w:hAnsiTheme="majorBidi" w:cstheme="majorBidi"/>
                <w:color w:val="000000"/>
                <w:sz w:val="24"/>
                <w:szCs w:val="24"/>
              </w:rPr>
              <w:fldChar w:fldCharType="end"/>
            </w:r>
          </w:p>
        </w:tc>
      </w:tr>
      <w:tr w:rsidR="007B05D8" w:rsidRPr="000B695D" w14:paraId="44172AAF" w14:textId="77777777" w:rsidTr="001551A4">
        <w:trPr>
          <w:trHeight w:val="517"/>
        </w:trPr>
        <w:tc>
          <w:tcPr>
            <w:cnfStyle w:val="001000000000" w:firstRow="0" w:lastRow="0" w:firstColumn="1" w:lastColumn="0" w:oddVBand="0" w:evenVBand="0" w:oddHBand="0" w:evenHBand="0" w:firstRowFirstColumn="0" w:firstRowLastColumn="0" w:lastRowFirstColumn="0" w:lastRowLastColumn="0"/>
            <w:tcW w:w="1721" w:type="dxa"/>
            <w:vMerge/>
          </w:tcPr>
          <w:p w14:paraId="2A04A95F" w14:textId="77777777" w:rsidR="007B05D8" w:rsidRPr="00800124" w:rsidRDefault="007B05D8" w:rsidP="001551A4">
            <w:pPr>
              <w:spacing w:after="200" w:line="276" w:lineRule="auto"/>
              <w:rPr>
                <w:rFonts w:asciiTheme="majorBidi" w:hAnsiTheme="majorBidi" w:cstheme="majorBidi"/>
              </w:rPr>
            </w:pPr>
          </w:p>
        </w:tc>
        <w:tc>
          <w:tcPr>
            <w:tcW w:w="2058" w:type="dxa"/>
            <w:vMerge/>
          </w:tcPr>
          <w:p w14:paraId="0FE25A29" w14:textId="77777777" w:rsidR="007B05D8" w:rsidRPr="000B695D" w:rsidRDefault="007B05D8" w:rsidP="001551A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3046" w:type="dxa"/>
          </w:tcPr>
          <w:p w14:paraId="79A996A8" w14:textId="77777777" w:rsidR="007B05D8" w:rsidRPr="00D74D5F" w:rsidRDefault="007B05D8" w:rsidP="001551A4">
            <w:pPr>
              <w:pStyle w:val="ListParagraph"/>
              <w:numPr>
                <w:ilvl w:val="0"/>
                <w:numId w:val="2"/>
              </w:numPr>
              <w:ind w:left="36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74D5F">
              <w:rPr>
                <w:rFonts w:asciiTheme="majorBidi" w:hAnsiTheme="majorBidi" w:cstheme="majorBidi"/>
                <w:color w:val="000000"/>
                <w:sz w:val="24"/>
                <w:szCs w:val="24"/>
              </w:rPr>
              <w:t>IL-6</w:t>
            </w:r>
            <w:r>
              <w:rPr>
                <w:rFonts w:asciiTheme="majorBidi" w:hAnsiTheme="majorBidi" w:cstheme="majorBidi"/>
                <w:color w:val="000000"/>
                <w:sz w:val="24"/>
                <w:szCs w:val="24"/>
              </w:rPr>
              <w:t>.</w:t>
            </w:r>
          </w:p>
        </w:tc>
        <w:tc>
          <w:tcPr>
            <w:tcW w:w="2535" w:type="dxa"/>
          </w:tcPr>
          <w:p w14:paraId="7A059AF9" w14:textId="77777777" w:rsidR="007B05D8" w:rsidRPr="00893643" w:rsidRDefault="007B05D8" w:rsidP="001551A4">
            <w:pPr>
              <w:pStyle w:val="ListParagraph"/>
              <w:numPr>
                <w:ilvl w:val="0"/>
                <w:numId w:val="7"/>
              </w:numPr>
              <w:ind w:left="158"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893643">
              <w:rPr>
                <w:rFonts w:asciiTheme="majorBidi" w:hAnsiTheme="majorBidi" w:cstheme="majorBidi"/>
                <w:noProof/>
                <w:color w:val="000000"/>
                <w:sz w:val="24"/>
                <w:szCs w:val="24"/>
              </w:rPr>
              <w:t>Barr et al., 2012)</w:t>
            </w:r>
          </w:p>
        </w:tc>
      </w:tr>
      <w:tr w:rsidR="007B05D8" w:rsidRPr="000B695D" w14:paraId="3A83FCC6" w14:textId="77777777" w:rsidTr="001551A4">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1721" w:type="dxa"/>
            <w:vMerge/>
          </w:tcPr>
          <w:p w14:paraId="47CD4887" w14:textId="77777777" w:rsidR="007B05D8" w:rsidRPr="00800124" w:rsidRDefault="007B05D8" w:rsidP="001551A4">
            <w:pPr>
              <w:spacing w:after="200" w:line="276" w:lineRule="auto"/>
              <w:rPr>
                <w:rFonts w:asciiTheme="majorBidi" w:hAnsiTheme="majorBidi" w:cstheme="majorBidi"/>
              </w:rPr>
            </w:pPr>
          </w:p>
        </w:tc>
        <w:tc>
          <w:tcPr>
            <w:tcW w:w="2058" w:type="dxa"/>
            <w:vMerge/>
          </w:tcPr>
          <w:p w14:paraId="29642B6D" w14:textId="77777777" w:rsidR="007B05D8" w:rsidRPr="000B695D" w:rsidRDefault="007B05D8" w:rsidP="001551A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3046" w:type="dxa"/>
          </w:tcPr>
          <w:p w14:paraId="02E2B9E9" w14:textId="77777777" w:rsidR="007B05D8" w:rsidRPr="00D74D5F" w:rsidRDefault="007B05D8" w:rsidP="001551A4">
            <w:pPr>
              <w:pStyle w:val="ListParagraph"/>
              <w:numPr>
                <w:ilvl w:val="0"/>
                <w:numId w:val="2"/>
              </w:numPr>
              <w:ind w:left="36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74D5F">
              <w:rPr>
                <w:rFonts w:asciiTheme="majorBidi" w:hAnsiTheme="majorBidi" w:cstheme="majorBidi"/>
                <w:color w:val="000000"/>
                <w:sz w:val="24"/>
                <w:szCs w:val="24"/>
              </w:rPr>
              <w:t>GM-CSF, TNF-α, and LT-α and T cells activation</w:t>
            </w:r>
            <w:r>
              <w:rPr>
                <w:rFonts w:asciiTheme="majorBidi" w:hAnsiTheme="majorBidi" w:cstheme="majorBidi"/>
                <w:color w:val="000000"/>
                <w:sz w:val="24"/>
                <w:szCs w:val="24"/>
              </w:rPr>
              <w:t>.</w:t>
            </w:r>
            <w:r w:rsidRPr="00D74D5F">
              <w:rPr>
                <w:rFonts w:asciiTheme="majorBidi" w:hAnsiTheme="majorBidi" w:cstheme="majorBidi"/>
                <w:color w:val="000000"/>
                <w:sz w:val="24"/>
                <w:szCs w:val="24"/>
              </w:rPr>
              <w:t xml:space="preserve"> </w:t>
            </w:r>
          </w:p>
        </w:tc>
        <w:tc>
          <w:tcPr>
            <w:tcW w:w="2535" w:type="dxa"/>
          </w:tcPr>
          <w:p w14:paraId="4F02D3CB" w14:textId="77777777" w:rsidR="007B05D8" w:rsidRPr="00893643" w:rsidRDefault="007B05D8" w:rsidP="001551A4">
            <w:pPr>
              <w:pStyle w:val="ListParagraph"/>
              <w:numPr>
                <w:ilvl w:val="0"/>
                <w:numId w:val="7"/>
              </w:numPr>
              <w:ind w:left="158"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Pr>
            </w:pPr>
            <w:r w:rsidRPr="00893643">
              <w:rPr>
                <w:rFonts w:asciiTheme="majorBidi" w:hAnsiTheme="majorBidi" w:cstheme="majorBidi"/>
                <w:color w:val="000000"/>
                <w:sz w:val="24"/>
                <w:szCs w:val="24"/>
              </w:rPr>
              <w:fldChar w:fldCharType="begin" w:fldLock="1"/>
            </w:r>
            <w:r w:rsidRPr="00893643">
              <w:rPr>
                <w:rFonts w:asciiTheme="majorBidi" w:hAnsiTheme="majorBidi" w:cstheme="majorBidi"/>
                <w:color w:val="000000"/>
                <w:sz w:val="24"/>
                <w:szCs w:val="24"/>
              </w:rPr>
              <w:instrText>ADDIN CSL_CITATION {"citationItems":[{"id":"ITEM-1","itemData":{"DOI":"10.1126/scitranslmed.aab4176","ISSN":"19466242","PMID":"26491076","abstract":"B cells are not limited to producing protective antibodies; they also perform additional functions relevant to both health and disease. However, the relative contribution of functionally distinct B cell subsets in human disease, the signals that regulate the balance between such subsets, and which of these subsets underlie the benefits of B cell depletion therapy (BCDT) are only partially elucidated. We describe a proinflammatory, granulocyte macrophage-colony stimulating factor (GM-CSF)-expressing human memory B cell subset that is increased in frequency and more readily induced in multiple sclerosis (MS) patients compared to healthy controls. In vitro, GM-CSF-expressing B cells efficiently activated myeloid cells in a GM-CSF-dependent manner, and in vivo, BCDT resulted in a GM-CSF- dependent decrease in proinflammatory myeloid responses of MS patients. A signal transducer and activator of transcription 5 (STAT5)- and STAT6-dependent mechanism was required for B cell GM-CSF production and reciprocally regulated the generation of regulatory IL-10-expressing B cells. STAT5/6 signaling was enhanced in B cells of untreated MS patients compared with healthy controls, and B cells reemerging in patients after BCDT normalized their STAT5/6 signaling as well as their GM-CSF/IL-10 cytokine secretion ratios. The diminished proinflammatory myeloid cell responses observed after BCDT persisted even as new B cells reconstituted. These data implicate a proinflammatory B cell/myeloid cell axis in disease and underscore the rationale for selective targeting of distinct B cell populations in MS and other human autoimmune diseases.","author":[{"dropping-particle":"","family":"Li","given":"Rui","non-dropping-particle":"","parse-names":false,"suffix":""},{"dropping-particle":"","family":"Rezk","given":"Ayman","non-dropping-particle":"","parse-names":false,"suffix":""},{"dropping-particle":"","family":"Miyazaki","given":"Yusei","non-dropping-particle":"","parse-names":false,"suffix":""},{"dropping-particle":"","family":"Hilgenberg","given":"Ellen","non-dropping-particle":"","parse-names":false,"suffix":""},{"dropping-particle":"","family":"Touil","given":"Hanane","non-dropping-particle":"","parse-names":false,"suffix":""},{"dropping-particle":"","family":"Shen","given":"Ping","non-dropping-particle":"","parse-names":false,"suffix":""},{"dropping-particle":"","family":"Moore","given":"Craig S.","non-dropping-particle":"","parse-names":false,"suffix":""},{"dropping-particle":"","family":"Michel","given":"Laure","non-dropping-particle":"","parse-names":false,"suffix":""},{"dropping-particle":"","family":"Althekair","given":"Faisal","non-dropping-particle":"","parse-names":false,"suffix":""},{"dropping-particle":"","family":"Rajasekharan","given":"Sathy","non-dropping-particle":"","parse-names":false,"suffix":""},{"dropping-particle":"","family":"Gommerman","given":"Jennifer L.","non-dropping-particle":"","parse-names":false,"suffix":""},{"dropping-particle":"","family":"Prat","given":"Alexandre","non-dropping-particle":"","parse-names":false,"suffix":""},{"dropping-particle":"","family":"Fillatreau","given":"Simon","non-dropping-particle":"","parse-names":false,"suffix":""},{"dropping-particle":"","family":"Bar-Or","given":"Amit","non-dropping-particle":"","parse-names":false,"suffix":""}],"container-title":"Science Translational Medicine","id":"ITEM-1","issue":"310","issued":{"date-parts":[["2015","10","21"]]},"publisher":"American Association for the Advancement of Science","title":"Proinflammatory GM-CSF-producing B cells in multiple sclerosis and B cell depletion therapy","type":"article-journal","volume":"7"},"uris":["http://www.mendeley.com/documents/?uuid=319059f9-3e3c-3f80-a6d9-e15ecaf53b06"]}],"mendeley":{"formattedCitation":"(Li et al., 2015a)","plainTextFormattedCitation":"(Li et al., 2015a)","previouslyFormattedCitation":"(Li et al., 2015a)"},"properties":{"noteIndex":0},"schema":"https://github.com/citation-style-language/schema/raw/master/csl-citation.json"}</w:instrText>
            </w:r>
            <w:r w:rsidRPr="00893643">
              <w:rPr>
                <w:rFonts w:asciiTheme="majorBidi" w:hAnsiTheme="majorBidi" w:cstheme="majorBidi"/>
                <w:color w:val="000000"/>
                <w:sz w:val="24"/>
                <w:szCs w:val="24"/>
              </w:rPr>
              <w:fldChar w:fldCharType="separate"/>
            </w:r>
            <w:r w:rsidRPr="00893643">
              <w:rPr>
                <w:rFonts w:asciiTheme="majorBidi" w:hAnsiTheme="majorBidi" w:cstheme="majorBidi"/>
                <w:noProof/>
                <w:color w:val="000000"/>
                <w:sz w:val="24"/>
                <w:szCs w:val="24"/>
              </w:rPr>
              <w:t>(Li et al., 2015a)</w:t>
            </w:r>
            <w:r w:rsidRPr="00893643">
              <w:rPr>
                <w:rFonts w:asciiTheme="majorBidi" w:hAnsiTheme="majorBidi" w:cstheme="majorBidi"/>
                <w:color w:val="000000"/>
                <w:sz w:val="24"/>
                <w:szCs w:val="24"/>
              </w:rPr>
              <w:fldChar w:fldCharType="end"/>
            </w:r>
            <w:r w:rsidRPr="00893643">
              <w:rPr>
                <w:rFonts w:asciiTheme="majorBidi" w:hAnsiTheme="majorBidi" w:cstheme="majorBidi"/>
                <w:color w:val="000000"/>
                <w:sz w:val="24"/>
                <w:szCs w:val="24"/>
              </w:rPr>
              <w:t xml:space="preserve">, </w:t>
            </w:r>
            <w:r w:rsidRPr="00893643">
              <w:rPr>
                <w:rFonts w:asciiTheme="majorBidi" w:hAnsiTheme="majorBidi" w:cstheme="majorBidi"/>
                <w:color w:val="000000"/>
                <w:sz w:val="24"/>
                <w:szCs w:val="24"/>
              </w:rPr>
              <w:fldChar w:fldCharType="begin" w:fldLock="1"/>
            </w:r>
            <w:r w:rsidRPr="00893643">
              <w:rPr>
                <w:rFonts w:asciiTheme="majorBidi" w:hAnsiTheme="majorBidi" w:cstheme="majorBidi"/>
                <w:color w:val="000000"/>
                <w:sz w:val="24"/>
                <w:szCs w:val="24"/>
              </w:rPr>
              <w:instrText>ADDIN CSL_CITATION {"citationItems":[{"id":"ITEM-1","itemData":{"DOI":"10.1002/ana.21939","ISSN":"03645134","PMID":"20437580","abstract":"Objective: To study antibody-independent contributions of B cells to inflammatory disease activity, and the immune consequences of B-cell depletion with rituximab, in patients with multiple sclerosis (MS). Methods: B-Cell effector-cytokine responses were compared between MS patients and matched controls using a 3-signal model of activation. The effects of B-cell depletion on Th1/Th17 CD4 and CD8 T-cell responses in MS patients were assessed both ex vivo and in vivo, together with pharmacokinetic/pharmacodynamic studies as part of 2 rituximab clinical trials in relapsing-remitting MS. Results: B Cells of MS patients exhibited aberrant proinflammatory cytokine responses, including increased lymphotoxin (LT):interleukin-10 ratios and exaggerated LT and tumor necrosis factor (TNF)-α secretion, when activated in the context of the pathogen-associated TLR9-ligand CpG-DNA, or the Th1 cytokine interferon-γ, respectively. B-Cell depletion, both ex vivo and in vivo, resulted in significantly diminished proinflammatory (Th1 and Th17) responses of both CD4 and CD8 T cells. Soluble products from activated B cells of untreated MS patients reconstituted the diminished T-cell responses observed following in vivo B-cell depletion in the same patients, and this effect appeared to be largely mediated by B-cell LT and TNFα. Interpretation: We propose that episodic triggering of abnormal B-cell cytokine responses mediates 'bystander activation' of disease-relevant proinflammatory T cells, resulting in new relapsing MS disease activity. Our findings point to a plausible mechanism for the long-recognized association between infections and new MS relapses, and provide novel insights into B-cell roles in both health and disease, and into mechanisms contributing to therapeutic effects of B-cell depletion in human autoimmune diseases, including MS. © 2010 American Neurological Association.","author":[{"dropping-particle":"","family":"Bar-Or","given":"Amit","non-dropping-particle":"","parse-names":false,"suffix":""},{"dropping-particle":"","family":"Fawaz","given":"Lama","non-dropping-particle":"","parse-names":false,"suffix":""},{"dropping-particle":"","family":"Fan","given":"Boli","non-dropping-particle":"","parse-names":false,"suffix":""},{"dropping-particle":"","family":"Darlington","given":"Peter J.","non-dropping-particle":"","parse-names":false,"suffix":""},{"dropping-particle":"","family":"Rieger","given":"Aja","non-dropping-particle":"","parse-names":false,"suffix":""},{"dropping-particle":"","family":"Ghorayeb","given":"Christine","non-dropping-particle":"","parse-names":false,"suffix":""},{"dropping-particle":"","family":"Calabresi","given":"Peter A.","non-dropping-particle":"","parse-names":false,"suffix":""},{"dropping-particle":"","family":"Waubant","given":"Emmanuelle","non-dropping-particle":"","parse-names":false,"suffix":""},{"dropping-particle":"","family":"Hauser","given":"Stephen L.","non-dropping-particle":"","parse-names":false,"suffix":""},{"dropping-particle":"","family":"Zhang","given":"Jiameng","non-dropping-particle":"","parse-names":false,"suffix":""},{"dropping-particle":"","family":"Smith","given":"Craig H.","non-dropping-particle":"","parse-names":false,"suffix":""}],"container-title":"Annals of Neurology","id":"ITEM-1","issue":"4","issued":{"date-parts":[["2010","4"]]},"page":"452-461","publisher":"Ann Neurol","title":"Abnormal B-cell cytokine responses a trigger of T-cell-mediated disease in MS?","type":"article-journal","volume":"67"},"uris":["http://www.mendeley.com/documents/?uuid=d278ba2b-3ac9-3937-a710-a5b19f955197"]},{"id":"ITEM-2","itemData":{"DOI":"10.3389/fimmu.2015.00626","ISSN":"16643224","abstract":"Important antibody-independent pathogenic roles of B cells are emerging in autoimmune diseases, including multiple sclerosis (MS). The contrasting results of different treatments targeting B cells in patients (in spite of predictions of therapeutic benefits from animal models) call for a better understanding of the multiple roles that distinct human B cell responses likely play in MS. In recent years, both murine and human B cells have been identified with distinct functional properties related to their expression of particular cytokines. These have included regulatory (Breg) B cells (secreting interleukin (IL)-10 or IL-35) and pro-inflammatory B cells (secreting tumor necrosis factor α, LTα, IL-6, and granulocyte macrophage colony-stimulating factor). Better understanding of human cytokine-defined B cell responses is necessary in both health and diseases, such as MS. Investigation of their surface phenotype, distinct functions, and the mechanisms of regulation (both cell intrinsic and cell extrinsic) may help develop effective treatments that are more selective and safe. In this review, we focus on mechanisms by which cytokine-defined B cells contribute to the peripheral immune cascades that are thought to underlie MS relapses, and the impact of B cell-directed therapies on these mechanisms.","author":[{"dropping-particle":"","family":"Li","given":"Rui","non-dropping-particle":"","parse-names":false,"suffix":""},{"dropping-particle":"","family":"Rezk","given":"Ayman","non-dropping-particle":"","parse-names":false,"suffix":""},{"dropping-particle":"","family":"Healy","given":"Luke M.","non-dropping-particle":"","parse-names":false,"suffix":""},{"dropping-particle":"","family":"Muirhead","given":"Gillian","non-dropping-particle":"","parse-names":false,"suffix":""},{"dropping-particle":"","family":"Prat","given":"Alexandre","non-dropping-particle":"","parse-names":false,"suffix":""},{"dropping-particle":"","family":"Gommerman","given":"Jennifer L.","non-dropping-particle":"","parse-names":false,"suffix":""},{"dropping-particle":"","family":"Bar-Or","given":"Amit","non-dropping-particle":"","parse-names":false,"suffix":""}],"container-title":"Frontiers in Immunology","id":"ITEM-2","issue":"JAN","issued":{"date-parts":[["2016"]]},"publisher":"Frontiers Media S.A.","title":"Cytokine-defined B cell responses as therapeutic targets in multiple sclerosis","type":"article","volume":"6"},"uris":["http://www.mendeley.com/documents/?uuid=d9db0990-6012-3afc-8713-15011ff694ce"]},{"id":"ITEM-3","itemData":{"DOI":"10.4049/jimmunol.1601572","ISSN":"0022-1767","PMID":"28275140","abstract":"Fungal infections (e.g., Candida albicans) can manifest as serious medical illnesses, especially in the elderly and immune-compromised hosts. T cells are important for Candida control. Whether and how B cells are involved in antifungal immunity has been less clear. Although patients with agammaglobulinemia exhibit normal antifungal immunity, increased fungal infections are reported following B cell–depleting therapy, together pointing to Ab-independent roles of B cells in controlling such infections. To test how human B cells may contribute to fungal-associated human T cell responses, we developed a novel Ag-specific human T cell/B cell in vitro coculture system and found that human B cells could induce C. albicans–associated, MHC class II–restricted responses of naive T cells. Activated B cells significantly enhanced C. albicans–mediated Th1 and Th17 T cell responses, which were both strongly induced by CD80/CD86 costimulation. IL-6+GM-CSF+ B cells were the major responding B cell subpopulation to C. albicans and provided efficient costimulatory signals to the T cells. In vivo B cell depletion in humans resulted in reduced C. albicans–associated T responses. Of note, the decreased Th17, but not Th1, responses could be reversed by soluble factors from B cells prior to depletion, in an IL-6–dependent manner. Taken together, our results implicate an Ab-independent cytokine-defined B cell role in human antifungal T cell responses. These findings may be particularly relevant given the prospects of chronic B cell depletion therapy use in lymphoma and autoimmune disease, as patients age and are exposed to serial combination therapies.","author":[{"dropping-particle":"","family":"Li","given":"Rui","non-dropping-particle":"","parse-names":false,"suffix":""},{"dropping-particle":"","family":"Rezk","given":"Ayman","non-dropping-particle":"","parse-names":false,"suffix":""},{"dropping-particle":"","family":"Li","given":"Hulun","non-dropping-particle":"","parse-names":false,"suffix":""},{"dropping-particle":"","family":"Gommerman","given":"Jennifer L.","non-dropping-particle":"","parse-names":false,"suffix":""},{"dropping-particle":"","family":"Prat","given":"Alexandre","non-dropping-particle":"","parse-names":false,"suffix":""},{"dropping-particle":"","family":"Bar-Or","given":"Amit","non-dropping-particle":"","parse-names":false,"suffix":""}],"container-title":"The Journal of Immunology","id":"ITEM-3","issue":"8","issued":{"date-parts":[["2017","4","15"]]},"page":"3245-3254","publisher":"The American Association of Immunologists","title":"Antibody-Independent Function of Human B Cells Contributes to Antifungal T Cell Responses","type":"article-journal","volume":"198"},"uris":["http://www.mendeley.com/documents/?uuid=73db204b-6195-33f1-b07a-7211e33212c6"]}],"mendeley":{"formattedCitation":"(Bar-Or et al., 2010; Li et al., 2017, 2016)","plainTextFormattedCitation":"(Bar-Or et al., 2010; Li et al., 2017, 2016)","previouslyFormattedCitation":"(Bar-Or et al., 2010; Li et al., 2017, 2016)"},"properties":{"noteIndex":0},"schema":"https://github.com/citation-style-language/schema/raw/master/csl-citation.json"}</w:instrText>
            </w:r>
            <w:r w:rsidRPr="00893643">
              <w:rPr>
                <w:rFonts w:asciiTheme="majorBidi" w:hAnsiTheme="majorBidi" w:cstheme="majorBidi"/>
                <w:color w:val="000000"/>
                <w:sz w:val="24"/>
                <w:szCs w:val="24"/>
              </w:rPr>
              <w:fldChar w:fldCharType="separate"/>
            </w:r>
            <w:r w:rsidRPr="00893643">
              <w:rPr>
                <w:rFonts w:asciiTheme="majorBidi" w:hAnsiTheme="majorBidi" w:cstheme="majorBidi"/>
                <w:noProof/>
                <w:color w:val="000000"/>
                <w:sz w:val="24"/>
                <w:szCs w:val="24"/>
              </w:rPr>
              <w:t>(Bar-Or et al., 2010; Li et al., 2017, 2016)</w:t>
            </w:r>
            <w:r w:rsidRPr="00893643">
              <w:rPr>
                <w:rFonts w:asciiTheme="majorBidi" w:hAnsiTheme="majorBidi" w:cstheme="majorBidi"/>
                <w:color w:val="000000"/>
                <w:sz w:val="24"/>
                <w:szCs w:val="24"/>
              </w:rPr>
              <w:fldChar w:fldCharType="end"/>
            </w:r>
            <w:r w:rsidRPr="00893643">
              <w:rPr>
                <w:rFonts w:asciiTheme="majorBidi" w:hAnsiTheme="majorBidi" w:cstheme="majorBidi"/>
                <w:color w:val="000000"/>
                <w:sz w:val="24"/>
                <w:szCs w:val="24"/>
              </w:rPr>
              <w:t>.</w:t>
            </w:r>
          </w:p>
        </w:tc>
      </w:tr>
      <w:tr w:rsidR="007B05D8" w:rsidRPr="000B695D" w14:paraId="585ADDF2" w14:textId="77777777" w:rsidTr="001551A4">
        <w:trPr>
          <w:trHeight w:val="813"/>
        </w:trPr>
        <w:tc>
          <w:tcPr>
            <w:cnfStyle w:val="001000000000" w:firstRow="0" w:lastRow="0" w:firstColumn="1" w:lastColumn="0" w:oddVBand="0" w:evenVBand="0" w:oddHBand="0" w:evenHBand="0" w:firstRowFirstColumn="0" w:firstRowLastColumn="0" w:lastRowFirstColumn="0" w:lastRowLastColumn="0"/>
            <w:tcW w:w="1721" w:type="dxa"/>
            <w:vMerge w:val="restart"/>
          </w:tcPr>
          <w:p w14:paraId="7485033B" w14:textId="77777777" w:rsidR="007B05D8" w:rsidRPr="00800124" w:rsidRDefault="007B05D8" w:rsidP="001551A4">
            <w:pPr>
              <w:spacing w:after="200" w:line="276" w:lineRule="auto"/>
              <w:rPr>
                <w:rFonts w:asciiTheme="majorBidi" w:hAnsiTheme="majorBidi" w:cstheme="majorBidi"/>
              </w:rPr>
            </w:pPr>
            <w:r w:rsidRPr="00800124">
              <w:rPr>
                <w:rFonts w:asciiTheme="majorBidi" w:hAnsiTheme="majorBidi" w:cstheme="majorBidi"/>
              </w:rPr>
              <w:t>B- Innate Immunity</w:t>
            </w:r>
          </w:p>
        </w:tc>
        <w:tc>
          <w:tcPr>
            <w:tcW w:w="2058" w:type="dxa"/>
            <w:vMerge w:val="restart"/>
          </w:tcPr>
          <w:p w14:paraId="2DD9DD54" w14:textId="77777777" w:rsidR="007B05D8" w:rsidRPr="000B695D" w:rsidRDefault="007B05D8" w:rsidP="001551A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B695D">
              <w:rPr>
                <w:rFonts w:asciiTheme="majorBidi" w:hAnsiTheme="majorBidi" w:cstheme="majorBidi"/>
                <w:sz w:val="24"/>
                <w:szCs w:val="24"/>
              </w:rPr>
              <w:t>Dendritic Cells</w:t>
            </w:r>
          </w:p>
        </w:tc>
        <w:tc>
          <w:tcPr>
            <w:tcW w:w="3046" w:type="dxa"/>
          </w:tcPr>
          <w:p w14:paraId="1A0CB2C3" w14:textId="77777777" w:rsidR="007B05D8" w:rsidRPr="00CC4614" w:rsidRDefault="007B05D8" w:rsidP="001551A4">
            <w:pPr>
              <w:pStyle w:val="ListParagraph"/>
              <w:numPr>
                <w:ilvl w:val="0"/>
                <w:numId w:val="1"/>
              </w:numPr>
              <w:spacing w:after="0" w:line="240" w:lineRule="auto"/>
              <w:ind w:left="36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C4614">
              <w:rPr>
                <w:rFonts w:asciiTheme="majorBidi" w:hAnsiTheme="majorBidi" w:cstheme="majorBidi"/>
                <w:sz w:val="24"/>
                <w:szCs w:val="24"/>
              </w:rPr>
              <w:t xml:space="preserve">T cells activation to effector T cells </w:t>
            </w:r>
          </w:p>
        </w:tc>
        <w:tc>
          <w:tcPr>
            <w:tcW w:w="2535" w:type="dxa"/>
          </w:tcPr>
          <w:p w14:paraId="7432B51C" w14:textId="77777777" w:rsidR="007B05D8" w:rsidRPr="00CC4614" w:rsidRDefault="007B05D8" w:rsidP="001551A4">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C4614">
              <w:rPr>
                <w:rFonts w:asciiTheme="majorBidi" w:hAnsiTheme="majorBidi" w:cstheme="majorBidi"/>
                <w:sz w:val="24"/>
                <w:szCs w:val="24"/>
              </w:rPr>
              <w:fldChar w:fldCharType="begin" w:fldLock="1"/>
            </w:r>
            <w:r w:rsidRPr="00CC4614">
              <w:rPr>
                <w:rFonts w:asciiTheme="majorBidi" w:hAnsiTheme="majorBidi" w:cstheme="majorBidi"/>
                <w:sz w:val="24"/>
                <w:szCs w:val="24"/>
              </w:rPr>
              <w:instrText>ADDIN CSL_CITATION {"citationItems":[{"id":"ITEM-1","itemData":{"DOI":"10.1084/jem.20011603","ISSN":"00221007","PMID":"11901196","abstract":"Although CD8 T cell-mediated immunosuppression has been a well-known phenomenon during the last three decades, the nature of primary CD8 T suppressor cells and the mechanism underlying their generation remain enigmatic. We demonstrated that naive CD8 T cells primed with allogeneic CD40 ligand-activated plasmacytoid dendritic cells (DC)2 differentiated into CD8 T cells that displayed poor secondary proliferative and cytolytic responses. By contrast, naive CD8 T cells primed with allogeneic CD40 ligand-activated monocyte-derived DCs (DC1) differentiated into CD8 T cells, which proliferated to secondary stimulation and killed allogeneic target cells. Unlike DC1-primed CD8 T cells that produced large amounts of interferon (IFN)-γ upon restimulation, DC2-primed CD8 T cells produced significant amounts of interleukin (IL)-10, low IFN-γ, and no IL-4, IL-5, nor transforming growth factor (TGF)-β: The addition of anti-IL-10-neutralizing monoclonal antibodies during DC2 and CD8 T cell coculture, completely blocked the generation of IL-10-producing anergic CD8 T cells. IL-10-producing CD8 T cells strongly inhibit the allospecific proliferation of naive CD8 T cells to monocytes, and mature and immature DCs. This inhibition was mediated by IL-10, but not by TGF-Β. IL-10-producing CD8 T cells could inhibit the bystander proliferation of naive CD8 T cells, provided that they were restimulated nearby to produce IL-10. IL-10-producing CD8 T cells could not inhibit the proliferation of DC1-preactivated effector T cells. This study demonstrates that IL-10-producing CD8 T cells are regulatory T cells, which provides a cellular basis for the phenomenon of CD8 T cell-mediated immunosuppression and suggests a role for plasmacytoid DC2 in immunological tolerance.","author":[{"dropping-particle":"","family":"Gilliet","given":"Michel","non-dropping-particle":"","parse-names":false,"suffix":""},{"dropping-particle":"","family":"Liu","given":"Yong Jun","non-dropping-particle":"","parse-names":false,"suffix":""}],"container-title":"Journal of Experimental Medicine","id":"ITEM-1","issue":"6","issued":{"date-parts":[["2002","3","18"]]},"page":"695-704","publisher":"J Exp Med","title":"Generation of human CD8 T regulatory cells by CD40 ligand-activated plasmacytoid dendritic cells","type":"article-journal","volume":"195"},"uris":["http://www.mendeley.com/documents/?uuid=a9af1450-e090-364e-9205-84f6e05e38f8"]}],"mendeley":{"formattedCitation":"(Gilliet and Liu, 2002)","plainTextFormattedCitation":"(Gilliet and Liu, 2002)","previouslyFormattedCitation":"(Gilliet and Liu, 2002)"},"properties":{"noteIndex":0},"schema":"https://github.com/citation-style-language/schema/raw/master/csl-citation.json"}</w:instrText>
            </w:r>
            <w:r w:rsidRPr="00CC4614">
              <w:rPr>
                <w:rFonts w:asciiTheme="majorBidi" w:hAnsiTheme="majorBidi" w:cstheme="majorBidi"/>
                <w:sz w:val="24"/>
                <w:szCs w:val="24"/>
              </w:rPr>
              <w:fldChar w:fldCharType="separate"/>
            </w:r>
            <w:r w:rsidRPr="00CC4614">
              <w:rPr>
                <w:rFonts w:asciiTheme="majorBidi" w:hAnsiTheme="majorBidi" w:cstheme="majorBidi"/>
                <w:noProof/>
                <w:sz w:val="24"/>
                <w:szCs w:val="24"/>
              </w:rPr>
              <w:t>Gilliet and Liu, 2002)</w:t>
            </w:r>
            <w:r w:rsidRPr="00CC4614">
              <w:rPr>
                <w:rFonts w:asciiTheme="majorBidi" w:hAnsiTheme="majorBidi" w:cstheme="majorBidi"/>
                <w:sz w:val="24"/>
                <w:szCs w:val="24"/>
              </w:rPr>
              <w:fldChar w:fldCharType="end"/>
            </w:r>
          </w:p>
        </w:tc>
      </w:tr>
      <w:tr w:rsidR="007B05D8" w:rsidRPr="000B695D" w14:paraId="6A902317" w14:textId="77777777" w:rsidTr="001551A4">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1721" w:type="dxa"/>
            <w:vMerge/>
          </w:tcPr>
          <w:p w14:paraId="3101609C" w14:textId="77777777" w:rsidR="007B05D8" w:rsidRPr="00800124" w:rsidRDefault="007B05D8" w:rsidP="001551A4">
            <w:pPr>
              <w:spacing w:after="200" w:line="276" w:lineRule="auto"/>
              <w:rPr>
                <w:rFonts w:asciiTheme="majorBidi" w:hAnsiTheme="majorBidi" w:cstheme="majorBidi"/>
                <w:b w:val="0"/>
                <w:bCs w:val="0"/>
              </w:rPr>
            </w:pPr>
          </w:p>
        </w:tc>
        <w:tc>
          <w:tcPr>
            <w:tcW w:w="2058" w:type="dxa"/>
            <w:vMerge/>
          </w:tcPr>
          <w:p w14:paraId="1CE41664" w14:textId="77777777" w:rsidR="007B05D8" w:rsidRPr="000B695D" w:rsidRDefault="007B05D8" w:rsidP="001551A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3046" w:type="dxa"/>
          </w:tcPr>
          <w:p w14:paraId="753BCC5F" w14:textId="77777777" w:rsidR="007B05D8" w:rsidRPr="00CC4614" w:rsidRDefault="007B05D8" w:rsidP="001551A4">
            <w:pPr>
              <w:pStyle w:val="ListParagraph"/>
              <w:numPr>
                <w:ilvl w:val="0"/>
                <w:numId w:val="1"/>
              </w:numPr>
              <w:spacing w:after="0" w:line="240" w:lineRule="auto"/>
              <w:ind w:left="36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C4614">
              <w:rPr>
                <w:rFonts w:asciiTheme="majorBidi" w:hAnsiTheme="majorBidi" w:cstheme="majorBidi"/>
                <w:sz w:val="24"/>
                <w:szCs w:val="24"/>
              </w:rPr>
              <w:t xml:space="preserve">NK cell-mediated cytotoxicity induction </w:t>
            </w:r>
          </w:p>
          <w:p w14:paraId="121C54BF" w14:textId="77777777" w:rsidR="007B05D8" w:rsidRPr="00CC4614" w:rsidRDefault="007B05D8" w:rsidP="001551A4">
            <w:pPr>
              <w:pStyle w:val="ListParagraph"/>
              <w:spacing w:after="0" w:line="240" w:lineRule="auto"/>
              <w:ind w:left="36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2535" w:type="dxa"/>
          </w:tcPr>
          <w:p w14:paraId="63EBDD28" w14:textId="77777777" w:rsidR="007B05D8" w:rsidRPr="00CC4614" w:rsidRDefault="007B05D8" w:rsidP="001551A4">
            <w:pPr>
              <w:pStyle w:val="ListParagraph"/>
              <w:numPr>
                <w:ilvl w:val="0"/>
                <w:numId w:val="1"/>
              </w:num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CC4614">
              <w:rPr>
                <w:rFonts w:asciiTheme="majorBidi" w:hAnsiTheme="majorBidi" w:cstheme="majorBidi"/>
                <w:sz w:val="24"/>
                <w:szCs w:val="24"/>
              </w:rPr>
              <w:fldChar w:fldCharType="begin" w:fldLock="1"/>
            </w:r>
            <w:r w:rsidRPr="00CC4614">
              <w:rPr>
                <w:rFonts w:asciiTheme="majorBidi" w:hAnsiTheme="majorBidi" w:cstheme="majorBidi"/>
                <w:sz w:val="24"/>
                <w:szCs w:val="24"/>
              </w:rPr>
              <w:instrText>ADDIN CSL_CITATION {"citationItems":[{"id":"ITEM-1","itemData":{"DOI":"10.1038/7403","ISSN":"10788956","PMID":"10202929","abstract":"Cytotoxic T lymphocytes and natural killer cells are essential effectors of anti-tumor immune responses in vivo. Dendritic cells (DC) 'prime' tumor antigen-specific cytotoxic T lymphocytes; thus, we investigated whether DC might also trigger the innate, NK cell-mediated anti-tumor immunity. In mice with MHC class I-negative tumors, adoptively transferred- or Flt3 ligand- expanded DC promoted NK cell-dependent anti-tumor effects. In vitro studies demonstrated a cell-to-cell contact between DC and resting NK cells that resulted in a substantial increase in both NK cell cytolytic activity and IFN-γ production. Thus, DC are involved in the interaction between innate and adaptive immune responses.","author":[{"dropping-particle":"","family":"Fernandez","given":"Nadine C.","non-dropping-particle":"","parse-names":false,"suffix":""},{"dropping-particle":"","family":"Lozier","given":"Anne","non-dropping-particle":"","parse-names":false,"suffix":""},{"dropping-particle":"","family":"Flament","given":"Caroline","non-dropping-particle":"","parse-names":false,"suffix":""},{"dropping-particle":"","family":"Ricciardi-Castagnoli","given":"Paola","non-dropping-particle":"","parse-names":false,"suffix":""},{"dropping-particle":"","family":"Bellet","given":"Dominique","non-dropping-particle":"","parse-names":false,"suffix":""},{"dropping-particle":"","family":"Suter","given":"Mark","non-dropping-particle":"","parse-names":false,"suffix":""},{"dropping-particle":"","family":"Perricaudet","given":"Michel","non-dropping-particle":"","parse-names":false,"suffix":""},{"dropping-particle":"","family":"Tursz","given":"Thomas","non-dropping-particle":"","parse-names":false,"suffix":""},{"dropping-particle":"","family":"Maraskovsky","given":"Eugene","non-dropping-particle":"","parse-names":false,"suffix":""},{"dropping-particle":"","family":"Zitvogel","given":"Laurence","non-dropping-particle":"","parse-names":false,"suffix":""}],"container-title":"Nature Medicine","id":"ITEM-1","issue":"4","issued":{"date-parts":[["1999","4"]]},"page":"405-411","publisher":"Nat Med","title":"Dendritic cells directly trigger NK cell functions: Cross-talk relevant in innate anti-tumor immune responses in vivo","type":"article-journal","volume":"5"},"uris":["http://www.mendeley.com/documents/?uuid=53be5c89-b316-320a-a65b-8d4db4f86323"]}],"mendeley":{"formattedCitation":"(Fernandez et al., 1999)","plainTextFormattedCitation":"(Fernandez et al., 1999)","previouslyFormattedCitation":"(Fernandez et al., 1999)"},"properties":{"noteIndex":0},"schema":"https://github.com/citation-style-language/schema/raw/master/csl-citation.json"}</w:instrText>
            </w:r>
            <w:r w:rsidRPr="00CC4614">
              <w:rPr>
                <w:rFonts w:asciiTheme="majorBidi" w:hAnsiTheme="majorBidi" w:cstheme="majorBidi"/>
                <w:sz w:val="24"/>
                <w:szCs w:val="24"/>
              </w:rPr>
              <w:fldChar w:fldCharType="separate"/>
            </w:r>
            <w:r w:rsidRPr="00CC4614">
              <w:rPr>
                <w:rFonts w:asciiTheme="majorBidi" w:hAnsiTheme="majorBidi" w:cstheme="majorBidi"/>
                <w:noProof/>
                <w:sz w:val="24"/>
                <w:szCs w:val="24"/>
              </w:rPr>
              <w:t>(Fernandez et al., 1999)</w:t>
            </w:r>
            <w:r w:rsidRPr="00CC4614">
              <w:rPr>
                <w:rFonts w:asciiTheme="majorBidi" w:hAnsiTheme="majorBidi" w:cstheme="majorBidi"/>
                <w:sz w:val="24"/>
                <w:szCs w:val="24"/>
              </w:rPr>
              <w:fldChar w:fldCharType="end"/>
            </w:r>
            <w:r w:rsidRPr="00CC4614">
              <w:rPr>
                <w:rFonts w:asciiTheme="majorBidi" w:hAnsiTheme="majorBidi" w:cstheme="majorBidi"/>
                <w:sz w:val="24"/>
                <w:szCs w:val="24"/>
              </w:rPr>
              <w:t>,</w:t>
            </w:r>
          </w:p>
        </w:tc>
      </w:tr>
      <w:tr w:rsidR="007B05D8" w:rsidRPr="000B695D" w14:paraId="487DF869" w14:textId="77777777" w:rsidTr="001551A4">
        <w:trPr>
          <w:trHeight w:val="556"/>
        </w:trPr>
        <w:tc>
          <w:tcPr>
            <w:cnfStyle w:val="001000000000" w:firstRow="0" w:lastRow="0" w:firstColumn="1" w:lastColumn="0" w:oddVBand="0" w:evenVBand="0" w:oddHBand="0" w:evenHBand="0" w:firstRowFirstColumn="0" w:firstRowLastColumn="0" w:lastRowFirstColumn="0" w:lastRowLastColumn="0"/>
            <w:tcW w:w="1721" w:type="dxa"/>
            <w:vMerge/>
          </w:tcPr>
          <w:p w14:paraId="369F2836" w14:textId="77777777" w:rsidR="007B05D8" w:rsidRPr="00800124" w:rsidRDefault="007B05D8" w:rsidP="001551A4">
            <w:pPr>
              <w:spacing w:after="200" w:line="276" w:lineRule="auto"/>
              <w:rPr>
                <w:rFonts w:asciiTheme="majorBidi" w:hAnsiTheme="majorBidi" w:cstheme="majorBidi"/>
                <w:b w:val="0"/>
                <w:bCs w:val="0"/>
              </w:rPr>
            </w:pPr>
          </w:p>
        </w:tc>
        <w:tc>
          <w:tcPr>
            <w:tcW w:w="2058" w:type="dxa"/>
            <w:vMerge/>
          </w:tcPr>
          <w:p w14:paraId="12D666F4" w14:textId="77777777" w:rsidR="007B05D8" w:rsidRPr="000B695D" w:rsidRDefault="007B05D8" w:rsidP="001551A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3046" w:type="dxa"/>
          </w:tcPr>
          <w:p w14:paraId="46384F1F" w14:textId="77777777" w:rsidR="007B05D8" w:rsidRDefault="007B05D8" w:rsidP="001551A4">
            <w:pPr>
              <w:pStyle w:val="ListParagraph"/>
              <w:numPr>
                <w:ilvl w:val="0"/>
                <w:numId w:val="1"/>
              </w:numPr>
              <w:spacing w:after="0" w:line="240" w:lineRule="auto"/>
              <w:ind w:left="36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382FBF">
              <w:rPr>
                <w:rFonts w:asciiTheme="majorBidi" w:hAnsiTheme="majorBidi" w:cstheme="majorBidi"/>
                <w:sz w:val="24"/>
                <w:szCs w:val="24"/>
              </w:rPr>
              <w:t>Production of IL-6,</w:t>
            </w:r>
            <w:r>
              <w:rPr>
                <w:rFonts w:asciiTheme="majorBidi" w:hAnsiTheme="majorBidi" w:cstheme="majorBidi"/>
                <w:sz w:val="24"/>
                <w:szCs w:val="24"/>
              </w:rPr>
              <w:t xml:space="preserve"> </w:t>
            </w:r>
            <w:r w:rsidRPr="00CC4614">
              <w:rPr>
                <w:rFonts w:asciiTheme="majorBidi" w:hAnsiTheme="majorBidi" w:cstheme="majorBidi"/>
                <w:sz w:val="24"/>
                <w:szCs w:val="24"/>
              </w:rPr>
              <w:t xml:space="preserve">IFN-γ, TNF-α </w:t>
            </w:r>
          </w:p>
          <w:p w14:paraId="79401FBD" w14:textId="77777777" w:rsidR="007B05D8" w:rsidRPr="00382FBF" w:rsidRDefault="007B05D8" w:rsidP="001551A4">
            <w:pPr>
              <w:pStyle w:val="ListParagraph"/>
              <w:spacing w:after="0" w:line="240" w:lineRule="auto"/>
              <w:ind w:left="36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2535" w:type="dxa"/>
          </w:tcPr>
          <w:p w14:paraId="2C0EA0CE" w14:textId="77777777" w:rsidR="007B05D8" w:rsidRPr="00CC4614" w:rsidRDefault="007B05D8" w:rsidP="001551A4">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C4614">
              <w:rPr>
                <w:rFonts w:asciiTheme="majorBidi" w:hAnsiTheme="majorBidi" w:cstheme="majorBidi"/>
                <w:sz w:val="24"/>
                <w:szCs w:val="24"/>
              </w:rPr>
              <w:fldChar w:fldCharType="begin" w:fldLock="1"/>
            </w:r>
            <w:r w:rsidRPr="00CC4614">
              <w:rPr>
                <w:rFonts w:asciiTheme="majorBidi" w:hAnsiTheme="majorBidi" w:cstheme="majorBidi"/>
                <w:sz w:val="24"/>
                <w:szCs w:val="24"/>
              </w:rPr>
              <w:instrText>ADDIN CSL_CITATION {"citationItems":[{"id":"ITEM-1","itemData":{"DOI":"10.1016/S0165-5728(99)00106-X","ISSN":"01655728","PMID":"10496180","abstract":"Recent evidence emphasises a pivotal role for dendritic cells (DC) in the control of immunity by priming and tolerising T cells. DC capture and process antigens, express co-stimulatory molecules, migrate to lymphoid organs and secrete cytokines to initiate immune responses. In multiple sclerosis (MS), autoreactive T cells are proposed to play a pathogenic role by secreting pro-inflammatory cytokines, but studies on DC are lacking. To evaluate the involvement of DC in patients with MS, a modified procedure was used to prepare DC from blood of patients with MS and healthy subjects. DC were found to be potent stimulators of T cells in allogeneic and, to a lesser extent, in autologous mixed leukocyte reaction (MLR). Enzyme-linked immunospot (ELISPOT) assays were adopted to determine levels of IFN-γ, TNF- α, IL-6 and IL-10 secreting DC vs. mononuclear cells (MNC). Proportionally more DC than MNC secreted IFN-γ and IL-10 in both MS and healthy subjects. Patients with MS had higher levels of IFN-γ, TNF-α and IL-6 secreting DC than healthy subjects. The differences for IFN-γ and TNF-α secreting cells were confined to the subgroup of untreated MS patients and not observed in the subgroup examined during ongoing treatment with IFN-β. Circulating DC secreting pro-inflammatory cytokines may represent another focus for the study of both immuno-pathogenesis and therapeutic interventions in MS.","author":[{"dropping-particle":"","family":"Huang","given":"Yu Min","non-dropping-particle":"","parse-names":false,"suffix":""},{"dropping-particle":"","family":"Xiao","given":"Bao Guo","non-dropping-particle":"","parse-names":false,"suffix":""},{"dropping-particle":"","family":"Özenci","given":"Volkan","non-dropping-particle":"","parse-names":false,"suffix":""},{"dropping-particle":"","family":"Kouwenhoven","given":"Mathilde","non-dropping-particle":"","parse-names":false,"suffix":""},{"dropping-particle":"","family":"Teleshova","given":"Natalia","non-dropping-particle":"","parse-names":false,"suffix":""},{"dropping-particle":"","family":"Fredrikson","given":"Sten","non-dropping-particle":"","parse-names":false,"suffix":""},{"dropping-particle":"","family":"Link","given":"Hans","non-dropping-particle":"","parse-names":false,"suffix":""}],"container-title":"Journal of Neuroimmunology","id":"ITEM-1","issue":"1","issued":{"date-parts":[["1999","9","1"]]},"page":"82-90","publisher":"J Neuroimmunol","title":"Multiple sclerosis is associated with high levels of circulating dendritic cells secreting pro-inflammatory cytokines","type":"article-journal","volume":"99"},"uris":["http://www.mendeley.com/documents/?uuid=74381cb9-0db3-3a2e-84a4-45658e46652d"]}],"mendeley":{"formattedCitation":"(Huang et al., 1999)","plainTextFormattedCitation":"(Huang et al., 1999)","previouslyFormattedCitation":"(Huang et al., 1999)"},"properties":{"noteIndex":0},"schema":"https://github.com/citation-style-language/schema/raw/master/csl-citation.json"}</w:instrText>
            </w:r>
            <w:r w:rsidRPr="00CC4614">
              <w:rPr>
                <w:rFonts w:asciiTheme="majorBidi" w:hAnsiTheme="majorBidi" w:cstheme="majorBidi"/>
                <w:sz w:val="24"/>
                <w:szCs w:val="24"/>
              </w:rPr>
              <w:fldChar w:fldCharType="separate"/>
            </w:r>
            <w:r w:rsidRPr="00CC4614">
              <w:rPr>
                <w:rFonts w:asciiTheme="majorBidi" w:hAnsiTheme="majorBidi" w:cstheme="majorBidi"/>
                <w:noProof/>
                <w:sz w:val="24"/>
                <w:szCs w:val="24"/>
                <w:lang w:val="de-DE"/>
              </w:rPr>
              <w:t>(Huang et al., 1999)</w:t>
            </w:r>
            <w:r w:rsidRPr="00CC4614">
              <w:rPr>
                <w:rFonts w:asciiTheme="majorBidi" w:hAnsiTheme="majorBidi" w:cstheme="majorBidi"/>
                <w:sz w:val="24"/>
                <w:szCs w:val="24"/>
              </w:rPr>
              <w:fldChar w:fldCharType="end"/>
            </w:r>
            <w:r w:rsidRPr="00CC4614">
              <w:rPr>
                <w:rFonts w:asciiTheme="majorBidi" w:hAnsiTheme="majorBidi" w:cstheme="majorBidi"/>
                <w:sz w:val="24"/>
                <w:szCs w:val="24"/>
                <w:lang w:val="de-DE"/>
              </w:rPr>
              <w:t xml:space="preserve">, </w:t>
            </w:r>
          </w:p>
          <w:p w14:paraId="483BBE26" w14:textId="77777777" w:rsidR="007B05D8" w:rsidRDefault="007B05D8" w:rsidP="001551A4">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p w14:paraId="36FAA44D" w14:textId="77777777" w:rsidR="007B05D8" w:rsidRPr="00382FBF" w:rsidRDefault="007B05D8" w:rsidP="001551A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7B05D8" w:rsidRPr="000B695D" w14:paraId="712F3CCB" w14:textId="77777777" w:rsidTr="001551A4">
        <w:trPr>
          <w:cnfStyle w:val="000000100000" w:firstRow="0" w:lastRow="0" w:firstColumn="0" w:lastColumn="0" w:oddVBand="0" w:evenVBand="0" w:oddHBand="1" w:evenHBand="0" w:firstRowFirstColumn="0" w:firstRowLastColumn="0" w:lastRowFirstColumn="0" w:lastRowLastColumn="0"/>
          <w:trHeight w:val="1430"/>
        </w:trPr>
        <w:tc>
          <w:tcPr>
            <w:cnfStyle w:val="001000000000" w:firstRow="0" w:lastRow="0" w:firstColumn="1" w:lastColumn="0" w:oddVBand="0" w:evenVBand="0" w:oddHBand="0" w:evenHBand="0" w:firstRowFirstColumn="0" w:firstRowLastColumn="0" w:lastRowFirstColumn="0" w:lastRowLastColumn="0"/>
            <w:tcW w:w="1721" w:type="dxa"/>
            <w:vMerge/>
          </w:tcPr>
          <w:p w14:paraId="23AFB734" w14:textId="77777777" w:rsidR="007B05D8" w:rsidRPr="00800124" w:rsidRDefault="007B05D8" w:rsidP="001551A4">
            <w:pPr>
              <w:spacing w:after="200" w:line="276" w:lineRule="auto"/>
              <w:rPr>
                <w:rFonts w:asciiTheme="majorBidi" w:hAnsiTheme="majorBidi" w:cstheme="majorBidi"/>
                <w:b w:val="0"/>
                <w:bCs w:val="0"/>
              </w:rPr>
            </w:pPr>
          </w:p>
        </w:tc>
        <w:tc>
          <w:tcPr>
            <w:tcW w:w="2058" w:type="dxa"/>
            <w:vMerge/>
          </w:tcPr>
          <w:p w14:paraId="2713FE50" w14:textId="77777777" w:rsidR="007B05D8" w:rsidRPr="000B695D" w:rsidRDefault="007B05D8" w:rsidP="001551A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3046" w:type="dxa"/>
          </w:tcPr>
          <w:p w14:paraId="45101449" w14:textId="77777777" w:rsidR="007B05D8" w:rsidRPr="00CC4614" w:rsidRDefault="007B05D8" w:rsidP="001551A4">
            <w:pPr>
              <w:pStyle w:val="ListParagraph"/>
              <w:numPr>
                <w:ilvl w:val="0"/>
                <w:numId w:val="1"/>
              </w:numPr>
              <w:spacing w:after="0" w:line="240" w:lineRule="auto"/>
              <w:ind w:left="93" w:hanging="9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CC4614">
              <w:rPr>
                <w:rFonts w:asciiTheme="majorBidi" w:hAnsiTheme="majorBidi" w:cstheme="majorBidi"/>
                <w:sz w:val="24"/>
                <w:szCs w:val="24"/>
                <w:lang w:val="de-DE"/>
              </w:rPr>
              <w:t xml:space="preserve">IL-23  and osteopontin </w:t>
            </w:r>
            <w:r w:rsidRPr="00CC4614">
              <w:rPr>
                <w:rFonts w:asciiTheme="majorBidi" w:hAnsiTheme="majorBidi" w:cstheme="majorBidi"/>
                <w:sz w:val="24"/>
                <w:szCs w:val="24"/>
              </w:rPr>
              <w:fldChar w:fldCharType="begin" w:fldLock="1"/>
            </w:r>
            <w:r w:rsidRPr="00CC4614">
              <w:rPr>
                <w:rFonts w:asciiTheme="majorBidi" w:hAnsiTheme="majorBidi" w:cstheme="majorBidi"/>
                <w:sz w:val="24"/>
                <w:szCs w:val="24"/>
                <w:lang w:val="de-DE"/>
              </w:rPr>
              <w:instrText>ADDIN CSL_CITATION {"citationItems":[{"id":"ITEM-1","itemData":{"DOI":"10.1038/ni1415","ISSN":"15292908","PMID":"17143274","abstract":"Relapses and disease exacerbations are vexing features of multiple sclerosis. Osteopontin (Opn), which is expressed in multiple sclerosis lesions, is increased in patients' plasma during relapses. Here, in models of multiple sclerosis including relapsing, progressive and multifocal experimental autoimmune encephalomyelitis (EAE), Opn triggered recurrent relapses, promoted worsening paralysis and induced neurological deficits, including optic neuritis. Increased inflammation followed Opn administration, whereas its absence resulted in more cell death of brain-infiltrating lymphocytes. Opn promoted the survival of activated T cells by inhibiting the transcription factor Foxo3a, by activating the transcription factor NF-κB through induction of phosphorylation of the kinase IKKβ and by altering expression of the proapoptotic proteins Bim, Bak and Bax. Those mechanisms collectively suppressed the death of myelin-reactive T cells, linking Opn to the relapses and insidious progression characterizing multiple sclerosis.","author":[{"dropping-particle":"","family":"Hur","given":"Eun Mi","non-dropping-particle":"","parse-names":false,"suffix":""},{"dropping-particle":"","family":"Youssef","given":"Sawsan","non-dropping-particle":"","parse-names":false,"suffix":""},{"dropping-particle":"","family":"Haws","given":"M. Edward","non-dropping-particle":"","parse-names":false,"suffix":""},{"dropping-particle":"","family":"Zhang","given":"Susan Y.","non-dropping-particle":"","parse-names":false,"suffix":""},{"dropping-particle":"","family":"Sobel","given":"Raymond A.","non-dropping-particle":"","parse-names":false,"suffix":""},{"dropping-particle":"","family":"Steinman","given":"Lawrence","non-dropping-particle":"","parse-names":false,"suffix":""}],"container-title":"Nature Immunology","id":"ITEM-1","issue":"1","issued":{"date-parts":[["2007","1"]]},"page":"74-83","publisher":"Nat Immunol","title":"Osteopontin-induced relapse and progression of autoimmune brain disease through enhanced survival of activated T cells","type":"article-journal","volume":"8"},"uris":["http://www.mendeley.com/documents/?uuid=b945c1ef-01e1-3ed0-a2e7-b93b0a648a98"]}],"mendeley":{"formattedCitation":"(Hur et al., 2007)","plainTextFormattedCitation":"(Hur et al., 2007)","previouslyFormattedCitation":"(Hur et al., 2007)"},"properties":{"noteIndex":0},"schema":"https://github.com/citation-style-language/schema/raw/master/csl-citation.json"}</w:instrText>
            </w:r>
            <w:r w:rsidRPr="00CC4614">
              <w:rPr>
                <w:rFonts w:asciiTheme="majorBidi" w:hAnsiTheme="majorBidi" w:cstheme="majorBidi"/>
                <w:sz w:val="24"/>
                <w:szCs w:val="24"/>
              </w:rPr>
              <w:fldChar w:fldCharType="separate"/>
            </w:r>
            <w:r w:rsidRPr="00CC4614">
              <w:rPr>
                <w:rFonts w:asciiTheme="majorBidi" w:hAnsiTheme="majorBidi" w:cstheme="majorBidi"/>
                <w:noProof/>
                <w:sz w:val="24"/>
                <w:szCs w:val="24"/>
              </w:rPr>
              <w:t>(Hur et al., 2007)</w:t>
            </w:r>
            <w:r w:rsidRPr="00CC4614">
              <w:rPr>
                <w:rFonts w:asciiTheme="majorBidi" w:hAnsiTheme="majorBidi" w:cstheme="majorBidi"/>
                <w:sz w:val="24"/>
                <w:szCs w:val="24"/>
              </w:rPr>
              <w:fldChar w:fldCharType="end"/>
            </w:r>
            <w:r w:rsidRPr="00CC4614">
              <w:rPr>
                <w:rFonts w:asciiTheme="majorBidi" w:hAnsiTheme="majorBidi" w:cstheme="majorBidi"/>
                <w:sz w:val="24"/>
                <w:szCs w:val="24"/>
              </w:rPr>
              <w:t>.</w:t>
            </w:r>
          </w:p>
        </w:tc>
        <w:tc>
          <w:tcPr>
            <w:tcW w:w="2535" w:type="dxa"/>
          </w:tcPr>
          <w:p w14:paraId="14E70A77" w14:textId="77777777" w:rsidR="007B05D8" w:rsidRDefault="007B05D8" w:rsidP="001551A4">
            <w:pPr>
              <w:pStyle w:val="ListParagraph"/>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p w14:paraId="7E8937D1" w14:textId="77777777" w:rsidR="007B05D8" w:rsidRPr="00E11FAA" w:rsidRDefault="007B05D8" w:rsidP="001551A4">
            <w:pPr>
              <w:pStyle w:val="ListParagraph"/>
              <w:numPr>
                <w:ilvl w:val="0"/>
                <w:numId w:val="1"/>
              </w:numPr>
              <w:spacing w:after="0" w:line="240" w:lineRule="auto"/>
              <w:ind w:left="0" w:hanging="22"/>
              <w:jc w:val="center"/>
              <w:cnfStyle w:val="000000100000" w:firstRow="0" w:lastRow="0" w:firstColumn="0" w:lastColumn="0" w:oddVBand="0" w:evenVBand="0" w:oddHBand="1" w:evenHBand="0" w:firstRowFirstColumn="0" w:firstRowLastColumn="0" w:lastRowFirstColumn="0" w:lastRowLastColumn="0"/>
            </w:pPr>
            <w:r w:rsidRPr="00E11FAA">
              <w:rPr>
                <w:rFonts w:asciiTheme="majorBidi" w:hAnsiTheme="majorBidi" w:cstheme="majorBidi"/>
                <w:noProof/>
                <w:sz w:val="24"/>
                <w:szCs w:val="24"/>
                <w:lang w:val="de-DE"/>
              </w:rPr>
              <w:t>(Vaknin-Dembinsky et al., 2008</w:t>
            </w:r>
          </w:p>
        </w:tc>
      </w:tr>
      <w:tr w:rsidR="007B05D8" w:rsidRPr="000B695D" w14:paraId="1DFB6A69" w14:textId="77777777" w:rsidTr="001551A4">
        <w:tc>
          <w:tcPr>
            <w:cnfStyle w:val="001000000000" w:firstRow="0" w:lastRow="0" w:firstColumn="1" w:lastColumn="0" w:oddVBand="0" w:evenVBand="0" w:oddHBand="0" w:evenHBand="0" w:firstRowFirstColumn="0" w:firstRowLastColumn="0" w:lastRowFirstColumn="0" w:lastRowLastColumn="0"/>
            <w:tcW w:w="1721" w:type="dxa"/>
            <w:vMerge/>
          </w:tcPr>
          <w:p w14:paraId="3C3C18EE" w14:textId="77777777" w:rsidR="007B05D8" w:rsidRPr="00800124" w:rsidRDefault="007B05D8" w:rsidP="001551A4">
            <w:pPr>
              <w:spacing w:after="200" w:line="276" w:lineRule="auto"/>
              <w:rPr>
                <w:rFonts w:asciiTheme="majorBidi" w:hAnsiTheme="majorBidi" w:cstheme="majorBidi"/>
              </w:rPr>
            </w:pPr>
          </w:p>
        </w:tc>
        <w:tc>
          <w:tcPr>
            <w:tcW w:w="2058" w:type="dxa"/>
          </w:tcPr>
          <w:p w14:paraId="68952C90" w14:textId="77777777" w:rsidR="007B05D8" w:rsidRPr="000B695D" w:rsidRDefault="007B05D8" w:rsidP="001551A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B695D">
              <w:rPr>
                <w:rFonts w:asciiTheme="majorBidi" w:hAnsiTheme="majorBidi" w:cstheme="majorBidi"/>
                <w:sz w:val="24"/>
                <w:szCs w:val="24"/>
              </w:rPr>
              <w:t>Microglial Cells/ Macrophages</w:t>
            </w:r>
          </w:p>
        </w:tc>
        <w:tc>
          <w:tcPr>
            <w:tcW w:w="3046" w:type="dxa"/>
          </w:tcPr>
          <w:p w14:paraId="3DDB82CE" w14:textId="77777777" w:rsidR="007B05D8" w:rsidRPr="00126ECE" w:rsidRDefault="007B05D8" w:rsidP="001551A4">
            <w:pPr>
              <w:pStyle w:val="ListParagraph"/>
              <w:numPr>
                <w:ilvl w:val="0"/>
                <w:numId w:val="1"/>
              </w:numPr>
              <w:ind w:left="27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126ECE">
              <w:rPr>
                <w:rFonts w:asciiTheme="majorBidi" w:hAnsiTheme="majorBidi" w:cstheme="majorBidi"/>
                <w:sz w:val="24"/>
                <w:szCs w:val="24"/>
              </w:rPr>
              <w:t xml:space="preserve">Production of IL-6, IL-17, macrophage inflammatory proteins, neurotropic factors, nitric oxide, adhesion molecules and TWEAK </w:t>
            </w:r>
          </w:p>
          <w:p w14:paraId="2935E14B" w14:textId="77777777" w:rsidR="007B05D8" w:rsidRPr="00126ECE" w:rsidRDefault="007B05D8" w:rsidP="001551A4">
            <w:pPr>
              <w:pStyle w:val="ListParagraph"/>
              <w:numPr>
                <w:ilvl w:val="0"/>
                <w:numId w:val="1"/>
              </w:numPr>
              <w:ind w:left="27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26ECE">
              <w:rPr>
                <w:rFonts w:asciiTheme="majorBidi" w:hAnsiTheme="majorBidi" w:cstheme="majorBidi"/>
                <w:sz w:val="24"/>
                <w:szCs w:val="24"/>
              </w:rPr>
              <w:t xml:space="preserve">Expression of myeloperoxidases and ROS </w:t>
            </w:r>
          </w:p>
        </w:tc>
        <w:tc>
          <w:tcPr>
            <w:tcW w:w="2535" w:type="dxa"/>
          </w:tcPr>
          <w:p w14:paraId="1310C687" w14:textId="77777777" w:rsidR="007B05D8" w:rsidRPr="00B0661A" w:rsidRDefault="007B05D8" w:rsidP="001551A4">
            <w:pPr>
              <w:pStyle w:val="ListParagraph"/>
              <w:numPr>
                <w:ilvl w:val="0"/>
                <w:numId w:val="1"/>
              </w:numPr>
              <w:ind w:left="33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B0661A">
              <w:rPr>
                <w:rFonts w:asciiTheme="majorBidi" w:hAnsiTheme="majorBidi" w:cstheme="majorBidi"/>
                <w:noProof/>
                <w:sz w:val="24"/>
                <w:szCs w:val="24"/>
              </w:rPr>
              <w:t xml:space="preserve">(Kawanokuchi et al.2008), </w:t>
            </w:r>
            <w:r w:rsidRPr="00B0661A">
              <w:rPr>
                <w:rFonts w:asciiTheme="majorBidi" w:hAnsiTheme="majorBidi" w:cstheme="majorBidi"/>
                <w:sz w:val="24"/>
                <w:szCs w:val="24"/>
              </w:rPr>
              <w:fldChar w:fldCharType="begin" w:fldLock="1"/>
            </w:r>
            <w:r w:rsidRPr="00B0661A">
              <w:rPr>
                <w:rFonts w:asciiTheme="majorBidi" w:hAnsiTheme="majorBidi" w:cstheme="majorBidi"/>
                <w:sz w:val="24"/>
                <w:szCs w:val="24"/>
              </w:rPr>
              <w:instrText>ADDIN CSL_CITATION {"citationItems":[{"id":"ITEM-1","itemData":{"DOI":"10.1097/NEN.0b013e31818dab90","ISSN":"00223069","PMID":"19018248","abstract":"The expression patterns of tumor necrosis factor-like weak inducer of apoptosis (TWEAK), a pleiotropic cytokine with proinflammatory and cell death-inducing activities, and its receptor, fibroblast growth factor-inducible 14 (Fn14), were examined in postmortem brain tissue samples from patients with multiple sclerosis (MS) and controls. Immunohistochemical analysis and real-time reverse transcription-polymerase chain reaction demonstrated that both TWEAK and Fn14 were upregulated in the MS compared with control unaffected brain samples. Perivascular and meningeal macrophages and astrocytes and microglia associated with lesions were identified as the main sources of TWEAK in the MS brains. The highest frequency of TWEAK+ cells was found at edges of chronic active white matter lesions and in subpial cortical lesions inMS cases with abundant meningeal inflammation and ectopic B-cell follicles. Neurons and reactive astrocytes expressing Fn14 were mainly localized in the cerebral cortex in highly infiltrated MS brains. Numerous TWEAK-expressing microglia were associated with the extensive loss of myelin and astrocytosis, neuronal damage, and vascular abnormalities in subpial cortical lesions; this suggests that TWEAK could synergize with other cytotoxic factors diffusing from the inflamed meninges to promote cortical injury. Taken together, these findings indicate that the TWEAK/Fn14 pathway contributes to inflammation and tissue injury and is, therefore, a potential therapeutic target in MS. © 2008 by the American Association of Neuropathologists, Inc.","author":[{"dropping-particle":"","family":"Serafini","given":"Barbara","non-dropping-particle":"","parse-names":false,"suffix":""},{"dropping-particle":"","family":"Magliozzi","given":"Roberta","non-dropping-particle":"","parse-names":false,"suffix":""},{"dropping-particle":"","family":"Rosicarelli","given":"Barbara","non-dropping-particle":"","parse-names":false,"suffix":""},{"dropping-particle":"","family":"Reynolds","given":"Richard","non-dropping-particle":"","parse-names":false,"suffix":""},{"dropping-particle":"","family":"Zheng","given":"Timothy S.","non-dropping-particle":"","parse-names":false,"suffix":""},{"dropping-particle":"","family":"Aloisi","given":"Francesca","non-dropping-particle":"","parse-names":false,"suffix":""}],"container-title":"Journal of Neuropathology and Experimental Neurology","id":"ITEM-1","issue":"12","issued":{"date-parts":[["2008","12"]]},"page":"1137-1148","publisher":"J Neuropathol Exp Neurol","title":"Expression of TWEAK and its receptor Fn14 in the multiple sclerosis brain: Implications for inflammatory tissue injury","type":"article-journal","volume":"67"},"uris":["http://www.mendeley.com/documents/?uuid=0d25d351-fbd8-3aa9-8dcf-7ffe126390b4"]}],"mendeley":{"formattedCitation":"(Serafini et al., 2008)","plainTextFormattedCitation":"(Serafini et al., 2008)","previouslyFormattedCitation":"(Serafini et al., 2008)"},"properties":{"noteIndex":0},"schema":"https://github.com/citation-style-language/schema/raw/master/csl-citation.json"}</w:instrText>
            </w:r>
            <w:r w:rsidRPr="00B0661A">
              <w:rPr>
                <w:rFonts w:asciiTheme="majorBidi" w:hAnsiTheme="majorBidi" w:cstheme="majorBidi"/>
                <w:sz w:val="24"/>
                <w:szCs w:val="24"/>
              </w:rPr>
              <w:fldChar w:fldCharType="separate"/>
            </w:r>
            <w:r w:rsidRPr="00B0661A">
              <w:rPr>
                <w:rFonts w:asciiTheme="majorBidi" w:hAnsiTheme="majorBidi" w:cstheme="majorBidi"/>
                <w:noProof/>
                <w:sz w:val="24"/>
                <w:szCs w:val="24"/>
              </w:rPr>
              <w:t>(Serafini et al., 2008)</w:t>
            </w:r>
            <w:r w:rsidRPr="00B0661A">
              <w:rPr>
                <w:rFonts w:asciiTheme="majorBidi" w:hAnsiTheme="majorBidi" w:cstheme="majorBidi"/>
                <w:sz w:val="24"/>
                <w:szCs w:val="24"/>
              </w:rPr>
              <w:fldChar w:fldCharType="end"/>
            </w:r>
            <w:r w:rsidRPr="00B0661A">
              <w:rPr>
                <w:rFonts w:asciiTheme="majorBidi" w:hAnsiTheme="majorBidi" w:cstheme="majorBidi"/>
                <w:sz w:val="24"/>
                <w:szCs w:val="24"/>
              </w:rPr>
              <w:t>.</w:t>
            </w:r>
          </w:p>
          <w:p w14:paraId="059CD913" w14:textId="77777777" w:rsidR="007B05D8" w:rsidRPr="00126ECE" w:rsidRDefault="007B05D8" w:rsidP="001551A4">
            <w:pPr>
              <w:ind w:left="33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p w14:paraId="6D4071EF" w14:textId="77777777" w:rsidR="007B05D8" w:rsidRDefault="007B05D8" w:rsidP="001551A4">
            <w:pPr>
              <w:ind w:left="33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p w14:paraId="5C5FDB54" w14:textId="77777777" w:rsidR="007B05D8" w:rsidRPr="00B0661A" w:rsidRDefault="007B05D8" w:rsidP="001551A4">
            <w:pPr>
              <w:pStyle w:val="ListParagraph"/>
              <w:numPr>
                <w:ilvl w:val="0"/>
                <w:numId w:val="9"/>
              </w:numPr>
              <w:spacing w:after="0" w:line="240" w:lineRule="auto"/>
              <w:ind w:left="33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B0661A">
              <w:rPr>
                <w:rFonts w:asciiTheme="majorBidi" w:hAnsiTheme="majorBidi" w:cstheme="majorBidi"/>
                <w:sz w:val="24"/>
                <w:szCs w:val="24"/>
              </w:rPr>
              <w:fldChar w:fldCharType="begin" w:fldLock="1"/>
            </w:r>
            <w:r w:rsidRPr="00B0661A">
              <w:rPr>
                <w:rFonts w:asciiTheme="majorBidi" w:hAnsiTheme="majorBidi" w:cstheme="majorBidi"/>
                <w:sz w:val="24"/>
                <w:szCs w:val="24"/>
              </w:rPr>
              <w:instrText>ADDIN CSL_CITATION {"citationItems":[{"id":"ITEM-1","itemData":{"DOI":"10.1111/j.1750-3639.2007.00110.x","ISSN":"10156305","PMID":"18042261","abstract":"Recent studies have revealed extensive cortical demyelination in patients with progressive multiple sclerosis (MS). Demyelination in gray matter lesions is associated with activation of microglia. Macrophages and microglia are known to express myeloperoxidase (MPO) and generate reactive oxygen species during myelin phagocytosis in the white matter. In the present study we examined the extent of microglial activation in the cerebral cortex and the relationship of microglial activation and MPO activity to cortical demyelination. Twenty-one cases of neuropathologically confirmed multiple sclerosis, with 34 cortical lesions, were used to assess microglial activation. HLA-DR immunolabeling of activated microglia was significantly higher in demyelinated MS cortex than control cortex and, within the MS cohort, was significantly greater within cortical lesions than in matched non-demyelinated areas of cortex. In homogenates of MS cortex, cortical demyelination was associated with significantly elevated MPO activity. Immunohistochemistry revealed MPO in CD68-positive microglia within cortical plaques, particularly toward the edge of the plaques, but not in microglia in adjacent non-demyelinated cortex. Cortical demyelination in MS is associated with increased activity of MPO, which is expressed by a CD68-positive subset of activated microglia, suggesting that microglial production of reactive oxygen species is likely to be involved in cortical demyelination. © 2007 The Authors.","author":[{"dropping-particle":"","family":"Gray","given":"Elizabeth","non-dropping-particle":"","parse-names":false,"suffix":""},{"dropping-particle":"","family":"Thomas","given":"Taya L.","non-dropping-particle":"","parse-names":false,"suffix":""},{"dropping-particle":"","family":"Betmouni","given":"Samar","non-dropping-particle":"","parse-names":false,"suffix":""},{"dropping-particle":"","family":"Scolding","given":"Neil","non-dropping-particle":"","parse-names":false,"suffix":""},{"dropping-particle":"","family":"Love","given":"Seth","non-dropping-particle":"","parse-names":false,"suffix":""}],"container-title":"Brain Pathology","id":"ITEM-1","issue":"1","issued":{"date-parts":[["2008","1"]]},"page":"86-95","publisher":"Brain Pathol","title":"Elevated activity and microglial expression of myeloperoxidase in demyelinated cerebral cortex in multiple sclerosis","type":"article-journal","volume":"18"},"uris":["http://www.mendeley.com/documents/?uuid=73cb72b5-62b1-3e6d-8da5-8413bbea9210"]}],"mendeley":{"formattedCitation":"(Gray et al., 2008)","plainTextFormattedCitation":"(Gray et al., 2008)","previouslyFormattedCitation":"(Gray et al., 2008)"},"properties":{"noteIndex":0},"schema":"https://github.com/citation-style-language/schema/raw/master/csl-citation.json"}</w:instrText>
            </w:r>
            <w:r w:rsidRPr="00B0661A">
              <w:rPr>
                <w:rFonts w:asciiTheme="majorBidi" w:hAnsiTheme="majorBidi" w:cstheme="majorBidi"/>
                <w:sz w:val="24"/>
                <w:szCs w:val="24"/>
              </w:rPr>
              <w:fldChar w:fldCharType="separate"/>
            </w:r>
            <w:r w:rsidRPr="00B0661A">
              <w:rPr>
                <w:rFonts w:asciiTheme="majorBidi" w:hAnsiTheme="majorBidi" w:cstheme="majorBidi"/>
                <w:noProof/>
                <w:sz w:val="24"/>
                <w:szCs w:val="24"/>
              </w:rPr>
              <w:t>(Gray et al., 2008)</w:t>
            </w:r>
            <w:r w:rsidRPr="00B0661A">
              <w:rPr>
                <w:rFonts w:asciiTheme="majorBidi" w:hAnsiTheme="majorBidi" w:cstheme="majorBidi"/>
                <w:sz w:val="24"/>
                <w:szCs w:val="24"/>
              </w:rPr>
              <w:fldChar w:fldCharType="end"/>
            </w:r>
            <w:r w:rsidRPr="00B0661A">
              <w:rPr>
                <w:rFonts w:asciiTheme="majorBidi" w:hAnsiTheme="majorBidi" w:cstheme="majorBidi"/>
                <w:sz w:val="24"/>
                <w:szCs w:val="24"/>
              </w:rPr>
              <w:t xml:space="preserve">, </w:t>
            </w:r>
            <w:r w:rsidRPr="00B0661A">
              <w:rPr>
                <w:rFonts w:asciiTheme="majorBidi" w:hAnsiTheme="majorBidi" w:cstheme="majorBidi"/>
                <w:sz w:val="24"/>
                <w:szCs w:val="24"/>
              </w:rPr>
              <w:fldChar w:fldCharType="begin" w:fldLock="1"/>
            </w:r>
            <w:r w:rsidRPr="00B0661A">
              <w:rPr>
                <w:rFonts w:asciiTheme="majorBidi" w:hAnsiTheme="majorBidi" w:cstheme="majorBidi"/>
                <w:sz w:val="24"/>
                <w:szCs w:val="24"/>
              </w:rPr>
              <w:instrText>ADDIN CSL_CITATION {"citationItems":[{"id":"ITEM-1","itemData":{"DOI":"10.1016/j.brainresrev.2004.06.006","ISSN":"01650173","PMID":"15571769","abstract":"Microglia and macrophages, one a brain-resident, the other a mostly hematogenous cell type, represent two related cell types involved in the brain pathology in multiple sclerosis and its autoimmune animal model, the experimental allergic encephalomyelitis. Together, they perform a variety of different functions: they are the primary sensors of brain pathology, they are rapidly recruited to sites of infection, trauma or autoimmune inflammation in experimental allergic encephalomyelitis and multiple sclerosis and they are competent presenters of antigen and interact with T cells recruited to the inflamed CNS. They also synthesise a variety of molecules, such as cytokines (TNF, interleukins), chemokines, accessory molecules (B7, CD40), complement, cell adhesion glycoproteins (integrins, selectins), reactive oxygen radicals and neurotrophins, that could exert a damaging or a protective effect on adjacent axons, myelin and oligodendrocytes. The current review will give a detailed summary on their cellular response, describe the different classes of molecules expressed and their attribution to the blood derived or brain-resident macrophages and then discuss how these molecules contribute to the neuropathology. Recent advances using chimaeric and genetically modified mice have been particularly telling about the specific, overlapping and nonoverlapping roles of macrophages and microglia in the demyelinating disease. Interestingly, they point to a crucial role of hematogenous macrophages in initiating inflammation and myelin removal, and that of microglia in checking excessive response and in the induction and maintenance of remission. © 2004 Elsevier B.V. All rights reserved.","author":[{"dropping-particle":"","family":"Raivich","given":"Gennadij","non-dropping-particle":"","parse-names":false,"suffix":""},{"dropping-particle":"","family":"Banati","given":"Richard","non-dropping-particle":"","parse-names":false,"suffix":""}],"container-title":"Brain Research Reviews","id":"ITEM-1","issue":"3","issued":{"date-parts":[["2004","11"]]},"page":"261-281","publisher":"Brain Res Brain Res Rev","title":"Brain microglia and blood-derived macrophages: Molecular profiles and functional roles in multiple sclerosis and animal models of autoimmune demyelinating disease","type":"article","volume":"46"},"uris":["http://www.mendeley.com/documents/?uuid=660a2731-1560-338f-82b9-f35120c4c2e7"]}],"mendeley":{"formattedCitation":"(Raivich and Banati, 2004)","plainTextFormattedCitation":"(Raivich and Banati, 2004)","previouslyFormattedCitation":"(Raivich and Banati, 2004)"},"properties":{"noteIndex":0},"schema":"https://github.com/citation-style-language/schema/raw/master/csl-citation.json"}</w:instrText>
            </w:r>
            <w:r w:rsidRPr="00B0661A">
              <w:rPr>
                <w:rFonts w:asciiTheme="majorBidi" w:hAnsiTheme="majorBidi" w:cstheme="majorBidi"/>
                <w:sz w:val="24"/>
                <w:szCs w:val="24"/>
              </w:rPr>
              <w:fldChar w:fldCharType="separate"/>
            </w:r>
            <w:r w:rsidRPr="00B0661A">
              <w:rPr>
                <w:rFonts w:asciiTheme="majorBidi" w:hAnsiTheme="majorBidi" w:cstheme="majorBidi"/>
                <w:noProof/>
                <w:sz w:val="24"/>
                <w:szCs w:val="24"/>
              </w:rPr>
              <w:t>(Raivich and Banati, 2004)</w:t>
            </w:r>
            <w:r w:rsidRPr="00B0661A">
              <w:rPr>
                <w:rFonts w:asciiTheme="majorBidi" w:hAnsiTheme="majorBidi" w:cstheme="majorBidi"/>
                <w:sz w:val="24"/>
                <w:szCs w:val="24"/>
              </w:rPr>
              <w:fldChar w:fldCharType="end"/>
            </w:r>
            <w:r w:rsidRPr="00B0661A">
              <w:rPr>
                <w:rFonts w:asciiTheme="majorBidi" w:hAnsiTheme="majorBidi" w:cstheme="majorBidi"/>
                <w:sz w:val="24"/>
                <w:szCs w:val="24"/>
              </w:rPr>
              <w:t>.</w:t>
            </w:r>
          </w:p>
          <w:p w14:paraId="646E08F2" w14:textId="77777777" w:rsidR="007B05D8" w:rsidRDefault="007B05D8" w:rsidP="001551A4">
            <w:pPr>
              <w:ind w:left="33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p w14:paraId="6C5A072D" w14:textId="77777777" w:rsidR="007B05D8" w:rsidRDefault="007B05D8" w:rsidP="001551A4">
            <w:pPr>
              <w:ind w:firstLine="7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p w14:paraId="54D22C54" w14:textId="77777777" w:rsidR="007B05D8" w:rsidRPr="00126ECE" w:rsidRDefault="007B05D8" w:rsidP="001551A4">
            <w:pPr>
              <w:ind w:firstLine="7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7B05D8" w:rsidRPr="000B695D" w14:paraId="0D813647" w14:textId="77777777" w:rsidTr="00155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dxa"/>
            <w:vMerge/>
          </w:tcPr>
          <w:p w14:paraId="512DF418" w14:textId="77777777" w:rsidR="007B05D8" w:rsidRPr="00800124" w:rsidRDefault="007B05D8" w:rsidP="001551A4">
            <w:pPr>
              <w:spacing w:after="200" w:line="276" w:lineRule="auto"/>
              <w:rPr>
                <w:rFonts w:asciiTheme="majorBidi" w:hAnsiTheme="majorBidi" w:cstheme="majorBidi"/>
              </w:rPr>
            </w:pPr>
          </w:p>
        </w:tc>
        <w:tc>
          <w:tcPr>
            <w:tcW w:w="2058" w:type="dxa"/>
          </w:tcPr>
          <w:p w14:paraId="6AFA0E2A" w14:textId="77777777" w:rsidR="007B05D8" w:rsidRPr="000B695D" w:rsidRDefault="007B05D8" w:rsidP="001551A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B695D">
              <w:rPr>
                <w:rFonts w:asciiTheme="majorBidi" w:hAnsiTheme="majorBidi" w:cstheme="majorBidi"/>
                <w:sz w:val="24"/>
                <w:szCs w:val="24"/>
              </w:rPr>
              <w:t>NK cells</w:t>
            </w:r>
          </w:p>
        </w:tc>
        <w:tc>
          <w:tcPr>
            <w:tcW w:w="3046" w:type="dxa"/>
          </w:tcPr>
          <w:p w14:paraId="15FE4C1C" w14:textId="77777777" w:rsidR="007B05D8" w:rsidRPr="00B0661A" w:rsidRDefault="007B05D8" w:rsidP="001551A4">
            <w:pPr>
              <w:pStyle w:val="ListParagraph"/>
              <w:numPr>
                <w:ilvl w:val="0"/>
                <w:numId w:val="8"/>
              </w:numPr>
              <w:ind w:left="36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B0661A">
              <w:rPr>
                <w:rFonts w:asciiTheme="majorBidi" w:hAnsiTheme="majorBidi" w:cstheme="majorBidi"/>
                <w:sz w:val="24"/>
                <w:szCs w:val="24"/>
              </w:rPr>
              <w:t>Cytotoxic activity toward oligodendrocytes.</w:t>
            </w:r>
          </w:p>
          <w:p w14:paraId="57BA828C" w14:textId="77777777" w:rsidR="007B05D8" w:rsidRPr="00B0661A" w:rsidRDefault="007B05D8" w:rsidP="001551A4">
            <w:pPr>
              <w:pStyle w:val="ListParagraph"/>
              <w:numPr>
                <w:ilvl w:val="0"/>
                <w:numId w:val="8"/>
              </w:numPr>
              <w:ind w:left="36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0661A">
              <w:rPr>
                <w:rFonts w:asciiTheme="majorBidi" w:hAnsiTheme="majorBidi" w:cstheme="majorBidi"/>
                <w:sz w:val="24"/>
                <w:szCs w:val="24"/>
              </w:rPr>
              <w:t>Production IFN-γ and TNF-α..</w:t>
            </w:r>
          </w:p>
        </w:tc>
        <w:tc>
          <w:tcPr>
            <w:tcW w:w="2535" w:type="dxa"/>
          </w:tcPr>
          <w:p w14:paraId="292F0D6D" w14:textId="77777777" w:rsidR="007B05D8" w:rsidRDefault="007B05D8" w:rsidP="001551A4">
            <w:pPr>
              <w:pStyle w:val="ListParagraph"/>
              <w:numPr>
                <w:ilvl w:val="0"/>
                <w:numId w:val="8"/>
              </w:numPr>
              <w:ind w:left="338" w:hanging="18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B0661A">
              <w:rPr>
                <w:rFonts w:asciiTheme="majorBidi" w:hAnsiTheme="majorBidi" w:cstheme="majorBidi"/>
                <w:sz w:val="24"/>
                <w:szCs w:val="24"/>
              </w:rPr>
              <w:fldChar w:fldCharType="begin" w:fldLock="1"/>
            </w:r>
            <w:r w:rsidRPr="00B0661A">
              <w:rPr>
                <w:rFonts w:asciiTheme="majorBidi" w:hAnsiTheme="majorBidi" w:cstheme="majorBidi"/>
                <w:sz w:val="24"/>
                <w:szCs w:val="24"/>
              </w:rPr>
              <w:instrText>ADDIN CSL_CITATION {"citationItems":[{"id":"ITEM-1","itemData":{"DOI":"10.4049/jimmunol.181.9.6170","ISSN":"0022-1767","PMID":"18941207","abstract":"Microglia are resident macrophage-like APCs of the CNS. To avoid escalation of inflammatory processes and bystander damage within the CNS, microglia-driven inflammatory responses need to be tightly regulated and both spatially and temporally restricted. Following traumatic, infectious, and autoimmune-mediated brain injury, NK cells have been found in the CNS, but the functional significance of NK cell recruitment and their mechanisms of action during brain inflammation are not well understood. In this study, we investigated whether and by which mechanisms human NK cells might edit resting and activated human microglial cells via killing in vitro. IL-2-activated NK cells efficiently killed both resting allogeneic and autologous microglia in a cell-contact-dependent manner. Activated NK cells rapidly formed synapses with human microglial cells in which perforin had been polarized to the cellular interface. Ab-mediated NKG2D and NKp46 blockade completely prevented the killing of human microglia by activated NK cells. Up-regulation of MHC class I surface expression by TLR4 stimulation protected microglia from NK cell-mediated killing, whereas MHC class I blockade enhanced cytotoxic NK cell activity. These data suggest that brain-infiltrating NK cells might restrict innate and adaptive immune responses within the human CNS via elimination of resting microglia.","author":[{"dropping-particle":"","family":"Lünemann","given":"Anna","non-dropping-particle":"","parse-names":false,"suffix":""},{"dropping-particle":"","family":"Lünemann","given":"Jan D.","non-dropping-particle":"","parse-names":false,"suffix":""},{"dropping-particle":"","family":"Roberts","given":"Susanne","non-dropping-particle":"","parse-names":false,"suffix":""},{"dropping-particle":"","family":"Messmer","given":"Brady","non-dropping-particle":"","parse-names":false,"suffix":""},{"dropping-particle":"","family":"Silva","given":"Rosa Barreira","non-dropping-particle":"da","parse-names":false,"suffix":""},{"dropping-particle":"","family":"Raine","given":"Cedric S.","non-dropping-particle":"","parse-names":false,"suffix":""},{"dropping-particle":"","family":"Münz","given":"Christian","non-dropping-particle":"","parse-names":false,"suffix":""}],"container-title":"The Journal of Immunology","id":"ITEM-1","issue":"9","issued":{"date-parts":[["2008","11","1"]]},"page":"6170-6177","publisher":"The American Association of Immunologists","title":"Human NK Cells Kill Resting but Not Activated Microglia via NKG2D- and NKp46-Mediated Recognition","type":"article-journal","volume":"181"},"uris":["http://www.mendeley.com/documents/?uuid=f857a8fd-e015-347e-9de7-9cbd4da06b0a"]}],"mendeley":{"formattedCitation":"(Lünemann et al., 2008)","plainTextFormattedCitation":"(Lünemann et al., 2008)","previouslyFormattedCitation":"(Lünemann et al., 2008)"},"properties":{"noteIndex":0},"schema":"https://github.com/citation-style-language/schema/raw/master/csl-citation.json"}</w:instrText>
            </w:r>
            <w:r w:rsidRPr="00B0661A">
              <w:rPr>
                <w:rFonts w:asciiTheme="majorBidi" w:hAnsiTheme="majorBidi" w:cstheme="majorBidi"/>
                <w:sz w:val="24"/>
                <w:szCs w:val="24"/>
              </w:rPr>
              <w:fldChar w:fldCharType="separate"/>
            </w:r>
            <w:r w:rsidRPr="00B0661A">
              <w:rPr>
                <w:rFonts w:asciiTheme="majorBidi" w:hAnsiTheme="majorBidi" w:cstheme="majorBidi"/>
                <w:noProof/>
                <w:sz w:val="24"/>
                <w:szCs w:val="24"/>
              </w:rPr>
              <w:t>(Lünemann et al., 2008)</w:t>
            </w:r>
            <w:r w:rsidRPr="00B0661A">
              <w:rPr>
                <w:rFonts w:asciiTheme="majorBidi" w:hAnsiTheme="majorBidi" w:cstheme="majorBidi"/>
                <w:sz w:val="24"/>
                <w:szCs w:val="24"/>
              </w:rPr>
              <w:fldChar w:fldCharType="end"/>
            </w:r>
            <w:r>
              <w:rPr>
                <w:rFonts w:asciiTheme="majorBidi" w:hAnsiTheme="majorBidi" w:cstheme="majorBidi"/>
                <w:sz w:val="24"/>
                <w:szCs w:val="24"/>
              </w:rPr>
              <w:t>.</w:t>
            </w:r>
          </w:p>
          <w:p w14:paraId="0D22DCE7" w14:textId="77777777" w:rsidR="007B05D8" w:rsidRPr="00B0661A" w:rsidRDefault="007B05D8" w:rsidP="001551A4">
            <w:pPr>
              <w:pStyle w:val="ListParagraph"/>
              <w:numPr>
                <w:ilvl w:val="0"/>
                <w:numId w:val="8"/>
              </w:numPr>
              <w:ind w:left="248" w:hanging="9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B0661A">
              <w:rPr>
                <w:rFonts w:asciiTheme="majorBidi" w:hAnsiTheme="majorBidi" w:cstheme="majorBidi"/>
                <w:sz w:val="24"/>
                <w:szCs w:val="24"/>
              </w:rPr>
              <w:fldChar w:fldCharType="begin" w:fldLock="1"/>
            </w:r>
            <w:r w:rsidRPr="00B0661A">
              <w:rPr>
                <w:rFonts w:asciiTheme="majorBidi" w:hAnsiTheme="majorBidi" w:cstheme="majorBidi"/>
                <w:sz w:val="24"/>
                <w:szCs w:val="24"/>
              </w:rPr>
              <w:instrText>ADDIN CSL_CITATION {"citationItems":[{"id":"ITEM-1","itemData":{"DOI":"10.1111/j.1365-2567.2010.03360.x","ISSN":"00192805","abstract":"Summary: Natural killer (NK) cells have been implicated in tumour surveillance and in the early control of several microbial infections. In autoimmune disease their involvement in these processes has been evaluated in animal models, with conflicting results. Both a disease-controlling and a disease-promoting role have been suggested. In human autoimmune disease only a few studies, mainly descriptive, have demonstrated qualitative and quantitative modification of NK cells. These changes were observed on blood- or tissue-infiltrating NK cells. Taken together with our expanding knowledge of the genetical variability of NK cell receptors and NK cell physiology, these findings pave the way for the dissection of the role of NK cells in human autoimmune diseases. NK cells may be directly involved in these diseases through their potential autoreactivity or through their interaction with dendritic cells, macrophages or T lymphocytes, thereby inducing excessive inflammation or favouring the adaptive autoimmune response. Thus, NK cells may be implicated in the onset, the maintenance or the progression of autoimmune diseases. Some reports also suggest the involvement of NK cells in the treatment of human autoimmune disease by biotherapies. All these observations suggest that NK cells are involved in the complex processes of autoimmune diseases. Nevertheless, further careful analysis of NK cells at different steps of these diseases, in different tissues and through combined genetical and functional studies will contribute to a better understanding of their role in autoimmune diseases. This knowledge might allow the development of new therapeutic strategies based on NK cells for the treatment of some autoimmune diseases. © 2010 The Authors. Immunology © 2010 Blackwell Publishing Ltd.","author":[{"dropping-particle":"","family":"Schleinitz","given":"Nicolas","non-dropping-particle":"","parse-names":false,"suffix":""},{"dropping-particle":"","family":"Vély","given":"Frédéric","non-dropping-particle":"","parse-names":false,"suffix":""},{"dropping-particle":"","family":"Harlé","given":"Jean-Robert","non-dropping-particle":"","parse-names":false,"suffix":""},{"dropping-particle":"","family":"Vivier","given":"Eric","non-dropping-particle":"","parse-names":false,"suffix":""}],"container-title":"Immunology","id":"ITEM-1","issue":"4","issued":{"date-parts":[["2010","12","1"]]},"page":"451-458","publisher":"John Wiley &amp; Sons, Ltd","title":"Natural killer cells in human autoimmune diseases","type":"article-journal","volume":"131"},"uris":["http://www.mendeley.com/documents/?uuid=469db35a-7fca-33e7-b096-12e770f18167"]}],"mendeley":{"formattedCitation":"(Schleinitz et al., 2010)","plainTextFormattedCitation":"(Schleinitz et al., 2010)","previouslyFormattedCitation":"(Schleinitz et al., 2010)"},"properties":{"noteIndex":0},"schema":"https://github.com/citation-style-language/schema/raw/master/csl-citation.json"}</w:instrText>
            </w:r>
            <w:r w:rsidRPr="00B0661A">
              <w:rPr>
                <w:rFonts w:asciiTheme="majorBidi" w:hAnsiTheme="majorBidi" w:cstheme="majorBidi"/>
                <w:sz w:val="24"/>
                <w:szCs w:val="24"/>
              </w:rPr>
              <w:fldChar w:fldCharType="separate"/>
            </w:r>
            <w:r w:rsidRPr="00B0661A">
              <w:rPr>
                <w:rFonts w:asciiTheme="majorBidi" w:hAnsiTheme="majorBidi" w:cstheme="majorBidi"/>
                <w:noProof/>
                <w:sz w:val="24"/>
                <w:szCs w:val="24"/>
              </w:rPr>
              <w:t>(Schleinitz et al., 2010)</w:t>
            </w:r>
            <w:r w:rsidRPr="00B0661A">
              <w:rPr>
                <w:rFonts w:asciiTheme="majorBidi" w:hAnsiTheme="majorBidi" w:cstheme="majorBidi"/>
                <w:sz w:val="24"/>
                <w:szCs w:val="24"/>
              </w:rPr>
              <w:fldChar w:fldCharType="end"/>
            </w:r>
            <w:r w:rsidRPr="00B0661A">
              <w:rPr>
                <w:rFonts w:asciiTheme="majorBidi" w:hAnsiTheme="majorBidi" w:cstheme="majorBidi"/>
                <w:sz w:val="24"/>
                <w:szCs w:val="24"/>
              </w:rPr>
              <w:t>.</w:t>
            </w:r>
          </w:p>
        </w:tc>
      </w:tr>
    </w:tbl>
    <w:p w14:paraId="2EF17D93" w14:textId="77777777" w:rsidR="007B05D8" w:rsidRDefault="007B05D8"/>
    <w:sectPr w:rsidR="007B05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F52B2"/>
    <w:multiLevelType w:val="hybridMultilevel"/>
    <w:tmpl w:val="65EEC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62517"/>
    <w:multiLevelType w:val="hybridMultilevel"/>
    <w:tmpl w:val="2F927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1376B"/>
    <w:multiLevelType w:val="hybridMultilevel"/>
    <w:tmpl w:val="93162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0E50FB"/>
    <w:multiLevelType w:val="hybridMultilevel"/>
    <w:tmpl w:val="FACC0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054F03"/>
    <w:multiLevelType w:val="hybridMultilevel"/>
    <w:tmpl w:val="D3062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C74BBC"/>
    <w:multiLevelType w:val="hybridMultilevel"/>
    <w:tmpl w:val="7C9AB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1E5F24"/>
    <w:multiLevelType w:val="hybridMultilevel"/>
    <w:tmpl w:val="74566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6D1662"/>
    <w:multiLevelType w:val="hybridMultilevel"/>
    <w:tmpl w:val="43B85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F62281"/>
    <w:multiLevelType w:val="hybridMultilevel"/>
    <w:tmpl w:val="D9AAC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0076224">
    <w:abstractNumId w:val="8"/>
  </w:num>
  <w:num w:numId="2" w16cid:durableId="191460112">
    <w:abstractNumId w:val="7"/>
  </w:num>
  <w:num w:numId="3" w16cid:durableId="1920479114">
    <w:abstractNumId w:val="6"/>
  </w:num>
  <w:num w:numId="4" w16cid:durableId="1243219040">
    <w:abstractNumId w:val="0"/>
  </w:num>
  <w:num w:numId="5" w16cid:durableId="2102989335">
    <w:abstractNumId w:val="4"/>
  </w:num>
  <w:num w:numId="6" w16cid:durableId="1047686755">
    <w:abstractNumId w:val="2"/>
  </w:num>
  <w:num w:numId="7" w16cid:durableId="1888292429">
    <w:abstractNumId w:val="5"/>
  </w:num>
  <w:num w:numId="8" w16cid:durableId="1025180902">
    <w:abstractNumId w:val="3"/>
  </w:num>
  <w:num w:numId="9" w16cid:durableId="958879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D8"/>
    <w:rsid w:val="00044345"/>
    <w:rsid w:val="007B05D8"/>
    <w:rsid w:val="00A45ACB"/>
    <w:rsid w:val="00E17904"/>
    <w:rsid w:val="00F55C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14D01"/>
  <w15:chartTrackingRefBased/>
  <w15:docId w15:val="{9F4DFD80-3172-4B61-8B29-BFE4F238D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5D8"/>
    <w:pPr>
      <w:spacing w:after="200" w:line="276" w:lineRule="auto"/>
      <w:ind w:left="720"/>
      <w:contextualSpacing/>
    </w:pPr>
    <w:rPr>
      <w:rFonts w:eastAsiaTheme="minorEastAsia"/>
      <w:kern w:val="0"/>
      <w14:ligatures w14:val="none"/>
    </w:rPr>
  </w:style>
  <w:style w:type="table" w:styleId="PlainTable2">
    <w:name w:val="Plain Table 2"/>
    <w:basedOn w:val="TableNormal"/>
    <w:uiPriority w:val="42"/>
    <w:rsid w:val="007B05D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8888</Words>
  <Characters>50667</Characters>
  <Application>Microsoft Office Word</Application>
  <DocSecurity>0</DocSecurity>
  <Lines>422</Lines>
  <Paragraphs>118</Paragraphs>
  <ScaleCrop>false</ScaleCrop>
  <Company/>
  <LinksUpToDate>false</LinksUpToDate>
  <CharactersWithSpaces>59437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Selwan Aboelnaga</dc:creator>
  <cp:keywords/>
  <dc:description/>
  <cp:lastModifiedBy>Selwan Aboelnaga</cp:lastModifiedBy>
  <cp:revision>2</cp:revision>
  <dcterms:created xsi:type="dcterms:W3CDTF">2024-03-27T06:36:00Z</dcterms:created>
  <dcterms:modified xsi:type="dcterms:W3CDTF">2024-06-12T07:08:00Z</dcterms:modified>
</cp:coreProperties>
</file>