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8B3C4" w14:textId="3CF5F001" w:rsidR="00210864" w:rsidRPr="00424AAB" w:rsidRDefault="00F50D83" w:rsidP="00424AAB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9D5A2C">
        <w:rPr>
          <w:rFonts w:ascii="Times New Roman" w:hAnsi="Times New Roman" w:cs="Times New Roman"/>
          <w:b/>
        </w:rPr>
        <w:t>Supplementary figure</w:t>
      </w:r>
      <w:r w:rsidR="00424AAB">
        <w:rPr>
          <w:rFonts w:ascii="Times New Roman" w:hAnsi="Times New Roman" w:cs="Times New Roman"/>
          <w:b/>
        </w:rPr>
        <w:t xml:space="preserve">s </w:t>
      </w:r>
    </w:p>
    <w:p w14:paraId="4287F7FE" w14:textId="144201C7" w:rsidR="00210864" w:rsidRPr="00210864" w:rsidRDefault="00210864" w:rsidP="00F50D83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210864">
        <w:rPr>
          <w:rFonts w:ascii="Times New Roman" w:hAnsi="Times New Roman" w:cs="Times New Roman"/>
          <w:b/>
          <w:bCs/>
        </w:rPr>
        <w:t>Fig. S1</w:t>
      </w:r>
    </w:p>
    <w:p w14:paraId="23213935" w14:textId="3A04B81A" w:rsidR="00210864" w:rsidRDefault="00261274" w:rsidP="00F50D83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62177F61" wp14:editId="1CFDE0D8">
            <wp:extent cx="5972810" cy="3179445"/>
            <wp:effectExtent l="0" t="0" r="0" b="0"/>
            <wp:docPr id="1081659436" name="Picture 1" descr="A collage of images of neur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659436" name="Picture 1" descr="A collage of images of neuron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931" cy="319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83629" w14:textId="434AF726" w:rsidR="00F50D83" w:rsidRDefault="00F50D83" w:rsidP="00F50D83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9D5A2C">
        <w:rPr>
          <w:rFonts w:ascii="Times New Roman" w:hAnsi="Times New Roman" w:cs="Times New Roman"/>
        </w:rPr>
        <w:t>Fig. S1</w:t>
      </w:r>
      <w:r w:rsidRPr="009D5A2C">
        <w:rPr>
          <w:rFonts w:ascii="Times New Roman" w:hAnsi="Times New Roman" w:cs="Times New Roman"/>
          <w:b/>
          <w:bCs/>
        </w:rPr>
        <w:t xml:space="preserve"> Immunocytochemistry (ICC) staining of human iPSC-derived cortical neurons shows presence of classical neuronal markers.</w:t>
      </w:r>
    </w:p>
    <w:p w14:paraId="63426C54" w14:textId="77777777" w:rsidR="00F50D83" w:rsidRPr="00D9067C" w:rsidRDefault="00F50D83" w:rsidP="00F50D83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9D5A2C">
        <w:rPr>
          <w:rFonts w:ascii="Times New Roman" w:hAnsi="Times New Roman" w:cs="Times New Roman"/>
          <w:b/>
          <w:bCs/>
        </w:rPr>
        <w:t xml:space="preserve">(a.) </w:t>
      </w:r>
      <w:r w:rsidRPr="009D5A2C">
        <w:rPr>
          <w:rFonts w:ascii="Times New Roman" w:hAnsi="Times New Roman" w:cs="Times New Roman"/>
          <w:bCs/>
        </w:rPr>
        <w:t>Schematic diagram of the experimental protocol implemented for iPSC differentiation into iPSC-derived cortical neurons. Conditioned media for EV isolation was collected between DAI 27 and 40.</w:t>
      </w:r>
      <w:r w:rsidRPr="009D5A2C">
        <w:rPr>
          <w:rFonts w:ascii="Times New Roman" w:hAnsi="Times New Roman" w:cs="Times New Roman"/>
          <w:b/>
          <w:bCs/>
        </w:rPr>
        <w:t xml:space="preserve"> (b.) </w:t>
      </w:r>
      <w:r w:rsidRPr="009D5A2C">
        <w:rPr>
          <w:rFonts w:ascii="Times New Roman" w:hAnsi="Times New Roman" w:cs="Times New Roman"/>
          <w:bCs/>
        </w:rPr>
        <w:t xml:space="preserve">Representative ICC images of iPSC-derived neurons stained for CTIP2 (layer V cortical neuron marker, in green), TBR1 (layer VI cortical neuron marker, in far-red), TUJ (neuronal differentiation marker, in red[left]/orange[right]) and DAPI (nuclear marker, in blue) at day 36 of neuronal differentiation. </w:t>
      </w:r>
      <w:r w:rsidRPr="009D5A2C">
        <w:rPr>
          <w:rFonts w:ascii="Times New Roman" w:hAnsi="Times New Roman" w:cs="Times New Roman"/>
        </w:rPr>
        <w:t>Magnification</w:t>
      </w:r>
      <w:r w:rsidRPr="009D5A2C">
        <w:rPr>
          <w:rFonts w:ascii="Times New Roman" w:hAnsi="Times New Roman" w:cs="Times New Roman"/>
          <w:bCs/>
        </w:rPr>
        <w:t xml:space="preserve"> = 20X, scale bars = 50 </w:t>
      </w:r>
      <w:r w:rsidRPr="009D5A2C">
        <w:rPr>
          <w:rFonts w:ascii="Times New Roman" w:hAnsi="Times New Roman" w:cs="Times New Roman"/>
        </w:rPr>
        <w:sym w:font="Symbol" w:char="F06D"/>
      </w:r>
      <w:r w:rsidRPr="009D5A2C">
        <w:rPr>
          <w:rFonts w:ascii="Times New Roman" w:hAnsi="Times New Roman" w:cs="Times New Roman"/>
          <w:bCs/>
        </w:rPr>
        <w:t xml:space="preserve">m </w:t>
      </w:r>
    </w:p>
    <w:p w14:paraId="63BCF8B8" w14:textId="77777777" w:rsidR="00210864" w:rsidRDefault="00210864" w:rsidP="00F50D83">
      <w:pPr>
        <w:pStyle w:val="NormalWeb"/>
        <w:spacing w:before="0" w:beforeAutospacing="0" w:after="0" w:afterAutospacing="0" w:line="480" w:lineRule="auto"/>
        <w:jc w:val="both"/>
        <w:rPr>
          <w:rFonts w:eastAsia="Calibri"/>
          <w:color w:val="000000" w:themeColor="text1"/>
          <w:kern w:val="24"/>
          <w:sz w:val="22"/>
          <w:szCs w:val="22"/>
        </w:rPr>
      </w:pPr>
    </w:p>
    <w:p w14:paraId="195888BB" w14:textId="2DF84E10" w:rsidR="00210864" w:rsidRPr="00210864" w:rsidRDefault="00210864" w:rsidP="00F50D83">
      <w:pPr>
        <w:pStyle w:val="NormalWeb"/>
        <w:spacing w:before="0" w:beforeAutospacing="0" w:after="0" w:afterAutospacing="0" w:line="480" w:lineRule="auto"/>
        <w:jc w:val="both"/>
        <w:rPr>
          <w:rFonts w:eastAsia="Calibri"/>
          <w:b/>
          <w:bCs/>
          <w:color w:val="000000" w:themeColor="text1"/>
          <w:kern w:val="24"/>
          <w:sz w:val="22"/>
          <w:szCs w:val="22"/>
        </w:rPr>
      </w:pPr>
      <w:r w:rsidRPr="00210864">
        <w:rPr>
          <w:rFonts w:eastAsia="Calibri"/>
          <w:b/>
          <w:bCs/>
          <w:color w:val="000000" w:themeColor="text1"/>
          <w:kern w:val="24"/>
          <w:sz w:val="22"/>
          <w:szCs w:val="22"/>
        </w:rPr>
        <w:t>Fig. S2</w:t>
      </w:r>
    </w:p>
    <w:p w14:paraId="5C40E10F" w14:textId="7790405E" w:rsidR="00210864" w:rsidRDefault="00261274" w:rsidP="00210864">
      <w:pPr>
        <w:pStyle w:val="NormalWeb"/>
        <w:spacing w:before="0" w:beforeAutospacing="0" w:after="0" w:afterAutospacing="0" w:line="480" w:lineRule="auto"/>
        <w:jc w:val="center"/>
        <w:rPr>
          <w:rFonts w:eastAsia="Calibri"/>
          <w:color w:val="000000" w:themeColor="text1"/>
          <w:kern w:val="24"/>
          <w:sz w:val="22"/>
          <w:szCs w:val="22"/>
        </w:rPr>
      </w:pPr>
      <w:r>
        <w:rPr>
          <w:rFonts w:eastAsia="Calibri"/>
          <w:noProof/>
          <w:color w:val="000000" w:themeColor="text1"/>
          <w:kern w:val="24"/>
          <w:sz w:val="22"/>
          <w:szCs w:val="22"/>
          <w14:ligatures w14:val="standardContextual"/>
        </w:rPr>
        <w:lastRenderedPageBreak/>
        <w:drawing>
          <wp:inline distT="0" distB="0" distL="0" distR="0" wp14:anchorId="740240C5" wp14:editId="2BDB7400">
            <wp:extent cx="2654300" cy="2260600"/>
            <wp:effectExtent l="0" t="0" r="0" b="0"/>
            <wp:docPr id="317649784" name="Picture 2" descr="A diagram of a normal amount of liqui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649784" name="Picture 2" descr="A diagram of a normal amount of liquid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2BD84" w14:textId="29D78CD0" w:rsidR="00F50D83" w:rsidRPr="009D5A2C" w:rsidRDefault="00F50D83" w:rsidP="00210864">
      <w:pPr>
        <w:pStyle w:val="NormalWeb"/>
        <w:spacing w:before="0" w:beforeAutospacing="0" w:after="0" w:afterAutospacing="0" w:line="480" w:lineRule="auto"/>
        <w:jc w:val="both"/>
        <w:rPr>
          <w:rFonts w:eastAsia="Calibri"/>
          <w:b/>
          <w:bCs/>
          <w:color w:val="000000" w:themeColor="text1"/>
          <w:kern w:val="24"/>
          <w:sz w:val="22"/>
          <w:szCs w:val="22"/>
        </w:rPr>
      </w:pPr>
      <w:r w:rsidRPr="009D5A2C">
        <w:rPr>
          <w:rFonts w:eastAsia="Calibri"/>
          <w:color w:val="000000" w:themeColor="text1"/>
          <w:kern w:val="24"/>
          <w:sz w:val="22"/>
          <w:szCs w:val="22"/>
        </w:rPr>
        <w:t xml:space="preserve">Fig. S2 </w:t>
      </w:r>
      <w:proofErr w:type="spellStart"/>
      <w:r w:rsidRPr="009D5A2C">
        <w:rPr>
          <w:rFonts w:eastAsia="Calibri"/>
          <w:b/>
          <w:bCs/>
          <w:color w:val="000000" w:themeColor="text1"/>
          <w:kern w:val="24"/>
          <w:sz w:val="22"/>
          <w:szCs w:val="22"/>
        </w:rPr>
        <w:t>NfL</w:t>
      </w:r>
      <w:proofErr w:type="spellEnd"/>
      <w:r w:rsidRPr="009D5A2C">
        <w:rPr>
          <w:rFonts w:eastAsia="Calibri"/>
          <w:b/>
          <w:bCs/>
          <w:color w:val="000000" w:themeColor="text1"/>
          <w:kern w:val="24"/>
          <w:sz w:val="22"/>
          <w:szCs w:val="22"/>
        </w:rPr>
        <w:t xml:space="preserve"> levels in CSF-derived EVs isolated by PPT also increase with increasing CSF starting volume.</w:t>
      </w:r>
    </w:p>
    <w:p w14:paraId="496D331D" w14:textId="4D41C89A" w:rsidR="00F50D83" w:rsidRDefault="00F50D83" w:rsidP="00F50D83">
      <w:pPr>
        <w:pStyle w:val="NormalWeb"/>
        <w:spacing w:before="0" w:beforeAutospacing="0" w:after="0" w:afterAutospacing="0" w:line="480" w:lineRule="auto"/>
        <w:jc w:val="both"/>
        <w:rPr>
          <w:rFonts w:eastAsia="Calibri"/>
          <w:color w:val="000000" w:themeColor="text1"/>
          <w:kern w:val="24"/>
          <w:sz w:val="22"/>
          <w:szCs w:val="22"/>
        </w:rPr>
      </w:pPr>
      <w:r w:rsidRPr="009D5A2C">
        <w:rPr>
          <w:rFonts w:eastAsia="Calibri"/>
          <w:color w:val="000000" w:themeColor="text1"/>
          <w:kern w:val="24"/>
          <w:sz w:val="22"/>
          <w:szCs w:val="22"/>
        </w:rPr>
        <w:t xml:space="preserve">The line plots denote SIMOA measurements of EV- associated (black) and free-floating (grey) </w:t>
      </w:r>
      <w:proofErr w:type="spellStart"/>
      <w:r w:rsidRPr="009D5A2C">
        <w:rPr>
          <w:rFonts w:eastAsia="Calibri"/>
          <w:color w:val="000000" w:themeColor="text1"/>
          <w:kern w:val="24"/>
          <w:sz w:val="22"/>
          <w:szCs w:val="22"/>
        </w:rPr>
        <w:t>NfL</w:t>
      </w:r>
      <w:proofErr w:type="spellEnd"/>
      <w:r w:rsidRPr="009D5A2C">
        <w:rPr>
          <w:rFonts w:eastAsia="Calibri"/>
          <w:color w:val="000000" w:themeColor="text1"/>
          <w:kern w:val="24"/>
          <w:sz w:val="22"/>
          <w:szCs w:val="22"/>
        </w:rPr>
        <w:t xml:space="preserve"> concentrations (</w:t>
      </w:r>
      <w:proofErr w:type="spellStart"/>
      <w:r w:rsidRPr="009D5A2C">
        <w:rPr>
          <w:rFonts w:eastAsia="Calibri"/>
          <w:color w:val="000000" w:themeColor="text1"/>
          <w:kern w:val="24"/>
          <w:sz w:val="22"/>
          <w:szCs w:val="22"/>
        </w:rPr>
        <w:t>pg</w:t>
      </w:r>
      <w:proofErr w:type="spellEnd"/>
      <w:r w:rsidRPr="009D5A2C">
        <w:rPr>
          <w:rFonts w:eastAsia="Calibri"/>
          <w:color w:val="000000" w:themeColor="text1"/>
          <w:kern w:val="24"/>
          <w:sz w:val="22"/>
          <w:szCs w:val="22"/>
        </w:rPr>
        <w:t>/mL), with the purple dashed line represents the lower limit of quantitation (</w:t>
      </w:r>
      <w:proofErr w:type="spellStart"/>
      <w:r w:rsidRPr="009D5A2C">
        <w:rPr>
          <w:rFonts w:eastAsia="Calibri"/>
          <w:color w:val="000000" w:themeColor="text1"/>
          <w:kern w:val="24"/>
          <w:sz w:val="22"/>
          <w:szCs w:val="22"/>
        </w:rPr>
        <w:t>LLoQ</w:t>
      </w:r>
      <w:proofErr w:type="spellEnd"/>
      <w:r w:rsidRPr="009D5A2C">
        <w:rPr>
          <w:rFonts w:eastAsia="Calibri"/>
          <w:color w:val="000000" w:themeColor="text1"/>
          <w:kern w:val="24"/>
          <w:sz w:val="22"/>
          <w:szCs w:val="22"/>
        </w:rPr>
        <w:t>) value (n=1)</w:t>
      </w:r>
    </w:p>
    <w:p w14:paraId="03B71025" w14:textId="77777777" w:rsidR="00F50D83" w:rsidRDefault="00F50D83" w:rsidP="00F50D83">
      <w:pPr>
        <w:pStyle w:val="NormalWeb"/>
        <w:spacing w:before="0" w:beforeAutospacing="0" w:after="0" w:afterAutospacing="0" w:line="480" w:lineRule="auto"/>
        <w:jc w:val="both"/>
        <w:rPr>
          <w:rFonts w:eastAsia="Calibri"/>
          <w:color w:val="000000" w:themeColor="text1"/>
          <w:kern w:val="24"/>
          <w:sz w:val="22"/>
          <w:szCs w:val="22"/>
        </w:rPr>
      </w:pPr>
    </w:p>
    <w:p w14:paraId="46690E8D" w14:textId="6785925F" w:rsidR="00424AAB" w:rsidRPr="00424AAB" w:rsidRDefault="00424AAB" w:rsidP="00F50D83">
      <w:pPr>
        <w:pStyle w:val="NormalWeb"/>
        <w:spacing w:before="0" w:beforeAutospacing="0" w:after="0" w:afterAutospacing="0" w:line="480" w:lineRule="auto"/>
        <w:jc w:val="both"/>
        <w:rPr>
          <w:rFonts w:eastAsia="Calibri"/>
          <w:b/>
          <w:bCs/>
          <w:color w:val="000000" w:themeColor="text1"/>
          <w:kern w:val="24"/>
          <w:sz w:val="22"/>
          <w:szCs w:val="22"/>
        </w:rPr>
      </w:pPr>
      <w:r w:rsidRPr="00424AAB">
        <w:rPr>
          <w:rFonts w:eastAsia="Calibri"/>
          <w:b/>
          <w:bCs/>
          <w:color w:val="000000" w:themeColor="text1"/>
          <w:kern w:val="24"/>
          <w:sz w:val="22"/>
          <w:szCs w:val="22"/>
        </w:rPr>
        <w:t>Table</w:t>
      </w:r>
      <w:r>
        <w:rPr>
          <w:rFonts w:eastAsia="Calibri"/>
          <w:b/>
          <w:bCs/>
          <w:color w:val="000000" w:themeColor="text1"/>
          <w:kern w:val="24"/>
          <w:sz w:val="22"/>
          <w:szCs w:val="22"/>
        </w:rPr>
        <w:t>s</w:t>
      </w:r>
    </w:p>
    <w:p w14:paraId="2559D886" w14:textId="04A760F3" w:rsidR="00F50D83" w:rsidRPr="00210864" w:rsidRDefault="00F50D83" w:rsidP="00F50D83">
      <w:pPr>
        <w:pStyle w:val="NormalWeb"/>
        <w:spacing w:before="0" w:beforeAutospacing="0" w:after="0" w:afterAutospacing="0" w:line="480" w:lineRule="auto"/>
        <w:jc w:val="both"/>
        <w:rPr>
          <w:rFonts w:eastAsia="Calibri"/>
          <w:b/>
          <w:bCs/>
          <w:color w:val="000000" w:themeColor="text1"/>
          <w:kern w:val="24"/>
          <w:sz w:val="22"/>
          <w:szCs w:val="22"/>
        </w:rPr>
      </w:pPr>
      <w:r w:rsidRPr="00210864">
        <w:rPr>
          <w:rFonts w:eastAsia="Calibri"/>
          <w:b/>
          <w:bCs/>
          <w:color w:val="000000" w:themeColor="text1"/>
          <w:kern w:val="24"/>
          <w:sz w:val="22"/>
          <w:szCs w:val="22"/>
        </w:rPr>
        <w:t xml:space="preserve">Table </w:t>
      </w:r>
      <w:r w:rsidR="00E75F5F">
        <w:rPr>
          <w:rFonts w:eastAsia="Calibri"/>
          <w:b/>
          <w:bCs/>
          <w:color w:val="000000" w:themeColor="text1"/>
          <w:kern w:val="24"/>
          <w:sz w:val="22"/>
          <w:szCs w:val="22"/>
        </w:rPr>
        <w:t>S</w:t>
      </w:r>
      <w:r w:rsidRPr="00210864">
        <w:rPr>
          <w:rFonts w:eastAsia="Calibri"/>
          <w:b/>
          <w:bCs/>
          <w:color w:val="000000" w:themeColor="text1"/>
          <w:kern w:val="24"/>
          <w:sz w:val="22"/>
          <w:szCs w:val="22"/>
        </w:rPr>
        <w:t>1</w:t>
      </w:r>
    </w:p>
    <w:p w14:paraId="06057BF1" w14:textId="79BEB9D7" w:rsidR="00F50D83" w:rsidRDefault="00424AAB" w:rsidP="00F50D83">
      <w:pPr>
        <w:pStyle w:val="NormalWeb"/>
        <w:spacing w:before="0" w:beforeAutospacing="0" w:after="0" w:afterAutospacing="0" w:line="480" w:lineRule="auto"/>
        <w:jc w:val="both"/>
        <w:rPr>
          <w:rFonts w:eastAsia="Calibri"/>
          <w:color w:val="000000" w:themeColor="text1"/>
          <w:kern w:val="24"/>
          <w:sz w:val="22"/>
          <w:szCs w:val="22"/>
        </w:rPr>
      </w:pPr>
      <w:r w:rsidRPr="00424AAB">
        <w:rPr>
          <w:rFonts w:eastAsia="Calibri"/>
          <w:noProof/>
          <w:color w:val="000000" w:themeColor="text1"/>
          <w:kern w:val="24"/>
          <w:sz w:val="22"/>
          <w:szCs w:val="22"/>
        </w:rPr>
        <w:drawing>
          <wp:inline distT="0" distB="0" distL="0" distR="0" wp14:anchorId="24EC56FB" wp14:editId="6AC5F16F">
            <wp:extent cx="5972810" cy="2741295"/>
            <wp:effectExtent l="0" t="0" r="0" b="1905"/>
            <wp:docPr id="746277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2777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F0C51" w14:textId="1BDF3276" w:rsidR="005A51A5" w:rsidRPr="00424AAB" w:rsidRDefault="00F50D83" w:rsidP="00210864">
      <w:pPr>
        <w:pStyle w:val="NormalWeb"/>
        <w:spacing w:line="480" w:lineRule="auto"/>
        <w:jc w:val="both"/>
        <w:rPr>
          <w:rFonts w:eastAsia="Calibri"/>
          <w:color w:val="000000" w:themeColor="text1"/>
          <w:kern w:val="24"/>
          <w:sz w:val="22"/>
          <w:szCs w:val="22"/>
        </w:rPr>
      </w:pPr>
      <w:r w:rsidRPr="00424AAB">
        <w:rPr>
          <w:rFonts w:eastAsia="Calibri"/>
          <w:color w:val="000000" w:themeColor="text1"/>
          <w:kern w:val="24"/>
          <w:sz w:val="22"/>
          <w:szCs w:val="22"/>
        </w:rPr>
        <w:t xml:space="preserve">Table </w:t>
      </w:r>
      <w:r w:rsidR="00670192">
        <w:rPr>
          <w:rFonts w:eastAsia="Calibri"/>
          <w:color w:val="000000" w:themeColor="text1"/>
          <w:kern w:val="24"/>
          <w:sz w:val="22"/>
          <w:szCs w:val="22"/>
        </w:rPr>
        <w:t>S</w:t>
      </w:r>
      <w:r w:rsidRPr="00424AAB">
        <w:rPr>
          <w:rFonts w:eastAsia="Calibri"/>
          <w:color w:val="000000" w:themeColor="text1"/>
          <w:kern w:val="24"/>
          <w:sz w:val="22"/>
          <w:szCs w:val="22"/>
        </w:rPr>
        <w:t xml:space="preserve">1 </w:t>
      </w:r>
      <w:r w:rsidRPr="00424AAB">
        <w:rPr>
          <w:rFonts w:eastAsia="Calibri"/>
          <w:b/>
          <w:bCs/>
          <w:color w:val="000000" w:themeColor="text1"/>
          <w:kern w:val="24"/>
          <w:sz w:val="22"/>
          <w:szCs w:val="22"/>
        </w:rPr>
        <w:t>List of antibodies used.</w:t>
      </w:r>
      <w:r w:rsidRPr="00424AAB">
        <w:rPr>
          <w:rFonts w:eastAsia="Calibri"/>
          <w:color w:val="000000" w:themeColor="text1"/>
          <w:kern w:val="24"/>
          <w:sz w:val="22"/>
          <w:szCs w:val="22"/>
        </w:rPr>
        <w:t xml:space="preserve"> </w:t>
      </w:r>
      <w:r w:rsidRPr="00F50D83">
        <w:rPr>
          <w:rFonts w:eastAsia="Calibri"/>
          <w:i/>
          <w:iCs/>
          <w:color w:val="000000" w:themeColor="text1"/>
          <w:kern w:val="24"/>
          <w:sz w:val="22"/>
          <w:szCs w:val="22"/>
        </w:rPr>
        <w:t>WB</w:t>
      </w:r>
      <w:r w:rsidRPr="00F50D83">
        <w:rPr>
          <w:rFonts w:eastAsia="Calibri"/>
          <w:color w:val="000000" w:themeColor="text1"/>
          <w:kern w:val="24"/>
          <w:sz w:val="22"/>
          <w:szCs w:val="22"/>
        </w:rPr>
        <w:t xml:space="preserve">, western blotting; </w:t>
      </w:r>
      <w:r w:rsidRPr="00F50D83">
        <w:rPr>
          <w:rFonts w:eastAsia="Calibri"/>
          <w:i/>
          <w:iCs/>
          <w:color w:val="000000" w:themeColor="text1"/>
          <w:kern w:val="24"/>
          <w:sz w:val="22"/>
          <w:szCs w:val="22"/>
        </w:rPr>
        <w:t>IP</w:t>
      </w:r>
      <w:r w:rsidRPr="00F50D83">
        <w:rPr>
          <w:rFonts w:eastAsia="Calibri"/>
          <w:color w:val="000000" w:themeColor="text1"/>
          <w:kern w:val="24"/>
          <w:sz w:val="22"/>
          <w:szCs w:val="22"/>
        </w:rPr>
        <w:t>, immunoprecipitatio</w:t>
      </w:r>
      <w:r w:rsidR="00210864" w:rsidRPr="00424AAB">
        <w:rPr>
          <w:rFonts w:eastAsia="Calibri"/>
          <w:color w:val="000000" w:themeColor="text1"/>
          <w:kern w:val="24"/>
          <w:sz w:val="22"/>
          <w:szCs w:val="22"/>
        </w:rPr>
        <w:t>n</w:t>
      </w:r>
    </w:p>
    <w:sectPr w:rsidR="005A51A5" w:rsidRPr="00424AAB" w:rsidSect="00F50D83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D83"/>
    <w:rsid w:val="000155A2"/>
    <w:rsid w:val="00016068"/>
    <w:rsid w:val="00017419"/>
    <w:rsid w:val="00073084"/>
    <w:rsid w:val="000B76DC"/>
    <w:rsid w:val="000D704E"/>
    <w:rsid w:val="000F3220"/>
    <w:rsid w:val="000F59A7"/>
    <w:rsid w:val="001056B5"/>
    <w:rsid w:val="00111792"/>
    <w:rsid w:val="00112BBD"/>
    <w:rsid w:val="001A17CC"/>
    <w:rsid w:val="001A376F"/>
    <w:rsid w:val="001E44D0"/>
    <w:rsid w:val="001E7148"/>
    <w:rsid w:val="00210864"/>
    <w:rsid w:val="00215E3F"/>
    <w:rsid w:val="0021673F"/>
    <w:rsid w:val="00225872"/>
    <w:rsid w:val="00241E44"/>
    <w:rsid w:val="00261274"/>
    <w:rsid w:val="00261739"/>
    <w:rsid w:val="002E710C"/>
    <w:rsid w:val="002F1877"/>
    <w:rsid w:val="00302623"/>
    <w:rsid w:val="003143BC"/>
    <w:rsid w:val="003252C8"/>
    <w:rsid w:val="00335D5A"/>
    <w:rsid w:val="00337949"/>
    <w:rsid w:val="003446E5"/>
    <w:rsid w:val="003860EE"/>
    <w:rsid w:val="00397E94"/>
    <w:rsid w:val="003A7147"/>
    <w:rsid w:val="003B7342"/>
    <w:rsid w:val="003C3862"/>
    <w:rsid w:val="003C651A"/>
    <w:rsid w:val="003E1086"/>
    <w:rsid w:val="0040428B"/>
    <w:rsid w:val="00424AAB"/>
    <w:rsid w:val="004321B3"/>
    <w:rsid w:val="00437CF5"/>
    <w:rsid w:val="00445FF3"/>
    <w:rsid w:val="0048775C"/>
    <w:rsid w:val="004905B9"/>
    <w:rsid w:val="004B6FF1"/>
    <w:rsid w:val="004D02DE"/>
    <w:rsid w:val="00526C73"/>
    <w:rsid w:val="005558A7"/>
    <w:rsid w:val="0056283E"/>
    <w:rsid w:val="00581861"/>
    <w:rsid w:val="005927BD"/>
    <w:rsid w:val="005A51A5"/>
    <w:rsid w:val="00647AB2"/>
    <w:rsid w:val="00650AD4"/>
    <w:rsid w:val="006531D3"/>
    <w:rsid w:val="00664BC5"/>
    <w:rsid w:val="00670192"/>
    <w:rsid w:val="0067423A"/>
    <w:rsid w:val="006A113A"/>
    <w:rsid w:val="006D32B1"/>
    <w:rsid w:val="006D6CEC"/>
    <w:rsid w:val="006E0B3A"/>
    <w:rsid w:val="00710477"/>
    <w:rsid w:val="00752E07"/>
    <w:rsid w:val="00761190"/>
    <w:rsid w:val="00765546"/>
    <w:rsid w:val="00787486"/>
    <w:rsid w:val="007A5F38"/>
    <w:rsid w:val="007C5B76"/>
    <w:rsid w:val="008476B7"/>
    <w:rsid w:val="008864E4"/>
    <w:rsid w:val="008C1CB8"/>
    <w:rsid w:val="008D2F1C"/>
    <w:rsid w:val="008F6D45"/>
    <w:rsid w:val="0091175F"/>
    <w:rsid w:val="00911DF3"/>
    <w:rsid w:val="00923480"/>
    <w:rsid w:val="00932013"/>
    <w:rsid w:val="00936246"/>
    <w:rsid w:val="00946FF2"/>
    <w:rsid w:val="00952C31"/>
    <w:rsid w:val="009561AA"/>
    <w:rsid w:val="00970EB1"/>
    <w:rsid w:val="009D42FA"/>
    <w:rsid w:val="009E7C9C"/>
    <w:rsid w:val="00A16D0D"/>
    <w:rsid w:val="00A375CC"/>
    <w:rsid w:val="00A60552"/>
    <w:rsid w:val="00A86498"/>
    <w:rsid w:val="00AB007A"/>
    <w:rsid w:val="00AB35AB"/>
    <w:rsid w:val="00AC3A25"/>
    <w:rsid w:val="00AC67F6"/>
    <w:rsid w:val="00AC6ADB"/>
    <w:rsid w:val="00AD4448"/>
    <w:rsid w:val="00AE76E4"/>
    <w:rsid w:val="00AF7CF4"/>
    <w:rsid w:val="00B27BFA"/>
    <w:rsid w:val="00B744A3"/>
    <w:rsid w:val="00B80146"/>
    <w:rsid w:val="00B94B06"/>
    <w:rsid w:val="00B95388"/>
    <w:rsid w:val="00BA2855"/>
    <w:rsid w:val="00BA2A78"/>
    <w:rsid w:val="00BA40A5"/>
    <w:rsid w:val="00BC7884"/>
    <w:rsid w:val="00BC7B69"/>
    <w:rsid w:val="00BF1E0A"/>
    <w:rsid w:val="00C3669F"/>
    <w:rsid w:val="00C37E66"/>
    <w:rsid w:val="00C56541"/>
    <w:rsid w:val="00CC2D74"/>
    <w:rsid w:val="00CC7EDF"/>
    <w:rsid w:val="00CF1D87"/>
    <w:rsid w:val="00D17017"/>
    <w:rsid w:val="00D47F72"/>
    <w:rsid w:val="00DB1DC8"/>
    <w:rsid w:val="00DC6AD5"/>
    <w:rsid w:val="00DD3978"/>
    <w:rsid w:val="00DE0953"/>
    <w:rsid w:val="00DE7F31"/>
    <w:rsid w:val="00DF5B70"/>
    <w:rsid w:val="00E017BB"/>
    <w:rsid w:val="00E07CC6"/>
    <w:rsid w:val="00E75F5F"/>
    <w:rsid w:val="00F06FD9"/>
    <w:rsid w:val="00F45F07"/>
    <w:rsid w:val="00F50D83"/>
    <w:rsid w:val="00F85168"/>
    <w:rsid w:val="00FB7434"/>
    <w:rsid w:val="00FC767C"/>
    <w:rsid w:val="00FE2D15"/>
    <w:rsid w:val="00FF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F0CBE"/>
  <w15:chartTrackingRefBased/>
  <w15:docId w15:val="{2C2E0303-F6CF-BC4B-B9DA-0ABD62D8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D8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0D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D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D8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D8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D8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D8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D8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D8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D8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D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D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D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D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D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D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0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D8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0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D8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0D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D8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0D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D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D8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5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E710C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2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Vaibhavi Kadam</dc:creator>
  <cp:keywords/>
  <dc:description/>
  <cp:lastModifiedBy>Vaibhavi Kadam</cp:lastModifiedBy>
  <cp:revision>7</cp:revision>
  <dcterms:created xsi:type="dcterms:W3CDTF">2024-10-13T20:37:00Z</dcterms:created>
  <dcterms:modified xsi:type="dcterms:W3CDTF">2025-03-20T12:23:00Z</dcterms:modified>
</cp:coreProperties>
</file>