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D1794" w14:textId="4AF3FC50" w:rsidR="00231123" w:rsidRDefault="008624E8" w:rsidP="006301B2">
      <w:pPr>
        <w:ind w:left="-1701" w:right="-1561"/>
        <w:jc w:val="center"/>
      </w:pPr>
      <w:r>
        <w:rPr>
          <w:noProof/>
        </w:rPr>
        <w:drawing>
          <wp:inline distT="0" distB="0" distL="0" distR="0" wp14:anchorId="063AAE7B" wp14:editId="50A4CFD6">
            <wp:extent cx="5394325" cy="3958590"/>
            <wp:effectExtent l="0" t="0" r="0" b="3810"/>
            <wp:docPr id="180195042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325" cy="395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AAB67" w14:textId="6D0D0A7B" w:rsidR="006301B2" w:rsidRPr="006301B2" w:rsidRDefault="006301B2" w:rsidP="006301B2">
      <w:pPr>
        <w:ind w:right="-1"/>
        <w:jc w:val="both"/>
        <w:rPr>
          <w:lang w:val="en-US"/>
        </w:rPr>
      </w:pPr>
      <w:r w:rsidRPr="00236C43">
        <w:rPr>
          <w:b/>
          <w:bCs/>
          <w:lang w:val="en-US"/>
        </w:rPr>
        <w:t>Supplementary Figure 1. Principal Component Analysis (PCA) of RNA-seq samples</w:t>
      </w:r>
      <w:r>
        <w:rPr>
          <w:lang w:val="en-US"/>
        </w:rPr>
        <w:t xml:space="preserve">. PCA was </w:t>
      </w:r>
      <w:r w:rsidRPr="006301B2">
        <w:rPr>
          <w:lang w:val="en-US"/>
        </w:rPr>
        <w:t xml:space="preserve">performed on variance-stabilized (VST) gene-level counts (DESeq2) from control, LPS- and IL-4–treated samples collected at 12 h and 24 h. </w:t>
      </w:r>
      <w:r w:rsidR="00826982" w:rsidRPr="00826982">
        <w:rPr>
          <w:lang w:val="en-US"/>
        </w:rPr>
        <w:t>The first two principal components are shown; PC1 and PC2 explain 58.7% and 13.6% of the total variance, respectively (cumulative variance, 72.3%).</w:t>
      </w:r>
      <w:r w:rsidR="00826982">
        <w:rPr>
          <w:lang w:val="en-US"/>
        </w:rPr>
        <w:t xml:space="preserve"> </w:t>
      </w:r>
      <w:r w:rsidRPr="006301B2">
        <w:rPr>
          <w:lang w:val="en-US"/>
        </w:rPr>
        <w:t>Each point represents one biological replicate, labeled with its sample identifier.</w:t>
      </w:r>
    </w:p>
    <w:sectPr w:rsidR="006301B2" w:rsidRPr="006301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1B2"/>
    <w:rsid w:val="00097A1C"/>
    <w:rsid w:val="00231123"/>
    <w:rsid w:val="00236C43"/>
    <w:rsid w:val="002C3F67"/>
    <w:rsid w:val="00605586"/>
    <w:rsid w:val="006301B2"/>
    <w:rsid w:val="006B7D7E"/>
    <w:rsid w:val="006C3FDB"/>
    <w:rsid w:val="00826982"/>
    <w:rsid w:val="008624E8"/>
    <w:rsid w:val="009B76D4"/>
    <w:rsid w:val="00EF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99BD5"/>
  <w15:chartTrackingRefBased/>
  <w15:docId w15:val="{39E71DC4-C9C8-4587-BF0D-CBFFA5A76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301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301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301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301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301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301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301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301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301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301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301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301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301B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301B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301B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301B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301B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301B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301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301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301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301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301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301B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301B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301B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301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301B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301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67</Words>
  <Characters>392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Herrero González</dc:creator>
  <cp:keywords/>
  <dc:description/>
  <cp:lastModifiedBy>Amanda Herrero González</cp:lastModifiedBy>
  <cp:revision>3</cp:revision>
  <dcterms:created xsi:type="dcterms:W3CDTF">2026-01-21T11:40:00Z</dcterms:created>
  <dcterms:modified xsi:type="dcterms:W3CDTF">2026-01-21T18:20:00Z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467e6965-c34c-43f2-99eb-eaf88ba9b3db</vt:lpwstr>
  </property>
</Properties>
</file>