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C848" w14:textId="77777777" w:rsidR="004F4F96" w:rsidRPr="00686BDC" w:rsidRDefault="004F4F96" w:rsidP="004F4F96">
      <w:pPr>
        <w:spacing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s-MX"/>
        </w:rPr>
        <w:t>Supplementary</w:t>
      </w:r>
      <w:r w:rsidRPr="001A1BE9">
        <w:rPr>
          <w:rFonts w:ascii="Times New Roman" w:hAnsi="Times New Roman" w:cs="Times New Roman"/>
          <w:b/>
          <w:bCs/>
          <w:sz w:val="32"/>
          <w:szCs w:val="32"/>
          <w:lang w:val="es-MX"/>
        </w:rPr>
        <w:t xml:space="preserve"> Figures</w:t>
      </w:r>
    </w:p>
    <w:p w14:paraId="34F72D2C" w14:textId="77777777" w:rsidR="004F4F96" w:rsidRDefault="004F4F96"/>
    <w:p w14:paraId="6A81058F" w14:textId="24A00744" w:rsidR="002A1C13" w:rsidRDefault="0082134D">
      <w:r w:rsidRPr="0082134D">
        <w:rPr>
          <w:noProof/>
        </w:rPr>
        <w:drawing>
          <wp:inline distT="0" distB="0" distL="0" distR="0" wp14:anchorId="2A438283" wp14:editId="28098258">
            <wp:extent cx="5612130" cy="6237605"/>
            <wp:effectExtent l="0" t="0" r="1270" b="0"/>
            <wp:docPr id="14418009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009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E78D2" w14:textId="77777777" w:rsidR="004F4F96" w:rsidRDefault="004F4F96"/>
    <w:p w14:paraId="785718F1" w14:textId="779909D9" w:rsidR="004F4F96" w:rsidRPr="00C500DC" w:rsidRDefault="004F4F96" w:rsidP="004F4F96">
      <w:pPr>
        <w:spacing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E7DCA">
        <w:rPr>
          <w:rFonts w:ascii="Times New Roman" w:hAnsi="Times New Roman" w:cs="Times New Roman"/>
          <w:b/>
          <w:bCs/>
          <w:sz w:val="21"/>
          <w:szCs w:val="21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.</w:t>
      </w:r>
      <w:r w:rsidRPr="007E7DCA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1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  <w:r w:rsidRPr="00AE3198">
        <w:rPr>
          <w:rFonts w:ascii="Times New Roman" w:hAnsi="Times New Roman" w:cs="Times New Roman"/>
          <w:b/>
          <w:bCs/>
          <w:sz w:val="21"/>
          <w:szCs w:val="21"/>
          <w:lang w:val="en-US"/>
        </w:rPr>
        <w:t>Time-course analysis of LC3-II levels in cultured astrocytes treated with D-BHB.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(A)</w:t>
      </w:r>
      <w:r w:rsidRPr="00D337E5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Representative immunoblot of LC3-I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(top panel) and LC3-II (under high exposure, middle panel) and actin (bottom panel)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levels in astrocytes incubated with 5 mM BHB for different time points (1–6 hours)</w:t>
      </w:r>
      <w:r w:rsidRPr="00D337E5">
        <w:rPr>
          <w:rFonts w:ascii="Times New Roman" w:hAnsi="Times New Roman" w:cs="Times New Roman"/>
          <w:lang w:val="en-US"/>
        </w:rPr>
        <w:t xml:space="preserve">. </w:t>
      </w:r>
      <w:r w:rsidRPr="00C500DC">
        <w:rPr>
          <w:rFonts w:ascii="Times New Roman" w:hAnsi="Times New Roman" w:cs="Times New Roman"/>
          <w:sz w:val="18"/>
          <w:szCs w:val="18"/>
          <w:lang w:val="en-US"/>
        </w:rPr>
        <w:t>Graphs show quantitative data of LC3-1/actin and LC3-II/actin levels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C500DC">
        <w:rPr>
          <w:rFonts w:ascii="Times New Roman" w:hAnsi="Times New Roman" w:cs="Times New Roman"/>
          <w:sz w:val="18"/>
          <w:szCs w:val="18"/>
          <w:lang w:val="en-US"/>
        </w:rPr>
        <w:t xml:space="preserve">expressed as mean ± </w:t>
      </w:r>
      <w:r w:rsidRPr="00AF1349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SD</w:t>
      </w:r>
      <w:r w:rsidRPr="00C500DC">
        <w:rPr>
          <w:rFonts w:ascii="Times New Roman" w:hAnsi="Times New Roman" w:cs="Times New Roman"/>
          <w:color w:val="FF0000"/>
          <w:sz w:val="18"/>
          <w:szCs w:val="18"/>
          <w:lang w:val="en-US"/>
        </w:rPr>
        <w:t xml:space="preserve"> </w:t>
      </w:r>
      <w:r w:rsidRPr="00C500DC">
        <w:rPr>
          <w:rFonts w:ascii="Times New Roman" w:hAnsi="Times New Roman" w:cs="Times New Roman"/>
          <w:sz w:val="18"/>
          <w:szCs w:val="18"/>
          <w:lang w:val="en-US"/>
        </w:rPr>
        <w:t xml:space="preserve">from </w:t>
      </w:r>
      <w:r w:rsidR="003603BD" w:rsidRPr="00FE5FBA">
        <w:rPr>
          <w:rFonts w:ascii="Times New Roman" w:hAnsi="Times New Roman" w:cs="Times New Roman"/>
          <w:sz w:val="18"/>
          <w:szCs w:val="18"/>
          <w:lang w:val="en-US"/>
        </w:rPr>
        <w:t>6</w:t>
      </w:r>
      <w:r w:rsidRPr="00FE5FBA">
        <w:rPr>
          <w:rFonts w:ascii="Times New Roman" w:hAnsi="Times New Roman" w:cs="Times New Roman"/>
          <w:sz w:val="18"/>
          <w:szCs w:val="18"/>
          <w:lang w:val="en-US"/>
        </w:rPr>
        <w:t xml:space="preserve"> and </w:t>
      </w:r>
      <w:r w:rsidR="003603BD" w:rsidRPr="00FE5FBA">
        <w:rPr>
          <w:rFonts w:ascii="Times New Roman" w:hAnsi="Times New Roman" w:cs="Times New Roman"/>
          <w:sz w:val="18"/>
          <w:szCs w:val="18"/>
          <w:lang w:val="en-US"/>
        </w:rPr>
        <w:t>4</w:t>
      </w:r>
      <w:r w:rsidRPr="00C500DC">
        <w:rPr>
          <w:rFonts w:ascii="Times New Roman" w:hAnsi="Times New Roman" w:cs="Times New Roman"/>
          <w:sz w:val="18"/>
          <w:szCs w:val="18"/>
          <w:lang w:val="en-US"/>
        </w:rPr>
        <w:t xml:space="preserve"> independent experiments. </w:t>
      </w:r>
      <w:r w:rsidRPr="00C500DC">
        <w:rPr>
          <w:rFonts w:ascii="Times New Roman" w:hAnsi="Times New Roman" w:cs="Times New Roman"/>
          <w:sz w:val="18"/>
          <w:szCs w:val="18"/>
          <w:lang w:val="en-US"/>
        </w:rPr>
        <w:lastRenderedPageBreak/>
        <w:t>Statistical analysis was performed using one-way ANOVA followed by Fisher’s post-hoc test.</w:t>
      </w:r>
      <w:r w:rsidR="007E7BF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E7BF0" w:rsidRPr="007E7BF0">
        <w:rPr>
          <w:rFonts w:ascii="Times New Roman" w:hAnsi="Times New Roman" w:cs="Times New Roman"/>
          <w:b/>
          <w:bCs/>
          <w:sz w:val="21"/>
          <w:szCs w:val="21"/>
          <w:lang w:val="en-US"/>
        </w:rPr>
        <w:t>(B)</w:t>
      </w:r>
      <w:r w:rsidR="007E7BF0" w:rsidRPr="007E7BF0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="007E7BF0" w:rsidRPr="007E7BF0">
        <w:rPr>
          <w:rFonts w:ascii="Times New Roman" w:hAnsi="Times New Roman" w:cs="Times New Roman"/>
          <w:sz w:val="18"/>
          <w:szCs w:val="18"/>
          <w:lang w:val="en-US"/>
        </w:rPr>
        <w:t xml:space="preserve">Relative expression of SQSTM1/p62 in cultured astrocytes under control conditions or treated with D-BHB, EX-527, or SBI for 2 h. Data are expressed as mean ± SD from </w:t>
      </w:r>
      <w:r w:rsidR="00A86FDD" w:rsidRPr="00FE5FBA">
        <w:rPr>
          <w:rFonts w:ascii="Times New Roman" w:hAnsi="Times New Roman" w:cs="Times New Roman"/>
          <w:sz w:val="18"/>
          <w:szCs w:val="18"/>
          <w:lang w:val="en-US"/>
        </w:rPr>
        <w:t>3</w:t>
      </w:r>
      <w:r w:rsidR="007E7BF0" w:rsidRPr="007E7BF0">
        <w:rPr>
          <w:rFonts w:ascii="Times New Roman" w:hAnsi="Times New Roman" w:cs="Times New Roman"/>
          <w:sz w:val="18"/>
          <w:szCs w:val="18"/>
          <w:lang w:val="en-US"/>
        </w:rPr>
        <w:t xml:space="preserve"> independent experiments. Statistical analysis was performed using unpaired t tests.</w:t>
      </w:r>
    </w:p>
    <w:p w14:paraId="48156882" w14:textId="77777777" w:rsidR="004F4F96" w:rsidRPr="00A86FDD" w:rsidRDefault="004F4F96">
      <w:pPr>
        <w:rPr>
          <w:lang w:val="en-US"/>
        </w:rPr>
      </w:pPr>
    </w:p>
    <w:p w14:paraId="0662C565" w14:textId="388754B3" w:rsidR="004F4F96" w:rsidRDefault="00D12042">
      <w:r w:rsidRPr="00D12042">
        <w:rPr>
          <w:noProof/>
        </w:rPr>
        <w:drawing>
          <wp:inline distT="0" distB="0" distL="0" distR="0" wp14:anchorId="3AC92ED8" wp14:editId="7B9C2C0D">
            <wp:extent cx="5612130" cy="3832860"/>
            <wp:effectExtent l="0" t="0" r="1270" b="2540"/>
            <wp:docPr id="11140879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879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C840D" w14:textId="005733E3" w:rsidR="004F4F96" w:rsidRDefault="004F4F96" w:rsidP="004F4F96">
      <w:pPr>
        <w:pStyle w:val="NormalWeb"/>
        <w:spacing w:line="480" w:lineRule="auto"/>
        <w:jc w:val="both"/>
        <w:rPr>
          <w:color w:val="000000"/>
          <w:sz w:val="20"/>
          <w:szCs w:val="20"/>
          <w:lang w:val="en-US"/>
        </w:rPr>
      </w:pPr>
      <w:r w:rsidRPr="007E7DCA">
        <w:rPr>
          <w:rStyle w:val="Fuerte"/>
          <w:rFonts w:eastAsiaTheme="majorEastAsia"/>
          <w:color w:val="000000"/>
          <w:sz w:val="21"/>
          <w:szCs w:val="21"/>
          <w:lang w:val="en-US"/>
        </w:rPr>
        <w:t>Supplementary Fig</w:t>
      </w:r>
      <w:r>
        <w:rPr>
          <w:rStyle w:val="Fuerte"/>
          <w:rFonts w:eastAsiaTheme="majorEastAsia"/>
          <w:color w:val="000000"/>
          <w:sz w:val="21"/>
          <w:szCs w:val="21"/>
          <w:lang w:val="en-US"/>
        </w:rPr>
        <w:t>.</w:t>
      </w:r>
      <w:r w:rsidRPr="007E7DCA">
        <w:rPr>
          <w:rStyle w:val="Fuerte"/>
          <w:rFonts w:eastAsiaTheme="majorEastAsia"/>
          <w:color w:val="000000"/>
          <w:sz w:val="21"/>
          <w:szCs w:val="21"/>
          <w:lang w:val="en-US"/>
        </w:rPr>
        <w:t xml:space="preserve"> 2</w:t>
      </w:r>
      <w:r w:rsidRPr="00D337E5">
        <w:rPr>
          <w:rStyle w:val="Fuerte"/>
          <w:rFonts w:eastAsiaTheme="majorEastAsia"/>
          <w:color w:val="000000"/>
          <w:sz w:val="21"/>
          <w:szCs w:val="21"/>
          <w:lang w:val="en-US"/>
        </w:rPr>
        <w:t xml:space="preserve"> </w:t>
      </w:r>
      <w:r w:rsidRPr="0045778C">
        <w:rPr>
          <w:rStyle w:val="Fuerte"/>
          <w:rFonts w:eastAsiaTheme="majorEastAsia"/>
          <w:color w:val="000000"/>
          <w:sz w:val="21"/>
          <w:szCs w:val="21"/>
          <w:lang w:val="en-US"/>
        </w:rPr>
        <w:t xml:space="preserve">Effect of </w:t>
      </w:r>
      <w:r w:rsidR="0049010E" w:rsidRPr="00FE5FBA">
        <w:rPr>
          <w:rStyle w:val="Fuerte"/>
          <w:rFonts w:eastAsiaTheme="majorEastAsia"/>
          <w:color w:val="000000"/>
          <w:sz w:val="21"/>
          <w:szCs w:val="21"/>
          <w:lang w:val="en-US"/>
        </w:rPr>
        <w:t>D-</w:t>
      </w:r>
      <w:r w:rsidRPr="00FE5FBA">
        <w:rPr>
          <w:rStyle w:val="Fuerte"/>
          <w:rFonts w:eastAsiaTheme="majorEastAsia"/>
          <w:color w:val="000000"/>
          <w:sz w:val="21"/>
          <w:szCs w:val="21"/>
          <w:lang w:val="en-US"/>
        </w:rPr>
        <w:t>BHB</w:t>
      </w:r>
      <w:r w:rsidRPr="0045778C">
        <w:rPr>
          <w:rStyle w:val="Fuerte"/>
          <w:rFonts w:eastAsiaTheme="majorEastAsia"/>
          <w:color w:val="000000"/>
          <w:sz w:val="21"/>
          <w:szCs w:val="21"/>
          <w:lang w:val="en-US"/>
        </w:rPr>
        <w:t xml:space="preserve"> on mTORC1.</w:t>
      </w:r>
      <w:r w:rsidRPr="0045778C">
        <w:rPr>
          <w:color w:val="000000"/>
          <w:sz w:val="21"/>
          <w:szCs w:val="21"/>
          <w:lang w:val="en-US"/>
        </w:rPr>
        <w:t xml:space="preserve"> </w:t>
      </w:r>
      <w:r w:rsidRPr="00D337E5">
        <w:rPr>
          <w:color w:val="000000"/>
          <w:sz w:val="20"/>
          <w:szCs w:val="20"/>
          <w:lang w:val="en-US"/>
        </w:rPr>
        <w:t>Representative Western blot and quantification of p-mTOR Ser-2448/Actin and p-ULK1 Ser-757/Actin,</w:t>
      </w:r>
      <w:r w:rsidRPr="00D337E5">
        <w:rPr>
          <w:rStyle w:val="apple-converted-space"/>
          <w:rFonts w:eastAsiaTheme="majorEastAsia"/>
          <w:color w:val="000000"/>
          <w:sz w:val="20"/>
          <w:szCs w:val="20"/>
          <w:lang w:val="en-US"/>
        </w:rPr>
        <w:t> </w:t>
      </w:r>
      <w:r w:rsidRPr="00D337E5">
        <w:rPr>
          <w:rStyle w:val="nfasis"/>
          <w:rFonts w:eastAsiaTheme="majorEastAsia"/>
          <w:color w:val="000000"/>
          <w:sz w:val="20"/>
          <w:szCs w:val="20"/>
          <w:lang w:val="en-US"/>
        </w:rPr>
        <w:t>n</w:t>
      </w:r>
      <w:r w:rsidRPr="00D337E5">
        <w:rPr>
          <w:rStyle w:val="apple-converted-space"/>
          <w:rFonts w:eastAsiaTheme="majorEastAsia"/>
          <w:color w:val="000000"/>
          <w:sz w:val="20"/>
          <w:szCs w:val="20"/>
          <w:lang w:val="en-US"/>
        </w:rPr>
        <w:t> </w:t>
      </w:r>
      <w:r w:rsidRPr="00D337E5">
        <w:rPr>
          <w:color w:val="000000"/>
          <w:sz w:val="20"/>
          <w:szCs w:val="20"/>
          <w:lang w:val="en-US"/>
        </w:rPr>
        <w:t xml:space="preserve">= </w:t>
      </w:r>
      <w:r>
        <w:rPr>
          <w:color w:val="000000"/>
          <w:sz w:val="20"/>
          <w:szCs w:val="20"/>
          <w:lang w:val="en-US"/>
        </w:rPr>
        <w:t>3</w:t>
      </w:r>
      <w:r w:rsidRPr="00D337E5">
        <w:rPr>
          <w:color w:val="000000"/>
          <w:sz w:val="20"/>
          <w:szCs w:val="20"/>
          <w:lang w:val="en-US"/>
        </w:rPr>
        <w:t xml:space="preserve">. Data are expressed as mean ± </w:t>
      </w:r>
      <w:r w:rsidRPr="001F1F15">
        <w:rPr>
          <w:color w:val="000000" w:themeColor="text1"/>
          <w:sz w:val="20"/>
          <w:szCs w:val="20"/>
          <w:lang w:val="en-US"/>
        </w:rPr>
        <w:t xml:space="preserve">SD and were </w:t>
      </w:r>
      <w:r w:rsidRPr="00D337E5">
        <w:rPr>
          <w:color w:val="000000"/>
          <w:sz w:val="20"/>
          <w:szCs w:val="20"/>
          <w:lang w:val="en-US"/>
        </w:rPr>
        <w:t>analyzed using one-way ANOVA followed by Fisher’s post-hoc test.</w:t>
      </w:r>
    </w:p>
    <w:p w14:paraId="4DBFC920" w14:textId="77777777" w:rsidR="00161067" w:rsidRDefault="00161067" w:rsidP="004F4F96">
      <w:pPr>
        <w:pStyle w:val="NormalWeb"/>
        <w:spacing w:line="480" w:lineRule="auto"/>
        <w:jc w:val="both"/>
        <w:rPr>
          <w:color w:val="000000"/>
          <w:sz w:val="20"/>
          <w:szCs w:val="20"/>
          <w:lang w:val="en-US"/>
        </w:rPr>
      </w:pPr>
    </w:p>
    <w:p w14:paraId="14141BDF" w14:textId="587012FF" w:rsidR="008828B5" w:rsidRDefault="00257982" w:rsidP="004F4F96">
      <w:pPr>
        <w:pStyle w:val="NormalWeb"/>
        <w:spacing w:line="480" w:lineRule="auto"/>
        <w:jc w:val="both"/>
        <w:rPr>
          <w:color w:val="000000"/>
          <w:sz w:val="20"/>
          <w:szCs w:val="20"/>
          <w:lang w:val="en-US"/>
        </w:rPr>
      </w:pPr>
      <w:r w:rsidRPr="00257982">
        <w:rPr>
          <w:noProof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E95A08B" wp14:editId="2C94BB60">
            <wp:extent cx="5612130" cy="4712970"/>
            <wp:effectExtent l="0" t="0" r="1270" b="0"/>
            <wp:docPr id="20461851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851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9CECF" w14:textId="252C2208" w:rsidR="00161067" w:rsidRPr="00C55A74" w:rsidRDefault="00161067" w:rsidP="00161067">
      <w:pPr>
        <w:pStyle w:val="NormalWeb"/>
        <w:spacing w:line="480" w:lineRule="auto"/>
        <w:jc w:val="both"/>
        <w:rPr>
          <w:color w:val="000000"/>
          <w:sz w:val="20"/>
          <w:szCs w:val="20"/>
          <w:lang w:val="en-US"/>
        </w:rPr>
      </w:pPr>
      <w:r w:rsidRPr="00C55A74">
        <w:rPr>
          <w:b/>
          <w:bCs/>
          <w:sz w:val="20"/>
          <w:szCs w:val="20"/>
          <w:lang w:val="en-US"/>
        </w:rPr>
        <w:t>Supplementary Fig. 3. Effect of EX-527 (1 µM) on AMPK phosphorylation in cultured astrocytes.</w:t>
      </w:r>
      <w:r w:rsidR="00A87627" w:rsidRPr="00C55A74">
        <w:rPr>
          <w:b/>
          <w:bCs/>
          <w:sz w:val="20"/>
          <w:szCs w:val="20"/>
          <w:lang w:val="en-US"/>
        </w:rPr>
        <w:t xml:space="preserve"> </w:t>
      </w:r>
      <w:r w:rsidRPr="00C55A74">
        <w:rPr>
          <w:sz w:val="20"/>
          <w:szCs w:val="20"/>
          <w:lang w:val="en-US"/>
        </w:rPr>
        <w:t>Representative immunoblot showing phosphorylated</w:t>
      </w:r>
      <w:r w:rsidR="0045075F" w:rsidRPr="00C55A74">
        <w:rPr>
          <w:sz w:val="20"/>
          <w:szCs w:val="20"/>
          <w:lang w:val="en-US"/>
        </w:rPr>
        <w:t xml:space="preserve"> </w:t>
      </w:r>
      <w:r w:rsidRPr="00C55A74">
        <w:rPr>
          <w:sz w:val="20"/>
          <w:szCs w:val="20"/>
          <w:lang w:val="en-US"/>
        </w:rPr>
        <w:t>p-AMPK</w:t>
      </w:r>
      <w:r w:rsidR="0045075F" w:rsidRPr="00C55A74">
        <w:rPr>
          <w:sz w:val="20"/>
          <w:szCs w:val="20"/>
          <w:lang w:val="en-US"/>
        </w:rPr>
        <w:t>/</w:t>
      </w:r>
      <w:r w:rsidRPr="00C55A74">
        <w:rPr>
          <w:sz w:val="20"/>
          <w:szCs w:val="20"/>
          <w:lang w:val="en-US"/>
        </w:rPr>
        <w:t xml:space="preserve">AMPK, and </w:t>
      </w:r>
      <w:r w:rsidR="0045075F" w:rsidRPr="00C55A74">
        <w:rPr>
          <w:sz w:val="20"/>
          <w:szCs w:val="20"/>
          <w:lang w:val="en-US"/>
        </w:rPr>
        <w:t>p-AMPK/</w:t>
      </w:r>
      <w:r w:rsidR="008F688D" w:rsidRPr="00C55A74">
        <w:rPr>
          <w:sz w:val="20"/>
          <w:szCs w:val="20"/>
          <w:lang w:val="en-US"/>
        </w:rPr>
        <w:t xml:space="preserve">Actin </w:t>
      </w:r>
      <w:r w:rsidRPr="00C55A74">
        <w:rPr>
          <w:sz w:val="20"/>
          <w:szCs w:val="20"/>
          <w:lang w:val="en-US"/>
        </w:rPr>
        <w:t xml:space="preserve">levels in cultured astrocytes under control conditions or treated with D-BHB (5 mM), </w:t>
      </w:r>
      <w:r w:rsidR="00C55A74" w:rsidRPr="00C55A74">
        <w:rPr>
          <w:sz w:val="20"/>
          <w:szCs w:val="20"/>
          <w:lang w:val="en-US"/>
        </w:rPr>
        <w:t xml:space="preserve">with or without </w:t>
      </w:r>
      <w:r w:rsidRPr="00C55A74">
        <w:rPr>
          <w:sz w:val="20"/>
          <w:szCs w:val="20"/>
          <w:lang w:val="en-US"/>
        </w:rPr>
        <w:t>EX-527 (1 µM), for 6 h. Representative graphs show the relative p-AMPK/AMPK and AMPK/actin ratios.</w:t>
      </w:r>
    </w:p>
    <w:p w14:paraId="1238BC68" w14:textId="77777777" w:rsidR="0093229E" w:rsidRPr="00D337E5" w:rsidRDefault="0093229E" w:rsidP="004F4F96">
      <w:pPr>
        <w:pStyle w:val="NormalWeb"/>
        <w:spacing w:line="480" w:lineRule="auto"/>
        <w:jc w:val="both"/>
        <w:rPr>
          <w:color w:val="000000"/>
          <w:sz w:val="20"/>
          <w:szCs w:val="20"/>
          <w:lang w:val="en-US"/>
        </w:rPr>
      </w:pPr>
    </w:p>
    <w:p w14:paraId="2F1C46E3" w14:textId="746A65BC" w:rsidR="004F4F96" w:rsidRDefault="00FE5FBA">
      <w:r w:rsidRPr="00FE5FBA">
        <w:lastRenderedPageBreak/>
        <w:drawing>
          <wp:inline distT="0" distB="0" distL="0" distR="0" wp14:anchorId="30CDC7D9" wp14:editId="0C2A7C8C">
            <wp:extent cx="5612130" cy="5570855"/>
            <wp:effectExtent l="0" t="0" r="1270" b="4445"/>
            <wp:docPr id="12941979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979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7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950F2" w14:textId="77777777" w:rsidR="00B74E41" w:rsidRDefault="00B74E41" w:rsidP="004F4F96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</w:p>
    <w:p w14:paraId="66B21F54" w14:textId="306AC20B" w:rsidR="004F4F96" w:rsidRPr="00231505" w:rsidRDefault="004F4F96" w:rsidP="004F4F96">
      <w:pPr>
        <w:spacing w:line="480" w:lineRule="auto"/>
        <w:jc w:val="both"/>
        <w:rPr>
          <w:rFonts w:ascii="Times New Roman" w:hAnsi="Times New Roman" w:cs="Times New Roman"/>
          <w:sz w:val="18"/>
          <w:szCs w:val="18"/>
          <w:lang w:val="es-MX"/>
        </w:rPr>
      </w:pPr>
      <w:r w:rsidRPr="007E7DCA">
        <w:rPr>
          <w:rFonts w:ascii="Times New Roman" w:hAnsi="Times New Roman" w:cs="Times New Roman"/>
          <w:b/>
          <w:bCs/>
          <w:sz w:val="21"/>
          <w:szCs w:val="21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.</w:t>
      </w:r>
      <w:r w:rsidRPr="007E7DCA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  <w:r w:rsidR="00B74E41">
        <w:rPr>
          <w:rFonts w:ascii="Times New Roman" w:hAnsi="Times New Roman" w:cs="Times New Roman"/>
          <w:b/>
          <w:bCs/>
          <w:sz w:val="21"/>
          <w:szCs w:val="21"/>
          <w:lang w:val="en-US"/>
        </w:rPr>
        <w:t>4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  <w:r w:rsidRPr="00527B40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Effect of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D-</w:t>
      </w:r>
      <w:r w:rsidRPr="00527B40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BHB on the subcellular localization of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the </w:t>
      </w:r>
      <w:r w:rsidRPr="00527B40">
        <w:rPr>
          <w:rFonts w:ascii="Times New Roman" w:hAnsi="Times New Roman" w:cs="Times New Roman"/>
          <w:b/>
          <w:bCs/>
          <w:sz w:val="21"/>
          <w:szCs w:val="21"/>
          <w:lang w:val="en-US"/>
        </w:rPr>
        <w:t>transcription factors FOXO1 and FOXO3a in cortical astrocytes.</w:t>
      </w:r>
      <w:r w:rsidRPr="00527B40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527B40">
        <w:rPr>
          <w:rFonts w:ascii="Times New Roman" w:hAnsi="Times New Roman" w:cs="Times New Roman"/>
          <w:sz w:val="18"/>
          <w:szCs w:val="18"/>
          <w:lang w:val="en-US"/>
        </w:rPr>
        <w:t>Nuclear and cytoplasmic localization analysis of FOXO3a by Western blot</w:t>
      </w:r>
      <w:r w:rsidRPr="00D337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(A)</w:t>
      </w:r>
      <w:r w:rsidRPr="00D337E5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and immunofluorescence</w:t>
      </w:r>
      <w:r w:rsidRPr="00D337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(B)</w:t>
      </w:r>
      <w:r w:rsidRPr="00D337E5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 xml:space="preserve">in cortical astrocytes incubated with 5 mM </w:t>
      </w:r>
      <w:r>
        <w:rPr>
          <w:rFonts w:ascii="Times New Roman" w:hAnsi="Times New Roman" w:cs="Times New Roman"/>
          <w:sz w:val="18"/>
          <w:szCs w:val="18"/>
          <w:lang w:val="en-US"/>
        </w:rPr>
        <w:t>D-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BHB for 2, 4, and 24 h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1F1F1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or 0.5 to 2 h, respectively.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Nuclear and cytoplasmic localization analysis of FOXO1 by Western blot</w:t>
      </w:r>
      <w:r w:rsidRPr="00D337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(C)</w:t>
      </w:r>
      <w:r w:rsidRPr="00D337E5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 xml:space="preserve">and immunofluorescence 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(D)</w:t>
      </w:r>
      <w:r w:rsidRPr="00D337E5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 xml:space="preserve">in cortical astrocytes incubated with 5 mM </w:t>
      </w:r>
      <w:r w:rsidR="00231505" w:rsidRPr="00FE5FBA">
        <w:rPr>
          <w:rFonts w:ascii="Times New Roman" w:hAnsi="Times New Roman" w:cs="Times New Roman"/>
          <w:sz w:val="18"/>
          <w:szCs w:val="18"/>
          <w:lang w:val="en-US"/>
        </w:rPr>
        <w:t>D-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BHB for 2, 4, and 24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h, </w:t>
      </w:r>
      <w:r w:rsidRPr="001F1F1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or 0.5 to 2 h, respectively.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Hoechst was used to stain nuclei. Scale bar = 15 µm</w:t>
      </w:r>
      <w:r w:rsidRPr="00D337E5">
        <w:rPr>
          <w:rFonts w:ascii="Times New Roman" w:hAnsi="Times New Roman" w:cs="Times New Roman"/>
          <w:b/>
          <w:bCs/>
          <w:sz w:val="18"/>
          <w:szCs w:val="18"/>
          <w:lang w:val="en-US"/>
        </w:rPr>
        <w:t>.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 xml:space="preserve"> Data from</w:t>
      </w:r>
      <w:r w:rsidRPr="00D337E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A</w:t>
      </w:r>
      <w:r w:rsidRPr="00D337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D337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C</w:t>
      </w:r>
      <w:r w:rsidRPr="00D337E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 xml:space="preserve">are expressed as mean ± SD from </w:t>
      </w:r>
      <w:r w:rsidR="005F0C9C">
        <w:rPr>
          <w:rFonts w:ascii="Times New Roman" w:hAnsi="Times New Roman" w:cs="Times New Roman"/>
          <w:sz w:val="18"/>
          <w:szCs w:val="18"/>
          <w:lang w:val="en-US"/>
        </w:rPr>
        <w:t>3</w:t>
      </w:r>
      <w:r w:rsidR="00231505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5F0C9C">
        <w:rPr>
          <w:rFonts w:ascii="Times New Roman" w:hAnsi="Times New Roman" w:cs="Times New Roman"/>
          <w:sz w:val="18"/>
          <w:szCs w:val="18"/>
          <w:lang w:val="en-US"/>
        </w:rPr>
        <w:t xml:space="preserve">and 4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 xml:space="preserve">independent experiments and </w:t>
      </w:r>
      <w:r w:rsidRPr="001F1F1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were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analyzed using one-way ANOVA followed by Fisher’s post-hoc test. Data from 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B</w:t>
      </w:r>
      <w:r w:rsidRPr="00D337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337E5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D337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337E5">
        <w:rPr>
          <w:rFonts w:ascii="Times New Roman" w:hAnsi="Times New Roman" w:cs="Times New Roman"/>
          <w:b/>
          <w:bCs/>
          <w:sz w:val="21"/>
          <w:szCs w:val="21"/>
          <w:lang w:val="en-US"/>
        </w:rPr>
        <w:t>D</w:t>
      </w:r>
      <w:r w:rsidRPr="00D337E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1F1F15">
        <w:rPr>
          <w:rFonts w:ascii="Times New Roman" w:hAnsi="Times New Roman" w:cs="Times New Roman"/>
          <w:sz w:val="18"/>
          <w:szCs w:val="18"/>
          <w:lang w:val="en-US"/>
        </w:rPr>
        <w:t xml:space="preserve">are expressed as the average fluorescence intensity per cell </w:t>
      </w:r>
      <w:r w:rsidRPr="001F1F1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(&gt;6 cells per condition, </w:t>
      </w:r>
      <w:r w:rsidRPr="001F1F15">
        <w:rPr>
          <w:rFonts w:ascii="Times New Roman" w:hAnsi="Times New Roman" w:cs="Times New Roman"/>
          <w:i/>
          <w:iCs/>
          <w:sz w:val="18"/>
          <w:szCs w:val="18"/>
          <w:lang w:val="en-US"/>
        </w:rPr>
        <w:t>n</w:t>
      </w:r>
      <w:r w:rsidRPr="001F1F15">
        <w:rPr>
          <w:rFonts w:ascii="Times New Roman" w:hAnsi="Times New Roman" w:cs="Times New Roman"/>
          <w:sz w:val="18"/>
          <w:szCs w:val="18"/>
          <w:lang w:val="en-US"/>
        </w:rPr>
        <w:t> = 3).</w:t>
      </w:r>
      <w:r w:rsidR="00231505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DEA75B3" w14:textId="32490705" w:rsidR="004F4F96" w:rsidRDefault="00EB22D1" w:rsidP="00603403">
      <w:pPr>
        <w:jc w:val="center"/>
      </w:pPr>
      <w:r w:rsidRPr="00EB22D1">
        <w:lastRenderedPageBreak/>
        <w:drawing>
          <wp:inline distT="0" distB="0" distL="0" distR="0" wp14:anchorId="369F0855" wp14:editId="73F1B0D1">
            <wp:extent cx="2873829" cy="2301210"/>
            <wp:effectExtent l="0" t="0" r="0" b="0"/>
            <wp:docPr id="1911585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85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4873" cy="232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6200" w14:textId="683BCC5E" w:rsidR="00C80CD4" w:rsidRPr="00D54185" w:rsidRDefault="00905B64" w:rsidP="00D54185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 w:rsidRPr="00D54185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  <w:t xml:space="preserve">Supplementary Fig. </w:t>
      </w:r>
      <w:proofErr w:type="gramStart"/>
      <w:r w:rsidRPr="00D54185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  <w:t xml:space="preserve">5  </w:t>
      </w:r>
      <w:r w:rsidR="00D54185" w:rsidRPr="00D54185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  <w:t>Cyclosporine</w:t>
      </w:r>
      <w:proofErr w:type="gramEnd"/>
      <w:r w:rsidR="00D54185" w:rsidRPr="00D54185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  <w:t xml:space="preserve"> A abolishes the protective effect of D-BHB on astrocyte viability after OGD. </w:t>
      </w:r>
      <w:r w:rsidR="00D54185" w:rsidRPr="00D54185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MTT reduction assay in astrocytes subjected to oxygen–glucose deprivation (OGD) and treated with D-BHB in the presence or absence of cyclosporine A (</w:t>
      </w:r>
      <w:proofErr w:type="spellStart"/>
      <w:r w:rsidR="00D54185" w:rsidRPr="00D54185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CsA</w:t>
      </w:r>
      <w:proofErr w:type="spellEnd"/>
      <w:r w:rsidR="00D54185" w:rsidRPr="00D54185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, 15 µM). Data are expressed as mean ± SD from </w:t>
      </w:r>
      <w:r w:rsidR="00C545F5" w:rsidRPr="00FE5FB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3</w:t>
      </w:r>
      <w:r w:rsidR="00C545F5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 </w:t>
      </w:r>
      <w:r w:rsidR="00D54185" w:rsidRPr="00D54185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independent experiments. Statistical significance was determined by one-way ANOVA followed by Fisher’s post hoc test.</w:t>
      </w:r>
    </w:p>
    <w:p w14:paraId="1507AFCF" w14:textId="77777777" w:rsidR="00C80CD4" w:rsidRPr="003603BD" w:rsidRDefault="00C80CD4">
      <w:pPr>
        <w:rPr>
          <w:sz w:val="21"/>
          <w:szCs w:val="21"/>
          <w:lang w:val="en-US"/>
        </w:rPr>
      </w:pPr>
    </w:p>
    <w:sectPr w:rsidR="00C80CD4" w:rsidRPr="00360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96"/>
    <w:rsid w:val="000C61BB"/>
    <w:rsid w:val="00161067"/>
    <w:rsid w:val="00231505"/>
    <w:rsid w:val="00257982"/>
    <w:rsid w:val="002A1C13"/>
    <w:rsid w:val="003603BD"/>
    <w:rsid w:val="00400201"/>
    <w:rsid w:val="0045075F"/>
    <w:rsid w:val="0049010E"/>
    <w:rsid w:val="004E7D42"/>
    <w:rsid w:val="004F4F96"/>
    <w:rsid w:val="005C426A"/>
    <w:rsid w:val="005F0C9C"/>
    <w:rsid w:val="00603403"/>
    <w:rsid w:val="00647640"/>
    <w:rsid w:val="006A430E"/>
    <w:rsid w:val="006B7B6C"/>
    <w:rsid w:val="007D528E"/>
    <w:rsid w:val="007E7BF0"/>
    <w:rsid w:val="0082134D"/>
    <w:rsid w:val="008510DE"/>
    <w:rsid w:val="008808C2"/>
    <w:rsid w:val="008828B5"/>
    <w:rsid w:val="008F688D"/>
    <w:rsid w:val="00905B64"/>
    <w:rsid w:val="0093229E"/>
    <w:rsid w:val="00A86FDD"/>
    <w:rsid w:val="00A87627"/>
    <w:rsid w:val="00B74E41"/>
    <w:rsid w:val="00C545F5"/>
    <w:rsid w:val="00C55A74"/>
    <w:rsid w:val="00C80CD4"/>
    <w:rsid w:val="00C81DD0"/>
    <w:rsid w:val="00D12042"/>
    <w:rsid w:val="00D469A9"/>
    <w:rsid w:val="00D54185"/>
    <w:rsid w:val="00E115C1"/>
    <w:rsid w:val="00E63162"/>
    <w:rsid w:val="00EB22D1"/>
    <w:rsid w:val="00F536AC"/>
    <w:rsid w:val="00FE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05D01"/>
  <w15:chartTrackingRefBased/>
  <w15:docId w15:val="{7262E0C2-FA87-1644-B9F4-4A2BC35F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F4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4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4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4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4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4F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4F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4F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4F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4F9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4F9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4F96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4F96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4F96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4F96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4F96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4F96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4F96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4F4F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4F9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F4F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4F96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4F4F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4F96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4F4F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4F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4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4F96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4F4F9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F4F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MX"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4F4F96"/>
    <w:rPr>
      <w:b/>
      <w:bCs/>
    </w:rPr>
  </w:style>
  <w:style w:type="character" w:customStyle="1" w:styleId="apple-converted-space">
    <w:name w:val="apple-converted-space"/>
    <w:basedOn w:val="Fuentedeprrafopredeter"/>
    <w:rsid w:val="004F4F96"/>
  </w:style>
  <w:style w:type="character" w:styleId="nfasis">
    <w:name w:val="Emphasis"/>
    <w:basedOn w:val="Fuentedeprrafopredeter"/>
    <w:uiPriority w:val="20"/>
    <w:qFormat/>
    <w:rsid w:val="004F4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431</Words>
  <Characters>2319</Characters>
  <Application>Microsoft Office Word</Application>
  <DocSecurity>0</DocSecurity>
  <Lines>38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 Coronado</dc:creator>
  <cp:keywords/>
  <dc:description/>
  <cp:lastModifiedBy>Perla Coronado</cp:lastModifiedBy>
  <cp:revision>4</cp:revision>
  <dcterms:created xsi:type="dcterms:W3CDTF">2026-03-02T17:14:00Z</dcterms:created>
  <dcterms:modified xsi:type="dcterms:W3CDTF">2026-03-02T17:19:00Z</dcterms:modified>
</cp:coreProperties>
</file>