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3E7" w:rsidRDefault="000143E7" w:rsidP="000143E7">
      <w:pPr>
        <w:rPr>
          <w:b/>
          <w:bCs/>
          <w:color w:val="000000" w:themeColor="text1"/>
        </w:rPr>
      </w:pPr>
    </w:p>
    <w:p w:rsidR="00461353" w:rsidRDefault="00461353" w:rsidP="00461353">
      <w:pPr>
        <w:rPr>
          <w:b/>
          <w:bCs/>
          <w:color w:val="000000" w:themeColor="text1"/>
          <w:sz w:val="20"/>
          <w:szCs w:val="20"/>
          <w:lang w:val="en-US"/>
        </w:rPr>
      </w:pPr>
      <w:r>
        <w:rPr>
          <w:b/>
          <w:bCs/>
          <w:color w:val="000000" w:themeColor="text1"/>
          <w:sz w:val="20"/>
          <w:szCs w:val="20"/>
          <w:lang w:val="en-US"/>
        </w:rPr>
        <w:t>Molecular Neurobiology</w:t>
      </w:r>
    </w:p>
    <w:p w:rsidR="00461353" w:rsidRDefault="00461353" w:rsidP="00461353">
      <w:pPr>
        <w:rPr>
          <w:b/>
          <w:bCs/>
          <w:color w:val="000000" w:themeColor="text1"/>
          <w:sz w:val="20"/>
          <w:szCs w:val="20"/>
          <w:lang w:val="en-US"/>
        </w:rPr>
      </w:pPr>
    </w:p>
    <w:p w:rsidR="00461353" w:rsidRPr="004F15C9" w:rsidRDefault="00461353" w:rsidP="00461353">
      <w:pPr>
        <w:rPr>
          <w:b/>
          <w:sz w:val="20"/>
          <w:szCs w:val="20"/>
          <w:lang w:val="en-US"/>
        </w:rPr>
      </w:pPr>
      <w:r w:rsidRPr="004F15C9">
        <w:rPr>
          <w:b/>
          <w:sz w:val="20"/>
          <w:szCs w:val="20"/>
          <w:lang w:val="en-US"/>
        </w:rPr>
        <w:t>Anchoring ALS prognosis: neurofilament light chain outperforms inflammatory, metabolic and CNS barrier biomarkers in the METABALS cohort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  <w:lang w:val="en-US"/>
        </w:rPr>
      </w:pPr>
    </w:p>
    <w:p w:rsidR="00461353" w:rsidRPr="004F15C9" w:rsidRDefault="00461353" w:rsidP="00461353">
      <w:pPr>
        <w:rPr>
          <w:color w:val="000000" w:themeColor="text1"/>
          <w:sz w:val="20"/>
          <w:szCs w:val="20"/>
          <w:lang w:val="en-US"/>
        </w:rPr>
      </w:pP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Hugo Alarcan</w:t>
      </w:r>
      <w:r w:rsidRPr="004F15C9">
        <w:rPr>
          <w:color w:val="000000" w:themeColor="text1"/>
          <w:sz w:val="20"/>
          <w:szCs w:val="20"/>
          <w:vertAlign w:val="superscript"/>
        </w:rPr>
        <w:t>1,2</w:t>
      </w:r>
      <w:r w:rsidRPr="004F15C9">
        <w:rPr>
          <w:color w:val="000000" w:themeColor="text1"/>
          <w:sz w:val="20"/>
          <w:szCs w:val="20"/>
        </w:rPr>
        <w:t>, Charlotte Veyrat-Durebex</w:t>
      </w:r>
      <w:r w:rsidRPr="004F15C9">
        <w:rPr>
          <w:color w:val="000000" w:themeColor="text1"/>
          <w:sz w:val="20"/>
          <w:szCs w:val="20"/>
          <w:vertAlign w:val="superscript"/>
        </w:rPr>
        <w:t>1,2</w:t>
      </w:r>
      <w:r w:rsidRPr="004F15C9">
        <w:rPr>
          <w:color w:val="000000" w:themeColor="text1"/>
          <w:sz w:val="20"/>
          <w:szCs w:val="20"/>
        </w:rPr>
        <w:t>, Pierre-François Pradat</w:t>
      </w:r>
      <w:r w:rsidRPr="004F15C9">
        <w:rPr>
          <w:color w:val="000000" w:themeColor="text1"/>
          <w:sz w:val="20"/>
          <w:szCs w:val="20"/>
          <w:vertAlign w:val="superscript"/>
        </w:rPr>
        <w:t>3,4</w:t>
      </w:r>
      <w:r w:rsidRPr="004F15C9">
        <w:rPr>
          <w:color w:val="000000" w:themeColor="text1"/>
          <w:sz w:val="20"/>
          <w:szCs w:val="20"/>
        </w:rPr>
        <w:t>, Julien Cassereau</w:t>
      </w:r>
      <w:r w:rsidRPr="004F15C9">
        <w:rPr>
          <w:color w:val="000000" w:themeColor="text1"/>
          <w:sz w:val="20"/>
          <w:szCs w:val="20"/>
          <w:vertAlign w:val="superscript"/>
        </w:rPr>
        <w:t>5,6</w:t>
      </w:r>
      <w:r w:rsidRPr="004F15C9">
        <w:rPr>
          <w:color w:val="000000" w:themeColor="text1"/>
          <w:sz w:val="20"/>
          <w:szCs w:val="20"/>
        </w:rPr>
        <w:t>, Alain Destee</w:t>
      </w:r>
      <w:r w:rsidRPr="004F15C9">
        <w:rPr>
          <w:color w:val="000000" w:themeColor="text1"/>
          <w:sz w:val="20"/>
          <w:szCs w:val="20"/>
          <w:vertAlign w:val="superscript"/>
        </w:rPr>
        <w:t>7</w:t>
      </w:r>
      <w:r w:rsidRPr="004F15C9">
        <w:rPr>
          <w:color w:val="000000" w:themeColor="text1"/>
          <w:sz w:val="20"/>
          <w:szCs w:val="20"/>
        </w:rPr>
        <w:t>, Philippe Couratier</w:t>
      </w:r>
      <w:r w:rsidRPr="004F15C9">
        <w:rPr>
          <w:color w:val="000000" w:themeColor="text1"/>
          <w:sz w:val="20"/>
          <w:szCs w:val="20"/>
          <w:vertAlign w:val="superscript"/>
        </w:rPr>
        <w:t>8</w:t>
      </w:r>
      <w:r w:rsidRPr="004F15C9">
        <w:rPr>
          <w:color w:val="000000" w:themeColor="text1"/>
          <w:sz w:val="20"/>
          <w:szCs w:val="20"/>
        </w:rPr>
        <w:t>, William Camu</w:t>
      </w:r>
      <w:r w:rsidRPr="004F15C9">
        <w:rPr>
          <w:color w:val="000000" w:themeColor="text1"/>
          <w:sz w:val="20"/>
          <w:szCs w:val="20"/>
          <w:vertAlign w:val="superscript"/>
        </w:rPr>
        <w:t>9,10</w:t>
      </w:r>
      <w:r w:rsidRPr="004F15C9">
        <w:rPr>
          <w:color w:val="000000" w:themeColor="text1"/>
          <w:sz w:val="20"/>
          <w:szCs w:val="20"/>
        </w:rPr>
        <w:t>, Jean-Philippe Neau</w:t>
      </w:r>
      <w:r w:rsidRPr="004F15C9">
        <w:rPr>
          <w:color w:val="000000" w:themeColor="text1"/>
          <w:sz w:val="20"/>
          <w:szCs w:val="20"/>
          <w:vertAlign w:val="superscript"/>
        </w:rPr>
        <w:t>11</w:t>
      </w:r>
      <w:r w:rsidRPr="004F15C9">
        <w:rPr>
          <w:color w:val="000000" w:themeColor="text1"/>
          <w:sz w:val="20"/>
          <w:szCs w:val="20"/>
        </w:rPr>
        <w:t>, Marie-Céline Fleury-Lesaunier</w:t>
      </w:r>
      <w:r w:rsidRPr="004F15C9">
        <w:rPr>
          <w:color w:val="000000" w:themeColor="text1"/>
          <w:sz w:val="20"/>
          <w:szCs w:val="20"/>
          <w:vertAlign w:val="superscript"/>
        </w:rPr>
        <w:t>12</w:t>
      </w:r>
      <w:r w:rsidRPr="004F15C9">
        <w:rPr>
          <w:color w:val="000000" w:themeColor="text1"/>
          <w:sz w:val="20"/>
          <w:szCs w:val="20"/>
        </w:rPr>
        <w:t>, Patrick Emond</w:t>
      </w:r>
      <w:r w:rsidRPr="004F15C9">
        <w:rPr>
          <w:color w:val="000000" w:themeColor="text1"/>
          <w:sz w:val="20"/>
          <w:szCs w:val="20"/>
          <w:vertAlign w:val="superscript"/>
        </w:rPr>
        <w:t>2,13,14</w:t>
      </w:r>
      <w:r w:rsidRPr="004F15C9">
        <w:rPr>
          <w:color w:val="000000" w:themeColor="text1"/>
          <w:sz w:val="20"/>
          <w:szCs w:val="20"/>
        </w:rPr>
        <w:t>, Diane Dufour</w:t>
      </w:r>
      <w:r w:rsidRPr="004F15C9">
        <w:rPr>
          <w:color w:val="000000" w:themeColor="text1"/>
          <w:sz w:val="20"/>
          <w:szCs w:val="20"/>
          <w:vertAlign w:val="superscript"/>
        </w:rPr>
        <w:t>2,13</w:t>
      </w:r>
      <w:r w:rsidRPr="004F15C9">
        <w:rPr>
          <w:color w:val="000000" w:themeColor="text1"/>
          <w:sz w:val="20"/>
          <w:szCs w:val="20"/>
        </w:rPr>
        <w:t>, Yara Al Ojaimi</w:t>
      </w:r>
      <w:r w:rsidRPr="004F15C9">
        <w:rPr>
          <w:color w:val="000000" w:themeColor="text1"/>
          <w:sz w:val="20"/>
          <w:szCs w:val="20"/>
          <w:vertAlign w:val="superscript"/>
        </w:rPr>
        <w:t>2</w:t>
      </w:r>
      <w:r w:rsidRPr="004F15C9">
        <w:rPr>
          <w:color w:val="000000" w:themeColor="text1"/>
          <w:sz w:val="20"/>
          <w:szCs w:val="20"/>
        </w:rPr>
        <w:t>, Antoine Lefèvre</w:t>
      </w:r>
      <w:r w:rsidRPr="004F15C9">
        <w:rPr>
          <w:color w:val="000000" w:themeColor="text1"/>
          <w:sz w:val="20"/>
          <w:szCs w:val="20"/>
          <w:vertAlign w:val="superscript"/>
        </w:rPr>
        <w:t>2,14</w:t>
      </w:r>
      <w:r w:rsidRPr="004F15C9">
        <w:rPr>
          <w:color w:val="000000" w:themeColor="text1"/>
          <w:sz w:val="20"/>
          <w:szCs w:val="20"/>
        </w:rPr>
        <w:t>, Patrick Vourc’h</w:t>
      </w:r>
      <w:r w:rsidRPr="004F15C9">
        <w:rPr>
          <w:color w:val="000000" w:themeColor="text1"/>
          <w:sz w:val="20"/>
          <w:szCs w:val="20"/>
          <w:vertAlign w:val="superscript"/>
        </w:rPr>
        <w:t>1,2</w:t>
      </w:r>
      <w:r w:rsidRPr="004F15C9">
        <w:rPr>
          <w:color w:val="000000" w:themeColor="text1"/>
          <w:sz w:val="20"/>
          <w:szCs w:val="20"/>
        </w:rPr>
        <w:t>, Philippe Corcia</w:t>
      </w:r>
      <w:r w:rsidRPr="004F15C9">
        <w:rPr>
          <w:color w:val="000000" w:themeColor="text1"/>
          <w:sz w:val="20"/>
          <w:szCs w:val="20"/>
          <w:vertAlign w:val="superscript"/>
        </w:rPr>
        <w:t>2,15</w:t>
      </w:r>
      <w:r w:rsidRPr="004F15C9">
        <w:rPr>
          <w:color w:val="000000" w:themeColor="text1"/>
          <w:sz w:val="20"/>
          <w:szCs w:val="20"/>
        </w:rPr>
        <w:t>, Christian R. Andres</w:t>
      </w:r>
      <w:r w:rsidRPr="004F15C9">
        <w:rPr>
          <w:color w:val="000000" w:themeColor="text1"/>
          <w:sz w:val="20"/>
          <w:szCs w:val="20"/>
          <w:vertAlign w:val="superscript"/>
        </w:rPr>
        <w:t>1,2*</w:t>
      </w:r>
      <w:r w:rsidRPr="004F15C9">
        <w:rPr>
          <w:color w:val="000000" w:themeColor="text1"/>
          <w:sz w:val="20"/>
          <w:szCs w:val="20"/>
        </w:rPr>
        <w:t>, Hélène Blasco</w:t>
      </w:r>
      <w:r w:rsidRPr="004F15C9">
        <w:rPr>
          <w:color w:val="000000" w:themeColor="text1"/>
          <w:sz w:val="20"/>
          <w:szCs w:val="20"/>
          <w:vertAlign w:val="superscript"/>
        </w:rPr>
        <w:t>1,2*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</w:p>
    <w:p w:rsidR="00461353" w:rsidRPr="004F15C9" w:rsidRDefault="00461353" w:rsidP="00461353">
      <w:pPr>
        <w:rPr>
          <w:b/>
          <w:bCs/>
          <w:color w:val="000000" w:themeColor="text1"/>
          <w:sz w:val="20"/>
          <w:szCs w:val="20"/>
        </w:rPr>
      </w:pPr>
      <w:r w:rsidRPr="004F15C9">
        <w:rPr>
          <w:b/>
          <w:bCs/>
          <w:color w:val="000000" w:themeColor="text1"/>
          <w:sz w:val="20"/>
          <w:szCs w:val="20"/>
        </w:rPr>
        <w:t>Affiliations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1 Service de Biochimie et Biologie Moléculaire, CHRU Tours, Tours,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 xml:space="preserve">2 Université de Tours, INSERM, Imaging Brain &amp; </w:t>
      </w:r>
      <w:proofErr w:type="spellStart"/>
      <w:r w:rsidRPr="004F15C9">
        <w:rPr>
          <w:color w:val="000000" w:themeColor="text1"/>
          <w:sz w:val="20"/>
          <w:szCs w:val="20"/>
        </w:rPr>
        <w:t>Neuropsychiatry</w:t>
      </w:r>
      <w:proofErr w:type="spellEnd"/>
      <w:r w:rsidRPr="004F15C9">
        <w:rPr>
          <w:color w:val="000000" w:themeColor="text1"/>
          <w:sz w:val="20"/>
          <w:szCs w:val="20"/>
        </w:rPr>
        <w:t xml:space="preserve"> </w:t>
      </w:r>
      <w:proofErr w:type="spellStart"/>
      <w:r w:rsidRPr="004F15C9">
        <w:rPr>
          <w:color w:val="000000" w:themeColor="text1"/>
          <w:sz w:val="20"/>
          <w:szCs w:val="20"/>
        </w:rPr>
        <w:t>iBraiN</w:t>
      </w:r>
      <w:proofErr w:type="spellEnd"/>
      <w:r w:rsidRPr="004F15C9">
        <w:rPr>
          <w:color w:val="000000" w:themeColor="text1"/>
          <w:sz w:val="20"/>
          <w:szCs w:val="20"/>
        </w:rPr>
        <w:t xml:space="preserve"> U1253, 37032, Tours, France</w:t>
      </w:r>
      <w:r w:rsidRPr="004F15C9" w:rsidDel="002C5698">
        <w:rPr>
          <w:color w:val="000000" w:themeColor="text1"/>
          <w:sz w:val="20"/>
          <w:szCs w:val="20"/>
        </w:rPr>
        <w:t xml:space="preserve"> 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3 APHP, Département de Neurologie, Hôpital Pitié-Salpêtrière, Centre de référence SLA, Paris, France.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 xml:space="preserve">4 Sorbonne Université, CNRS, INSERM, Laboratoire d'Imagerie Biomédicale, Paris, France. </w:t>
      </w:r>
    </w:p>
    <w:p w:rsidR="00461353" w:rsidRPr="004F15C9" w:rsidRDefault="00461353" w:rsidP="00461353">
      <w:pPr>
        <w:shd w:val="clear" w:color="auto" w:fill="FDFDFD"/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 xml:space="preserve">5 Service de Neurologie, Pôle JUPITER, Centre de Référence des Maladies </w:t>
      </w:r>
      <w:proofErr w:type="gramStart"/>
      <w:r w:rsidRPr="004F15C9">
        <w:rPr>
          <w:color w:val="000000" w:themeColor="text1"/>
          <w:sz w:val="20"/>
          <w:szCs w:val="20"/>
        </w:rPr>
        <w:t>Neurogénétiques,  CHU</w:t>
      </w:r>
      <w:proofErr w:type="gramEnd"/>
      <w:r w:rsidRPr="004F15C9">
        <w:rPr>
          <w:color w:val="000000" w:themeColor="text1"/>
          <w:sz w:val="20"/>
          <w:szCs w:val="20"/>
        </w:rPr>
        <w:t xml:space="preserve"> d’Angers, France</w:t>
      </w:r>
    </w:p>
    <w:p w:rsidR="00461353" w:rsidRPr="004F15C9" w:rsidRDefault="00461353" w:rsidP="00461353">
      <w:pPr>
        <w:shd w:val="clear" w:color="auto" w:fill="FDFDFD"/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 xml:space="preserve">6-MITOVASC UMR CNRS 6015-INSERM U1083, Equipe </w:t>
      </w:r>
      <w:proofErr w:type="spellStart"/>
      <w:r w:rsidRPr="004F15C9">
        <w:rPr>
          <w:color w:val="000000" w:themeColor="text1"/>
          <w:sz w:val="20"/>
          <w:szCs w:val="20"/>
        </w:rPr>
        <w:t>Mitolab</w:t>
      </w:r>
      <w:proofErr w:type="spellEnd"/>
      <w:r w:rsidRPr="004F15C9">
        <w:rPr>
          <w:color w:val="000000" w:themeColor="text1"/>
          <w:sz w:val="20"/>
          <w:szCs w:val="20"/>
        </w:rPr>
        <w:t>, Université d’Angers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7 Service de Neurologie et Pathologie du Mouvement Clinique de Neurologie, CHU de Lille, Lille,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8 Centre de Référence SLA et autres maladies du neurone moteur, CHU Dupuytren 1, Limoges,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9 INM, Université de Montpellier, INSERM, Montpellier,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10 Centre de Référence SLA, CHU de Montpellier, Montpellier,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 xml:space="preserve">11 Service de Neurologie, CHU la </w:t>
      </w:r>
      <w:proofErr w:type="spellStart"/>
      <w:r w:rsidRPr="004F15C9">
        <w:rPr>
          <w:color w:val="000000" w:themeColor="text1"/>
          <w:sz w:val="20"/>
          <w:szCs w:val="20"/>
        </w:rPr>
        <w:t>Milétrie</w:t>
      </w:r>
      <w:proofErr w:type="spellEnd"/>
      <w:r w:rsidRPr="004F15C9">
        <w:rPr>
          <w:color w:val="000000" w:themeColor="text1"/>
          <w:sz w:val="20"/>
          <w:szCs w:val="20"/>
        </w:rPr>
        <w:t>, Hôpital Jean Bernard, Poitiers, France.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12 Service de Neurologie, CHU de Strasbourg, Strasbourg,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13 Service de Médecine nucléaire in vitro, CHRU de Tours, Tours,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14 Plateforme de Métabolomique et d'Analyses Chimiques, US61 ASB, Université de Tours, CHRU Tours, Inserm, Tours, France</w:t>
      </w:r>
    </w:p>
    <w:p w:rsidR="00461353" w:rsidRPr="004F15C9" w:rsidRDefault="00461353" w:rsidP="00461353">
      <w:pPr>
        <w:rPr>
          <w:color w:val="000000" w:themeColor="text1"/>
          <w:sz w:val="20"/>
          <w:szCs w:val="20"/>
        </w:rPr>
      </w:pPr>
      <w:r w:rsidRPr="004F15C9">
        <w:rPr>
          <w:color w:val="000000" w:themeColor="text1"/>
          <w:sz w:val="20"/>
          <w:szCs w:val="20"/>
        </w:rPr>
        <w:t>15 Service de Neurologie, CHRU de Tours, Tours, France</w:t>
      </w:r>
    </w:p>
    <w:p w:rsidR="00461353" w:rsidRDefault="00461353" w:rsidP="00461353">
      <w:pPr>
        <w:rPr>
          <w:color w:val="000000" w:themeColor="text1"/>
          <w:sz w:val="20"/>
          <w:szCs w:val="20"/>
          <w:lang w:val="en-US"/>
        </w:rPr>
      </w:pPr>
      <w:r w:rsidRPr="004F15C9">
        <w:rPr>
          <w:color w:val="000000" w:themeColor="text1"/>
          <w:sz w:val="20"/>
          <w:szCs w:val="20"/>
          <w:lang w:val="en-US"/>
        </w:rPr>
        <w:t>* These authors contributed equally</w:t>
      </w:r>
    </w:p>
    <w:p w:rsidR="00461353" w:rsidRDefault="00461353" w:rsidP="00461353">
      <w:pPr>
        <w:rPr>
          <w:color w:val="000000" w:themeColor="text1"/>
          <w:sz w:val="20"/>
          <w:szCs w:val="20"/>
          <w:lang w:val="en-US"/>
        </w:rPr>
      </w:pPr>
    </w:p>
    <w:p w:rsidR="00461353" w:rsidRPr="004F15C9" w:rsidRDefault="00461353" w:rsidP="00461353">
      <w:pPr>
        <w:rPr>
          <w:color w:val="000000" w:themeColor="text1"/>
          <w:sz w:val="20"/>
          <w:szCs w:val="20"/>
          <w:lang w:val="en-US"/>
        </w:rPr>
      </w:pPr>
      <w:r>
        <w:rPr>
          <w:color w:val="000000" w:themeColor="text1"/>
          <w:sz w:val="20"/>
          <w:szCs w:val="20"/>
          <w:lang w:val="en-US"/>
        </w:rPr>
        <w:t xml:space="preserve">Corresponding author, Hélène </w:t>
      </w:r>
      <w:proofErr w:type="spellStart"/>
      <w:r>
        <w:rPr>
          <w:color w:val="000000" w:themeColor="text1"/>
          <w:sz w:val="20"/>
          <w:szCs w:val="20"/>
          <w:lang w:val="en-US"/>
        </w:rPr>
        <w:t>Blasco</w:t>
      </w:r>
      <w:proofErr w:type="spellEnd"/>
      <w:r>
        <w:rPr>
          <w:color w:val="000000" w:themeColor="text1"/>
          <w:sz w:val="20"/>
          <w:szCs w:val="20"/>
          <w:lang w:val="en-US"/>
        </w:rPr>
        <w:t>, helene.blasco@univ-tours.fr</w:t>
      </w:r>
    </w:p>
    <w:p w:rsidR="000143E7" w:rsidRPr="00461353" w:rsidRDefault="000143E7" w:rsidP="000143E7">
      <w:pPr>
        <w:rPr>
          <w:b/>
          <w:bCs/>
          <w:color w:val="000000" w:themeColor="text1"/>
          <w:lang w:val="en-US"/>
        </w:rPr>
      </w:pPr>
      <w:bookmarkStart w:id="0" w:name="_GoBack"/>
      <w:bookmarkEnd w:id="0"/>
      <w:r w:rsidRPr="00340182">
        <w:rPr>
          <w:noProof/>
          <w:color w:val="000000" w:themeColor="text1"/>
          <w:lang w:eastAsia="fr-FR"/>
        </w:rPr>
        <w:lastRenderedPageBreak/>
        <w:drawing>
          <wp:anchor distT="0" distB="0" distL="114300" distR="114300" simplePos="0" relativeHeight="251659264" behindDoc="0" locked="0" layoutInCell="1" allowOverlap="1" wp14:anchorId="575E53D7" wp14:editId="58C35471">
            <wp:simplePos x="0" y="0"/>
            <wp:positionH relativeFrom="column">
              <wp:posOffset>982297</wp:posOffset>
            </wp:positionH>
            <wp:positionV relativeFrom="paragraph">
              <wp:posOffset>515</wp:posOffset>
            </wp:positionV>
            <wp:extent cx="3435824" cy="6871648"/>
            <wp:effectExtent l="0" t="0" r="0" b="5715"/>
            <wp:wrapSquare wrapText="bothSides"/>
            <wp:docPr id="59" name="Imag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824" cy="6871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1353">
        <w:rPr>
          <w:b/>
          <w:bCs/>
          <w:color w:val="000000" w:themeColor="text1"/>
          <w:lang w:val="en-US"/>
        </w:rPr>
        <w:br w:type="textWrapping" w:clear="all"/>
      </w:r>
    </w:p>
    <w:p w:rsidR="000143E7" w:rsidRPr="004266D0" w:rsidRDefault="000143E7" w:rsidP="000143E7">
      <w:pPr>
        <w:spacing w:line="480" w:lineRule="auto"/>
        <w:rPr>
          <w:b/>
          <w:bCs/>
          <w:color w:val="000000" w:themeColor="text1"/>
          <w:lang w:val="en-US"/>
        </w:rPr>
      </w:pPr>
      <w:r w:rsidRPr="004266D0">
        <w:rPr>
          <w:b/>
          <w:bCs/>
          <w:color w:val="000000" w:themeColor="text1"/>
          <w:lang w:val="en-US"/>
        </w:rPr>
        <w:t xml:space="preserve">Supplementary Figure S1: Determination of biological markers. </w:t>
      </w:r>
      <w:r w:rsidRPr="004266D0">
        <w:rPr>
          <w:color w:val="000000" w:themeColor="text1"/>
          <w:lang w:val="en-US"/>
        </w:rPr>
        <w:t xml:space="preserve">A) Correlation between serum and CSF </w:t>
      </w:r>
      <w:proofErr w:type="spellStart"/>
      <w:r w:rsidRPr="004266D0">
        <w:rPr>
          <w:color w:val="000000" w:themeColor="text1"/>
          <w:lang w:val="en-US"/>
        </w:rPr>
        <w:t>NfL</w:t>
      </w:r>
      <w:proofErr w:type="spellEnd"/>
      <w:r w:rsidRPr="004266D0">
        <w:rPr>
          <w:color w:val="000000" w:themeColor="text1"/>
          <w:lang w:val="en-US"/>
        </w:rPr>
        <w:t xml:space="preserve"> in overall population.</w:t>
      </w:r>
      <w:r w:rsidRPr="004266D0">
        <w:rPr>
          <w:b/>
          <w:bCs/>
          <w:color w:val="000000" w:themeColor="text1"/>
          <w:lang w:val="en-US"/>
        </w:rPr>
        <w:t xml:space="preserve"> </w:t>
      </w:r>
      <w:r w:rsidRPr="00340182">
        <w:rPr>
          <w:color w:val="000000" w:themeColor="text1"/>
          <w:lang w:val="en-GB"/>
        </w:rPr>
        <w:t xml:space="preserve">Red band represents the 95% confidence level interval. B) Venn diagram representing the number of common and specific metabolites found in serum, CSF and urine. </w:t>
      </w:r>
    </w:p>
    <w:p w:rsidR="000143E7" w:rsidRPr="004266D0" w:rsidRDefault="000143E7" w:rsidP="000143E7">
      <w:pPr>
        <w:rPr>
          <w:color w:val="000000" w:themeColor="text1"/>
          <w:lang w:val="en-US"/>
        </w:rPr>
      </w:pPr>
    </w:p>
    <w:p w:rsidR="000143E7" w:rsidRPr="004266D0" w:rsidRDefault="000143E7" w:rsidP="000143E7">
      <w:pPr>
        <w:jc w:val="center"/>
        <w:rPr>
          <w:color w:val="000000" w:themeColor="text1"/>
          <w:lang w:val="en-US"/>
        </w:rPr>
      </w:pPr>
    </w:p>
    <w:p w:rsidR="000143E7" w:rsidRPr="00340182" w:rsidRDefault="000143E7" w:rsidP="000143E7">
      <w:pPr>
        <w:jc w:val="center"/>
        <w:rPr>
          <w:color w:val="000000" w:themeColor="text1"/>
        </w:rPr>
      </w:pPr>
      <w:r w:rsidRPr="00340182">
        <w:rPr>
          <w:noProof/>
          <w:color w:val="000000" w:themeColor="text1"/>
          <w:lang w:eastAsia="fr-FR"/>
        </w:rPr>
        <w:drawing>
          <wp:inline distT="0" distB="0" distL="0" distR="0" wp14:anchorId="588B5E1F" wp14:editId="75A6BAC1">
            <wp:extent cx="3379304" cy="6758608"/>
            <wp:effectExtent l="0" t="0" r="0" b="4445"/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883" cy="676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3E7" w:rsidRPr="00A94505" w:rsidRDefault="000143E7" w:rsidP="000143E7">
      <w:pPr>
        <w:spacing w:line="480" w:lineRule="auto"/>
        <w:rPr>
          <w:color w:val="000000" w:themeColor="text1"/>
          <w:lang w:val="en-US"/>
        </w:rPr>
      </w:pPr>
      <w:r w:rsidRPr="00A94505">
        <w:rPr>
          <w:b/>
          <w:bCs/>
          <w:color w:val="000000" w:themeColor="text1"/>
          <w:lang w:val="en-US"/>
        </w:rPr>
        <w:t xml:space="preserve">Supplementary Figure S2: Association between </w:t>
      </w:r>
      <w:proofErr w:type="spellStart"/>
      <w:r w:rsidRPr="00A94505">
        <w:rPr>
          <w:b/>
          <w:bCs/>
          <w:color w:val="000000" w:themeColor="text1"/>
          <w:lang w:val="en-US"/>
        </w:rPr>
        <w:t>QAlb</w:t>
      </w:r>
      <w:proofErr w:type="spellEnd"/>
      <w:r w:rsidRPr="00A94505">
        <w:rPr>
          <w:b/>
          <w:bCs/>
          <w:color w:val="000000" w:themeColor="text1"/>
          <w:lang w:val="en-US"/>
        </w:rPr>
        <w:t xml:space="preserve"> and sex. </w:t>
      </w:r>
      <w:r w:rsidRPr="00A94505">
        <w:rPr>
          <w:color w:val="000000" w:themeColor="text1"/>
          <w:lang w:val="en-US"/>
        </w:rPr>
        <w:t xml:space="preserve">A) Raincloud plots of </w:t>
      </w:r>
      <w:proofErr w:type="spellStart"/>
      <w:r w:rsidRPr="00A94505">
        <w:rPr>
          <w:color w:val="000000" w:themeColor="text1"/>
          <w:lang w:val="en-US"/>
        </w:rPr>
        <w:t>QAlb</w:t>
      </w:r>
      <w:proofErr w:type="spellEnd"/>
      <w:r w:rsidRPr="00A94505">
        <w:rPr>
          <w:color w:val="000000" w:themeColor="text1"/>
          <w:lang w:val="en-US"/>
        </w:rPr>
        <w:t xml:space="preserve"> values between male and female ALS patients. B) Proportion of males and females with an alteration in BBB according to the age-limited reference value: (4 + age/15) × 10−1.</w:t>
      </w:r>
    </w:p>
    <w:p w:rsidR="000143E7" w:rsidRPr="00340182" w:rsidRDefault="000143E7" w:rsidP="000143E7">
      <w:pPr>
        <w:rPr>
          <w:color w:val="000000" w:themeColor="text1"/>
        </w:rPr>
      </w:pPr>
      <w:r w:rsidRPr="00340182">
        <w:rPr>
          <w:noProof/>
          <w:color w:val="000000" w:themeColor="text1"/>
          <w:lang w:eastAsia="fr-FR"/>
        </w:rPr>
        <w:lastRenderedPageBreak/>
        <w:drawing>
          <wp:inline distT="0" distB="0" distL="0" distR="0" wp14:anchorId="185762BF" wp14:editId="6B73EAC3">
            <wp:extent cx="5760720" cy="5760720"/>
            <wp:effectExtent l="0" t="0" r="0" b="0"/>
            <wp:docPr id="61" name="Imag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3E7" w:rsidRDefault="000143E7" w:rsidP="000143E7">
      <w:pPr>
        <w:spacing w:line="480" w:lineRule="auto"/>
        <w:rPr>
          <w:color w:val="000000" w:themeColor="text1"/>
          <w:lang w:val="en-US"/>
        </w:rPr>
      </w:pPr>
      <w:r w:rsidRPr="00060095">
        <w:rPr>
          <w:b/>
          <w:bCs/>
          <w:color w:val="000000" w:themeColor="text1"/>
          <w:lang w:val="en-US"/>
        </w:rPr>
        <w:t>Supplementary Figure S3: Correlation matrix of the circulatory markers of BBB integrity.</w:t>
      </w:r>
      <w:r w:rsidRPr="00060095">
        <w:rPr>
          <w:color w:val="000000" w:themeColor="text1"/>
          <w:lang w:val="en-US"/>
        </w:rPr>
        <w:t xml:space="preserve"> Spearman coefficient correlation was used. Blue and red boxes represent negative and positive correlation, respectively</w:t>
      </w:r>
    </w:p>
    <w:p w:rsidR="00584340" w:rsidRPr="000143E7" w:rsidRDefault="00584340">
      <w:pPr>
        <w:rPr>
          <w:lang w:val="en-US"/>
        </w:rPr>
      </w:pPr>
    </w:p>
    <w:sectPr w:rsidR="00584340" w:rsidRPr="00014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3E7"/>
    <w:rsid w:val="000143E7"/>
    <w:rsid w:val="00461353"/>
    <w:rsid w:val="0058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775CE-A6ED-4D76-B71C-347B9C0F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3E7"/>
    <w:pPr>
      <w:spacing w:after="0"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413</Words>
  <Characters>2273</Characters>
  <Application>Microsoft Office Word</Application>
  <DocSecurity>0</DocSecurity>
  <Lines>18</Lines>
  <Paragraphs>5</Paragraphs>
  <ScaleCrop>false</ScaleCrop>
  <Company>CHRU Tours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BLASCO Hélène</dc:creator>
  <cp:keywords/>
  <dc:description/>
  <cp:lastModifiedBy>Charlotte Veyrat-Durebex</cp:lastModifiedBy>
  <cp:revision>2</cp:revision>
  <dcterms:created xsi:type="dcterms:W3CDTF">2025-12-17T13:01:00Z</dcterms:created>
  <dcterms:modified xsi:type="dcterms:W3CDTF">2026-01-27T13:32:00Z</dcterms:modified>
</cp:coreProperties>
</file>