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9D986" w14:textId="77777777" w:rsidR="0015432F" w:rsidRDefault="0015432F" w:rsidP="0015432F">
      <w:pPr>
        <w:spacing w:after="0" w:line="360" w:lineRule="auto"/>
        <w:rPr>
          <w:rFonts w:ascii="Garamond" w:eastAsia="Times New Roman" w:hAnsi="Garamond" w:cs="Times New Roman"/>
          <w:b/>
          <w:iCs/>
          <w:sz w:val="24"/>
          <w:szCs w:val="24"/>
          <w:lang w:val="en-GB"/>
        </w:rPr>
      </w:pPr>
      <w:r w:rsidRPr="00C91F76">
        <w:rPr>
          <w:rFonts w:ascii="Garamond" w:eastAsia="Times New Roman" w:hAnsi="Garamond" w:cs="Times New Roman"/>
          <w:b/>
          <w:iCs/>
          <w:sz w:val="24"/>
          <w:szCs w:val="24"/>
          <w:lang w:val="en-GB"/>
        </w:rPr>
        <w:t>Effect of Local Care I</w:t>
      </w:r>
      <w:r>
        <w:rPr>
          <w:rFonts w:ascii="Garamond" w:eastAsia="Times New Roman" w:hAnsi="Garamond" w:cs="Times New Roman"/>
          <w:b/>
          <w:iCs/>
          <w:sz w:val="24"/>
          <w:szCs w:val="24"/>
          <w:lang w:val="en-GB"/>
        </w:rPr>
        <w:t xml:space="preserve">nfrastructure on Choice of Care </w:t>
      </w:r>
      <w:r w:rsidRPr="00C91F76">
        <w:rPr>
          <w:rFonts w:ascii="Garamond" w:eastAsia="Times New Roman" w:hAnsi="Garamond" w:cs="Times New Roman"/>
          <w:b/>
          <w:iCs/>
          <w:sz w:val="24"/>
          <w:szCs w:val="24"/>
          <w:lang w:val="en-GB"/>
        </w:rPr>
        <w:t>Arrangement in Old Age</w:t>
      </w:r>
    </w:p>
    <w:p w14:paraId="2A3AD162" w14:textId="77777777" w:rsidR="0015432F" w:rsidRDefault="0015432F" w:rsidP="0015432F">
      <w:pPr>
        <w:spacing w:after="0" w:line="360" w:lineRule="auto"/>
        <w:jc w:val="center"/>
        <w:rPr>
          <w:rFonts w:ascii="Garamond" w:eastAsia="Times New Roman" w:hAnsi="Garamond" w:cs="Times New Roman"/>
          <w:iCs/>
          <w:sz w:val="24"/>
          <w:szCs w:val="24"/>
          <w:lang w:val="en-GB"/>
        </w:rPr>
      </w:pPr>
    </w:p>
    <w:p w14:paraId="2D7F5F10" w14:textId="77777777" w:rsidR="0015432F" w:rsidRPr="0015432F" w:rsidRDefault="0015432F" w:rsidP="0015432F">
      <w:pPr>
        <w:spacing w:after="0" w:line="360" w:lineRule="auto"/>
        <w:jc w:val="center"/>
        <w:rPr>
          <w:rFonts w:ascii="Garamond" w:eastAsia="Times New Roman" w:hAnsi="Garamond" w:cs="Times New Roman"/>
          <w:iCs/>
          <w:sz w:val="24"/>
          <w:szCs w:val="24"/>
          <w:lang w:val="en-GB"/>
        </w:rPr>
      </w:pPr>
      <w:r w:rsidRPr="0015432F">
        <w:rPr>
          <w:rFonts w:ascii="Garamond" w:eastAsia="Times New Roman" w:hAnsi="Garamond" w:cs="Times New Roman"/>
          <w:iCs/>
          <w:sz w:val="24"/>
          <w:szCs w:val="24"/>
          <w:lang w:val="en-GB"/>
        </w:rPr>
        <w:t>Online-Appendix</w:t>
      </w:r>
    </w:p>
    <w:p w14:paraId="0A6EC713" w14:textId="77777777" w:rsidR="0015432F" w:rsidRDefault="0015432F" w:rsidP="0015432F">
      <w:pPr>
        <w:spacing w:after="0" w:line="360" w:lineRule="auto"/>
        <w:rPr>
          <w:rFonts w:ascii="Garamond" w:eastAsia="Times New Roman" w:hAnsi="Garamond" w:cs="Times New Roman"/>
          <w:iCs/>
          <w:sz w:val="24"/>
          <w:szCs w:val="24"/>
          <w:lang w:val="en-GB"/>
        </w:rPr>
      </w:pPr>
    </w:p>
    <w:p w14:paraId="56D7EAB5" w14:textId="77777777" w:rsidR="0015432F" w:rsidRDefault="0015432F" w:rsidP="0015432F">
      <w:pPr>
        <w:spacing w:after="0" w:line="360" w:lineRule="auto"/>
        <w:rPr>
          <w:rFonts w:ascii="Garamond" w:eastAsia="Times New Roman" w:hAnsi="Garamond" w:cs="Times New Roman"/>
          <w:iCs/>
          <w:sz w:val="24"/>
          <w:szCs w:val="24"/>
          <w:lang w:val="en-GB"/>
        </w:rPr>
      </w:pPr>
    </w:p>
    <w:p w14:paraId="3454148C" w14:textId="77777777" w:rsidR="0015432F" w:rsidRDefault="0015432F" w:rsidP="00C91F76">
      <w:pPr>
        <w:spacing w:after="0" w:line="360" w:lineRule="auto"/>
        <w:jc w:val="both"/>
        <w:rPr>
          <w:rFonts w:ascii="Garamond" w:eastAsia="Times New Roman" w:hAnsi="Garamond" w:cs="Times New Roman"/>
          <w:b/>
          <w:iCs/>
          <w:sz w:val="24"/>
          <w:szCs w:val="24"/>
          <w:lang w:val="en-GB"/>
        </w:rPr>
      </w:pPr>
      <w:r>
        <w:rPr>
          <w:rFonts w:ascii="Garamond" w:eastAsia="Times New Roman" w:hAnsi="Garamond" w:cs="Times New Roman"/>
          <w:b/>
          <w:iCs/>
          <w:sz w:val="24"/>
          <w:szCs w:val="24"/>
          <w:lang w:val="en-GB"/>
        </w:rPr>
        <w:t>Article publish</w:t>
      </w:r>
      <w:r w:rsidR="00710854">
        <w:rPr>
          <w:rFonts w:ascii="Garamond" w:eastAsia="Times New Roman" w:hAnsi="Garamond" w:cs="Times New Roman"/>
          <w:b/>
          <w:iCs/>
          <w:sz w:val="24"/>
          <w:szCs w:val="24"/>
          <w:lang w:val="en-GB"/>
        </w:rPr>
        <w:t>ed</w:t>
      </w:r>
      <w:r>
        <w:rPr>
          <w:rFonts w:ascii="Garamond" w:eastAsia="Times New Roman" w:hAnsi="Garamond" w:cs="Times New Roman"/>
          <w:b/>
          <w:iCs/>
          <w:sz w:val="24"/>
          <w:szCs w:val="24"/>
          <w:lang w:val="en-GB"/>
        </w:rPr>
        <w:t xml:space="preserve"> in:</w:t>
      </w:r>
      <w:r w:rsidR="00D0074D">
        <w:rPr>
          <w:rFonts w:ascii="Garamond" w:eastAsia="Times New Roman" w:hAnsi="Garamond" w:cs="Times New Roman"/>
          <w:b/>
          <w:iCs/>
          <w:sz w:val="24"/>
          <w:szCs w:val="24"/>
          <w:lang w:val="en-GB"/>
        </w:rPr>
        <w:t xml:space="preserve"> </w:t>
      </w:r>
      <w:r w:rsidR="007C02FF">
        <w:rPr>
          <w:rFonts w:ascii="Garamond" w:eastAsia="Times New Roman" w:hAnsi="Garamond" w:cs="Times New Roman"/>
          <w:iCs/>
          <w:sz w:val="24"/>
          <w:szCs w:val="24"/>
          <w:lang w:val="en-GB"/>
        </w:rPr>
        <w:t>Journal of Population Ageing</w:t>
      </w:r>
    </w:p>
    <w:p w14:paraId="18A4FCD4" w14:textId="77777777" w:rsidR="0015432F" w:rsidRDefault="0015432F" w:rsidP="00C91F76">
      <w:pPr>
        <w:spacing w:after="0" w:line="360" w:lineRule="auto"/>
        <w:jc w:val="both"/>
        <w:rPr>
          <w:rFonts w:ascii="Garamond" w:eastAsia="Times New Roman" w:hAnsi="Garamond" w:cs="Times New Roman"/>
          <w:b/>
          <w:iCs/>
          <w:sz w:val="24"/>
          <w:szCs w:val="24"/>
          <w:lang w:val="en-GB"/>
        </w:rPr>
      </w:pPr>
    </w:p>
    <w:p w14:paraId="0C840CD0" w14:textId="77777777" w:rsidR="0015432F" w:rsidRPr="0015432F" w:rsidRDefault="0015432F" w:rsidP="00C91F76">
      <w:pPr>
        <w:spacing w:after="0" w:line="360" w:lineRule="auto"/>
        <w:jc w:val="both"/>
        <w:rPr>
          <w:rFonts w:ascii="Garamond" w:eastAsia="Times New Roman" w:hAnsi="Garamond" w:cs="Times New Roman"/>
          <w:iCs/>
          <w:sz w:val="24"/>
          <w:szCs w:val="24"/>
          <w:lang w:val="en-GB"/>
        </w:rPr>
        <w:sectPr w:rsidR="0015432F" w:rsidRPr="0015432F" w:rsidSect="00FA2393">
          <w:footerReference w:type="default" r:id="rId7"/>
          <w:pgSz w:w="11906" w:h="16838"/>
          <w:pgMar w:top="1418" w:right="1701" w:bottom="1418" w:left="1701" w:header="709" w:footer="709" w:gutter="0"/>
          <w:cols w:space="720"/>
          <w:docGrid w:linePitch="299"/>
        </w:sectPr>
      </w:pPr>
    </w:p>
    <w:p w14:paraId="40EC3917" w14:textId="77777777" w:rsidR="00D37649" w:rsidRPr="00D37649" w:rsidRDefault="00D37649" w:rsidP="00D37649">
      <w:pPr>
        <w:spacing w:after="0" w:line="360" w:lineRule="auto"/>
        <w:jc w:val="both"/>
        <w:rPr>
          <w:rFonts w:ascii="Garamond" w:eastAsia="Times New Roman" w:hAnsi="Garamond" w:cs="Times New Roman"/>
          <w:b/>
          <w:iCs/>
          <w:sz w:val="24"/>
          <w:szCs w:val="24"/>
          <w:lang w:val="en-GB"/>
        </w:rPr>
      </w:pPr>
      <w:r>
        <w:rPr>
          <w:rFonts w:ascii="Garamond" w:eastAsia="Times New Roman" w:hAnsi="Garamond" w:cs="Times New Roman"/>
          <w:b/>
          <w:iCs/>
          <w:sz w:val="24"/>
          <w:szCs w:val="24"/>
          <w:lang w:val="en-GB"/>
        </w:rPr>
        <w:lastRenderedPageBreak/>
        <w:t>Online-Appendix</w:t>
      </w:r>
      <w:r w:rsidR="00F42461">
        <w:rPr>
          <w:rFonts w:ascii="Garamond" w:eastAsia="Times New Roman" w:hAnsi="Garamond" w:cs="Times New Roman"/>
          <w:b/>
          <w:iCs/>
          <w:sz w:val="24"/>
          <w:szCs w:val="24"/>
          <w:lang w:val="en-GB"/>
        </w:rPr>
        <w:t xml:space="preserve"> 1: Predicted Choice Probabilities</w:t>
      </w:r>
    </w:p>
    <w:p w14:paraId="415703AB" w14:textId="769ACF61" w:rsidR="00D37649" w:rsidRPr="00D37649" w:rsidRDefault="00FA2393" w:rsidP="00D37649">
      <w:pPr>
        <w:spacing w:after="0" w:line="360" w:lineRule="auto"/>
        <w:jc w:val="both"/>
        <w:rPr>
          <w:rFonts w:ascii="Garamond" w:eastAsia="Times New Roman" w:hAnsi="Garamond" w:cs="Times New Roman"/>
          <w:iCs/>
          <w:sz w:val="24"/>
          <w:szCs w:val="24"/>
          <w:lang w:val="en-GB"/>
        </w:rPr>
      </w:pPr>
      <w:r>
        <w:rPr>
          <w:rFonts w:ascii="Garamond" w:eastAsia="Times New Roman" w:hAnsi="Garamond" w:cs="Times New Roman"/>
          <w:iCs/>
          <w:sz w:val="24"/>
          <w:szCs w:val="24"/>
          <w:lang w:val="en-GB"/>
        </w:rPr>
        <w:t>Figures O1</w:t>
      </w:r>
      <w:r w:rsidR="00D37649" w:rsidRPr="00D37649">
        <w:rPr>
          <w:rFonts w:ascii="Garamond" w:eastAsia="Times New Roman" w:hAnsi="Garamond" w:cs="Times New Roman"/>
          <w:iCs/>
          <w:sz w:val="24"/>
          <w:szCs w:val="24"/>
          <w:lang w:val="en-GB"/>
        </w:rPr>
        <w:t xml:space="preserve"> and </w:t>
      </w:r>
      <w:r>
        <w:rPr>
          <w:rFonts w:ascii="Garamond" w:eastAsia="Times New Roman" w:hAnsi="Garamond" w:cs="Times New Roman"/>
          <w:iCs/>
          <w:sz w:val="24"/>
          <w:szCs w:val="24"/>
          <w:lang w:val="en-GB"/>
        </w:rPr>
        <w:t>O2</w:t>
      </w:r>
      <w:r w:rsidR="00D37649" w:rsidRPr="00D37649">
        <w:rPr>
          <w:rFonts w:ascii="Garamond" w:eastAsia="Times New Roman" w:hAnsi="Garamond" w:cs="Times New Roman"/>
          <w:iCs/>
          <w:sz w:val="24"/>
          <w:szCs w:val="24"/>
          <w:lang w:val="en-GB"/>
        </w:rPr>
        <w:t xml:space="preserve"> present predicted choice probabilities over the observed range of outpatient and inpatient service supply, respectively. </w:t>
      </w:r>
      <w:r w:rsidR="00FC5F43">
        <w:rPr>
          <w:rFonts w:ascii="Garamond" w:eastAsia="Times New Roman" w:hAnsi="Garamond" w:cs="Times New Roman"/>
          <w:iCs/>
          <w:sz w:val="24"/>
          <w:szCs w:val="24"/>
          <w:lang w:val="en-GB"/>
        </w:rPr>
        <w:t>P</w:t>
      </w:r>
      <w:r w:rsidR="00FC5F43" w:rsidRPr="00FC5F43">
        <w:rPr>
          <w:rFonts w:ascii="Garamond" w:eastAsia="Times New Roman" w:hAnsi="Garamond" w:cs="Times New Roman"/>
          <w:iCs/>
          <w:sz w:val="24"/>
          <w:szCs w:val="24"/>
          <w:lang w:val="en-GB"/>
        </w:rPr>
        <w:t xml:space="preserve">redicted </w:t>
      </w:r>
      <w:r w:rsidR="00FC5F43">
        <w:rPr>
          <w:rFonts w:ascii="Garamond" w:eastAsia="Times New Roman" w:hAnsi="Garamond" w:cs="Times New Roman"/>
          <w:iCs/>
          <w:sz w:val="24"/>
          <w:szCs w:val="24"/>
          <w:lang w:val="en-GB"/>
        </w:rPr>
        <w:t xml:space="preserve">choice </w:t>
      </w:r>
      <w:r w:rsidR="00FC5F43" w:rsidRPr="00FC5F43">
        <w:rPr>
          <w:rFonts w:ascii="Garamond" w:eastAsia="Times New Roman" w:hAnsi="Garamond" w:cs="Times New Roman"/>
          <w:iCs/>
          <w:sz w:val="24"/>
          <w:szCs w:val="24"/>
          <w:lang w:val="en-GB"/>
        </w:rPr>
        <w:t>probabilities were computed by fixing, for each respondent, the explanatory variables to the values that were observed for the respective respondent</w:t>
      </w:r>
      <w:r w:rsidR="00ED03C0">
        <w:rPr>
          <w:rFonts w:ascii="Garamond" w:eastAsia="Times New Roman" w:hAnsi="Garamond" w:cs="Times New Roman"/>
          <w:iCs/>
          <w:sz w:val="24"/>
          <w:szCs w:val="24"/>
          <w:lang w:val="en-GB"/>
        </w:rPr>
        <w:t>.</w:t>
      </w:r>
      <w:r w:rsidR="00FC5F43" w:rsidRPr="00FC5F43">
        <w:rPr>
          <w:rFonts w:ascii="Garamond" w:eastAsia="Times New Roman" w:hAnsi="Garamond" w:cs="Times New Roman"/>
          <w:iCs/>
          <w:sz w:val="24"/>
          <w:szCs w:val="24"/>
          <w:lang w:val="en-GB"/>
        </w:rPr>
        <w:t xml:space="preserve"> </w:t>
      </w:r>
      <w:r w:rsidR="00D37649" w:rsidRPr="00D37649">
        <w:rPr>
          <w:rFonts w:ascii="Garamond" w:eastAsia="Times New Roman" w:hAnsi="Garamond" w:cs="Times New Roman"/>
          <w:iCs/>
          <w:sz w:val="24"/>
          <w:szCs w:val="24"/>
          <w:lang w:val="en-GB"/>
        </w:rPr>
        <w:t>Then, the value of one supply variable was varied over its respective range. For each value of the supply variable, the predicted choice probability for the three care arrangements was computed with formula (4)</w:t>
      </w:r>
      <w:r w:rsidR="00FC5F43">
        <w:rPr>
          <w:rFonts w:ascii="Garamond" w:eastAsia="Times New Roman" w:hAnsi="Garamond" w:cs="Times New Roman"/>
          <w:iCs/>
          <w:sz w:val="24"/>
          <w:szCs w:val="24"/>
          <w:lang w:val="en-GB"/>
        </w:rPr>
        <w:t xml:space="preserve"> (see section 4.1 in the main text)</w:t>
      </w:r>
      <w:r w:rsidR="00D37649" w:rsidRPr="00D37649">
        <w:rPr>
          <w:rFonts w:ascii="Garamond" w:eastAsia="Times New Roman" w:hAnsi="Garamond" w:cs="Times New Roman"/>
          <w:iCs/>
          <w:sz w:val="24"/>
          <w:szCs w:val="24"/>
          <w:lang w:val="en-GB"/>
        </w:rPr>
        <w:t>.</w:t>
      </w:r>
      <w:r>
        <w:rPr>
          <w:rFonts w:ascii="Garamond" w:eastAsia="Times New Roman" w:hAnsi="Garamond" w:cs="Times New Roman"/>
          <w:iCs/>
          <w:sz w:val="24"/>
          <w:szCs w:val="24"/>
          <w:lang w:val="en-GB"/>
        </w:rPr>
        <w:t xml:space="preserve"> </w:t>
      </w:r>
      <w:r w:rsidR="00D37649" w:rsidRPr="00FA2393">
        <w:rPr>
          <w:rFonts w:ascii="Garamond" w:eastAsia="Times New Roman" w:hAnsi="Garamond" w:cs="Times New Roman"/>
          <w:i/>
          <w:iCs/>
          <w:sz w:val="24"/>
          <w:szCs w:val="24"/>
          <w:lang w:val="en-GB"/>
        </w:rPr>
        <w:t xml:space="preserve">Figure </w:t>
      </w:r>
      <w:r w:rsidRPr="00FA2393">
        <w:rPr>
          <w:rFonts w:ascii="Garamond" w:eastAsia="Times New Roman" w:hAnsi="Garamond" w:cs="Times New Roman"/>
          <w:i/>
          <w:iCs/>
          <w:sz w:val="24"/>
          <w:szCs w:val="24"/>
          <w:lang w:val="en-GB"/>
        </w:rPr>
        <w:t>O1</w:t>
      </w:r>
      <w:r w:rsidR="00D37649" w:rsidRPr="00D37649">
        <w:rPr>
          <w:rFonts w:ascii="Garamond" w:eastAsia="Times New Roman" w:hAnsi="Garamond" w:cs="Times New Roman"/>
          <w:iCs/>
          <w:sz w:val="24"/>
          <w:szCs w:val="24"/>
          <w:lang w:val="en-GB"/>
        </w:rPr>
        <w:t xml:space="preserve"> shows that the choice probabilities for all care arrangements change almost linearly over the range of outpatient service supply. For respondent</w:t>
      </w:r>
      <w:r w:rsidR="00FC5F43">
        <w:rPr>
          <w:rFonts w:ascii="Garamond" w:eastAsia="Times New Roman" w:hAnsi="Garamond" w:cs="Times New Roman"/>
          <w:iCs/>
          <w:sz w:val="24"/>
          <w:szCs w:val="24"/>
          <w:lang w:val="en-GB"/>
        </w:rPr>
        <w:t>s</w:t>
      </w:r>
      <w:r w:rsidR="00D37649" w:rsidRPr="00D37649">
        <w:rPr>
          <w:rFonts w:ascii="Garamond" w:eastAsia="Times New Roman" w:hAnsi="Garamond" w:cs="Times New Roman"/>
          <w:iCs/>
          <w:sz w:val="24"/>
          <w:szCs w:val="24"/>
          <w:lang w:val="en-GB"/>
        </w:rPr>
        <w:t xml:space="preserve"> living in count</w:t>
      </w:r>
      <w:r w:rsidR="00FC5F43">
        <w:rPr>
          <w:rFonts w:ascii="Garamond" w:eastAsia="Times New Roman" w:hAnsi="Garamond" w:cs="Times New Roman"/>
          <w:iCs/>
          <w:sz w:val="24"/>
          <w:szCs w:val="24"/>
          <w:lang w:val="en-GB"/>
        </w:rPr>
        <w:t>ies</w:t>
      </w:r>
      <w:r w:rsidR="00D37649" w:rsidRPr="00D37649">
        <w:rPr>
          <w:rFonts w:ascii="Garamond" w:eastAsia="Times New Roman" w:hAnsi="Garamond" w:cs="Times New Roman"/>
          <w:iCs/>
          <w:sz w:val="24"/>
          <w:szCs w:val="24"/>
          <w:lang w:val="en-GB"/>
        </w:rPr>
        <w:t xml:space="preserve"> with an outpatient service supply of 5 employees per 100 care dependents (</w:t>
      </w:r>
      <w:r w:rsidR="00FC5F43">
        <w:rPr>
          <w:rFonts w:ascii="Garamond" w:eastAsia="Times New Roman" w:hAnsi="Garamond" w:cs="Times New Roman"/>
          <w:iCs/>
          <w:sz w:val="24"/>
          <w:szCs w:val="24"/>
          <w:lang w:val="en-GB"/>
        </w:rPr>
        <w:t>lowest observed value</w:t>
      </w:r>
      <w:r w:rsidR="00D37649" w:rsidRPr="00D37649">
        <w:rPr>
          <w:rFonts w:ascii="Garamond" w:eastAsia="Times New Roman" w:hAnsi="Garamond" w:cs="Times New Roman"/>
          <w:iCs/>
          <w:sz w:val="24"/>
          <w:szCs w:val="24"/>
          <w:lang w:val="en-GB"/>
        </w:rPr>
        <w:t xml:space="preserve">), the predicted choice probabilities are </w:t>
      </w:r>
      <w:r w:rsidR="00B14518">
        <w:rPr>
          <w:rFonts w:ascii="Garamond" w:eastAsia="Times New Roman" w:hAnsi="Garamond" w:cs="Times New Roman"/>
          <w:iCs/>
          <w:sz w:val="24"/>
          <w:szCs w:val="24"/>
          <w:lang w:val="en-GB"/>
        </w:rPr>
        <w:t>13.90</w:t>
      </w:r>
      <w:r w:rsidR="00D37649" w:rsidRPr="00D37649">
        <w:rPr>
          <w:rFonts w:ascii="Garamond" w:eastAsia="Times New Roman" w:hAnsi="Garamond" w:cs="Times New Roman"/>
          <w:iCs/>
          <w:sz w:val="24"/>
          <w:szCs w:val="24"/>
          <w:lang w:val="en-GB"/>
        </w:rPr>
        <w:t xml:space="preserve">% (IC), </w:t>
      </w:r>
      <w:r w:rsidR="00B14518">
        <w:rPr>
          <w:rFonts w:ascii="Garamond" w:eastAsia="Times New Roman" w:hAnsi="Garamond" w:cs="Times New Roman"/>
          <w:iCs/>
          <w:sz w:val="24"/>
          <w:szCs w:val="24"/>
          <w:lang w:val="en-GB"/>
        </w:rPr>
        <w:t>11.03</w:t>
      </w:r>
      <w:r w:rsidR="00D37649" w:rsidRPr="00D37649">
        <w:rPr>
          <w:rFonts w:ascii="Garamond" w:eastAsia="Times New Roman" w:hAnsi="Garamond" w:cs="Times New Roman"/>
          <w:iCs/>
          <w:sz w:val="24"/>
          <w:szCs w:val="24"/>
          <w:lang w:val="en-GB"/>
        </w:rPr>
        <w:t xml:space="preserve">% (OC), and </w:t>
      </w:r>
      <w:r w:rsidR="00B14518">
        <w:rPr>
          <w:rFonts w:ascii="Garamond" w:eastAsia="Times New Roman" w:hAnsi="Garamond" w:cs="Times New Roman"/>
          <w:iCs/>
          <w:sz w:val="24"/>
          <w:szCs w:val="24"/>
          <w:lang w:val="en-GB"/>
        </w:rPr>
        <w:t>75.07</w:t>
      </w:r>
      <w:r w:rsidR="00D37649" w:rsidRPr="00D37649">
        <w:rPr>
          <w:rFonts w:ascii="Garamond" w:eastAsia="Times New Roman" w:hAnsi="Garamond" w:cs="Times New Roman"/>
          <w:iCs/>
          <w:sz w:val="24"/>
          <w:szCs w:val="24"/>
          <w:lang w:val="en-GB"/>
        </w:rPr>
        <w:t>% (WOC). For respondent</w:t>
      </w:r>
      <w:r w:rsidR="00ED03C0">
        <w:rPr>
          <w:rFonts w:ascii="Garamond" w:eastAsia="Times New Roman" w:hAnsi="Garamond" w:cs="Times New Roman"/>
          <w:iCs/>
          <w:sz w:val="24"/>
          <w:szCs w:val="24"/>
          <w:lang w:val="en-GB"/>
        </w:rPr>
        <w:t>s</w:t>
      </w:r>
      <w:r w:rsidR="00D37649" w:rsidRPr="00D37649">
        <w:rPr>
          <w:rFonts w:ascii="Garamond" w:eastAsia="Times New Roman" w:hAnsi="Garamond" w:cs="Times New Roman"/>
          <w:iCs/>
          <w:sz w:val="24"/>
          <w:szCs w:val="24"/>
          <w:lang w:val="en-GB"/>
        </w:rPr>
        <w:t xml:space="preserve"> living in count</w:t>
      </w:r>
      <w:r w:rsidR="00ED03C0">
        <w:rPr>
          <w:rFonts w:ascii="Garamond" w:eastAsia="Times New Roman" w:hAnsi="Garamond" w:cs="Times New Roman"/>
          <w:iCs/>
          <w:sz w:val="24"/>
          <w:szCs w:val="24"/>
          <w:lang w:val="en-GB"/>
        </w:rPr>
        <w:t>ies</w:t>
      </w:r>
      <w:r w:rsidR="00D37649" w:rsidRPr="00D37649">
        <w:rPr>
          <w:rFonts w:ascii="Garamond" w:eastAsia="Times New Roman" w:hAnsi="Garamond" w:cs="Times New Roman"/>
          <w:iCs/>
          <w:sz w:val="24"/>
          <w:szCs w:val="24"/>
          <w:lang w:val="en-GB"/>
        </w:rPr>
        <w:t xml:space="preserve"> with an outpatient service supply of 25 employees per 100 care dependents (</w:t>
      </w:r>
      <w:r w:rsidR="00ED03C0">
        <w:rPr>
          <w:rFonts w:ascii="Garamond" w:eastAsia="Times New Roman" w:hAnsi="Garamond" w:cs="Times New Roman"/>
          <w:iCs/>
          <w:sz w:val="24"/>
          <w:szCs w:val="24"/>
          <w:lang w:val="en-GB"/>
        </w:rPr>
        <w:t>highest observed value</w:t>
      </w:r>
      <w:r w:rsidR="00D37649" w:rsidRPr="00D37649">
        <w:rPr>
          <w:rFonts w:ascii="Garamond" w:eastAsia="Times New Roman" w:hAnsi="Garamond" w:cs="Times New Roman"/>
          <w:iCs/>
          <w:sz w:val="24"/>
          <w:szCs w:val="24"/>
          <w:lang w:val="en-GB"/>
        </w:rPr>
        <w:t xml:space="preserve">), the corresponding predicted choice probabilities are </w:t>
      </w:r>
      <w:r w:rsidR="00B14518">
        <w:rPr>
          <w:rFonts w:ascii="Garamond" w:eastAsia="Times New Roman" w:hAnsi="Garamond" w:cs="Times New Roman"/>
          <w:iCs/>
          <w:sz w:val="24"/>
          <w:szCs w:val="24"/>
          <w:lang w:val="en-GB"/>
        </w:rPr>
        <w:t>3.88</w:t>
      </w:r>
      <w:r w:rsidR="00D37649" w:rsidRPr="00D37649">
        <w:rPr>
          <w:rFonts w:ascii="Garamond" w:eastAsia="Times New Roman" w:hAnsi="Garamond" w:cs="Times New Roman"/>
          <w:iCs/>
          <w:sz w:val="24"/>
          <w:szCs w:val="24"/>
          <w:lang w:val="en-GB"/>
        </w:rPr>
        <w:t xml:space="preserve">% (IC), </w:t>
      </w:r>
      <w:r w:rsidR="00B14518">
        <w:rPr>
          <w:rFonts w:ascii="Garamond" w:eastAsia="Times New Roman" w:hAnsi="Garamond" w:cs="Times New Roman"/>
          <w:iCs/>
          <w:sz w:val="24"/>
          <w:szCs w:val="24"/>
          <w:lang w:val="en-GB"/>
        </w:rPr>
        <w:t>24.04</w:t>
      </w:r>
      <w:r w:rsidR="00D37649" w:rsidRPr="00D37649">
        <w:rPr>
          <w:rFonts w:ascii="Garamond" w:eastAsia="Times New Roman" w:hAnsi="Garamond" w:cs="Times New Roman"/>
          <w:iCs/>
          <w:sz w:val="24"/>
          <w:szCs w:val="24"/>
          <w:lang w:val="en-GB"/>
        </w:rPr>
        <w:t xml:space="preserve">% (OC), and </w:t>
      </w:r>
      <w:r w:rsidR="00B14518">
        <w:rPr>
          <w:rFonts w:ascii="Garamond" w:eastAsia="Times New Roman" w:hAnsi="Garamond" w:cs="Times New Roman"/>
          <w:iCs/>
          <w:sz w:val="24"/>
          <w:szCs w:val="24"/>
          <w:lang w:val="en-GB"/>
        </w:rPr>
        <w:t>72.08</w:t>
      </w:r>
      <w:r w:rsidR="00D37649" w:rsidRPr="00D37649">
        <w:rPr>
          <w:rFonts w:ascii="Garamond" w:eastAsia="Times New Roman" w:hAnsi="Garamond" w:cs="Times New Roman"/>
          <w:iCs/>
          <w:sz w:val="24"/>
          <w:szCs w:val="24"/>
          <w:lang w:val="en-GB"/>
        </w:rPr>
        <w:t>% (WOC).</w:t>
      </w:r>
    </w:p>
    <w:p w14:paraId="42348891" w14:textId="77777777" w:rsidR="00D37649" w:rsidRPr="00D37649" w:rsidRDefault="00D37649" w:rsidP="00D37649">
      <w:pPr>
        <w:spacing w:after="0" w:line="360" w:lineRule="auto"/>
        <w:jc w:val="both"/>
        <w:rPr>
          <w:rFonts w:ascii="Garamond" w:eastAsia="Times New Roman" w:hAnsi="Garamond" w:cs="Times New Roman"/>
          <w:iCs/>
          <w:sz w:val="24"/>
          <w:szCs w:val="24"/>
          <w:lang w:val="en-GB"/>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CellMar>
          <w:top w:w="28" w:type="dxa"/>
          <w:left w:w="120" w:type="dxa"/>
          <w:bottom w:w="28" w:type="dxa"/>
          <w:right w:w="120" w:type="dxa"/>
        </w:tblCellMar>
        <w:tblLook w:val="04A0" w:firstRow="1" w:lastRow="0" w:firstColumn="1" w:lastColumn="0" w:noHBand="0" w:noVBand="1"/>
      </w:tblPr>
      <w:tblGrid>
        <w:gridCol w:w="8504"/>
      </w:tblGrid>
      <w:tr w:rsidR="00D37649" w:rsidRPr="007C02FF" w14:paraId="56DBA844" w14:textId="77777777" w:rsidTr="00DE7BF9">
        <w:tc>
          <w:tcPr>
            <w:tcW w:w="8504" w:type="dxa"/>
            <w:tcBorders>
              <w:bottom w:val="single" w:sz="4" w:space="0" w:color="auto"/>
            </w:tcBorders>
          </w:tcPr>
          <w:p w14:paraId="74680D85" w14:textId="77777777" w:rsidR="00D37649" w:rsidRPr="00D37649" w:rsidRDefault="00FA2393" w:rsidP="00D37649">
            <w:pPr>
              <w:jc w:val="both"/>
              <w:rPr>
                <w:rFonts w:ascii="Garamond" w:eastAsia="Times New Roman" w:hAnsi="Garamond" w:cs="Times New Roman"/>
                <w:iCs/>
                <w:sz w:val="24"/>
                <w:szCs w:val="24"/>
                <w:lang w:val="en-GB"/>
              </w:rPr>
            </w:pPr>
            <w:r>
              <w:rPr>
                <w:rFonts w:ascii="Garamond" w:eastAsia="Times New Roman" w:hAnsi="Garamond" w:cs="Times New Roman"/>
                <w:iCs/>
                <w:sz w:val="24"/>
                <w:szCs w:val="24"/>
                <w:lang w:val="en-GB"/>
              </w:rPr>
              <w:t>Figure O1</w:t>
            </w:r>
            <w:r w:rsidR="00D37649" w:rsidRPr="00D37649">
              <w:rPr>
                <w:rFonts w:ascii="Garamond" w:eastAsia="Times New Roman" w:hAnsi="Garamond" w:cs="Times New Roman"/>
                <w:iCs/>
                <w:sz w:val="24"/>
                <w:szCs w:val="24"/>
                <w:lang w:val="en-GB"/>
              </w:rPr>
              <w:t>: Predicted choice probabilities over range of outpatient service supply</w:t>
            </w:r>
          </w:p>
        </w:tc>
      </w:tr>
      <w:tr w:rsidR="00D37649" w:rsidRPr="00D37649" w14:paraId="16F64814" w14:textId="77777777" w:rsidTr="00DE7BF9">
        <w:trPr>
          <w:trHeight w:val="5731"/>
        </w:trPr>
        <w:tc>
          <w:tcPr>
            <w:tcW w:w="8504" w:type="dxa"/>
            <w:tcBorders>
              <w:top w:val="single" w:sz="4" w:space="0" w:color="auto"/>
              <w:bottom w:val="single" w:sz="4" w:space="0" w:color="auto"/>
            </w:tcBorders>
          </w:tcPr>
          <w:p w14:paraId="43D329C5" w14:textId="551227DB" w:rsidR="00D37649" w:rsidRPr="00D37649" w:rsidRDefault="00FC5F43" w:rsidP="00D37649">
            <w:pPr>
              <w:jc w:val="center"/>
              <w:rPr>
                <w:rFonts w:ascii="Garamond" w:eastAsia="Times New Roman" w:hAnsi="Garamond" w:cs="Times New Roman"/>
                <w:iCs/>
                <w:sz w:val="24"/>
                <w:szCs w:val="24"/>
                <w:lang w:val="en-GB"/>
              </w:rPr>
            </w:pPr>
            <w:r>
              <w:rPr>
                <w:rFonts w:ascii="Garamond" w:eastAsia="Times New Roman" w:hAnsi="Garamond" w:cs="Times New Roman"/>
                <w:iCs/>
                <w:noProof/>
                <w:sz w:val="24"/>
                <w:szCs w:val="24"/>
                <w:lang w:val="en-GB"/>
              </w:rPr>
              <w:drawing>
                <wp:inline distT="0" distB="0" distL="0" distR="0" wp14:anchorId="348FCD1C" wp14:editId="35C3F109">
                  <wp:extent cx="5400040" cy="3927475"/>
                  <wp:effectExtent l="0" t="0" r="0" b="0"/>
                  <wp:docPr id="1" name="Grafik 1"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3.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927475"/>
                          </a:xfrm>
                          <a:prstGeom prst="rect">
                            <a:avLst/>
                          </a:prstGeom>
                        </pic:spPr>
                      </pic:pic>
                    </a:graphicData>
                  </a:graphic>
                </wp:inline>
              </w:drawing>
            </w:r>
          </w:p>
        </w:tc>
      </w:tr>
      <w:tr w:rsidR="00D37649" w:rsidRPr="00FA2393" w14:paraId="5AC34F2C" w14:textId="77777777" w:rsidTr="00DE7BF9">
        <w:tc>
          <w:tcPr>
            <w:tcW w:w="8504" w:type="dxa"/>
            <w:tcBorders>
              <w:top w:val="single" w:sz="4" w:space="0" w:color="auto"/>
              <w:bottom w:val="nil"/>
            </w:tcBorders>
          </w:tcPr>
          <w:p w14:paraId="0137F51F" w14:textId="38231DD4" w:rsidR="00D37649" w:rsidRPr="00D37649" w:rsidRDefault="00D37649" w:rsidP="00595923">
            <w:pPr>
              <w:jc w:val="both"/>
              <w:rPr>
                <w:rFonts w:ascii="Garamond" w:eastAsia="Times New Roman" w:hAnsi="Garamond" w:cs="Times New Roman"/>
                <w:iCs/>
                <w:noProof/>
                <w:sz w:val="24"/>
                <w:szCs w:val="24"/>
                <w:lang w:val="en-GB"/>
              </w:rPr>
            </w:pPr>
            <w:r w:rsidRPr="00FC5F43">
              <w:rPr>
                <w:rFonts w:ascii="Garamond" w:eastAsia="Times New Roman" w:hAnsi="Garamond" w:cs="Times New Roman"/>
                <w:iCs/>
                <w:noProof/>
                <w:sz w:val="24"/>
                <w:szCs w:val="24"/>
                <w:lang w:val="en-GB"/>
              </w:rPr>
              <w:t xml:space="preserve">Notes: </w:t>
            </w:r>
            <w:r w:rsidRPr="00FC5F43">
              <w:rPr>
                <w:rFonts w:ascii="Garamond" w:eastAsia="Times New Roman" w:hAnsi="Garamond" w:cs="Times New Roman"/>
                <w:iCs/>
                <w:noProof/>
                <w:sz w:val="24"/>
                <w:szCs w:val="24"/>
                <w:lang w:val="en-GB" w:eastAsia="de-DE"/>
              </w:rPr>
              <w:t>Results</w:t>
            </w:r>
            <w:r w:rsidRPr="00D37649">
              <w:rPr>
                <w:rFonts w:ascii="Garamond" w:eastAsia="Times New Roman" w:hAnsi="Garamond" w:cs="Times New Roman"/>
                <w:iCs/>
                <w:noProof/>
                <w:sz w:val="24"/>
                <w:szCs w:val="24"/>
                <w:lang w:val="en-GB" w:eastAsia="de-DE"/>
              </w:rPr>
              <w:t xml:space="preserve"> </w:t>
            </w:r>
            <w:r w:rsidR="00FC5F43">
              <w:rPr>
                <w:rFonts w:ascii="Garamond" w:eastAsia="Times New Roman" w:hAnsi="Garamond" w:cs="Times New Roman"/>
                <w:iCs/>
                <w:noProof/>
                <w:sz w:val="24"/>
                <w:szCs w:val="24"/>
                <w:lang w:val="en-GB" w:eastAsia="de-DE"/>
              </w:rPr>
              <w:t xml:space="preserve">based on </w:t>
            </w:r>
            <w:r w:rsidR="00595923">
              <w:rPr>
                <w:rFonts w:ascii="Garamond" w:eastAsia="Times New Roman" w:hAnsi="Garamond" w:cs="Times New Roman"/>
                <w:iCs/>
                <w:noProof/>
                <w:sz w:val="24"/>
                <w:szCs w:val="24"/>
                <w:lang w:val="en-GB" w:eastAsia="de-DE"/>
              </w:rPr>
              <w:t>multinomial logistic model</w:t>
            </w:r>
            <w:r w:rsidR="00FC5F43">
              <w:rPr>
                <w:rFonts w:ascii="Garamond" w:eastAsia="Times New Roman" w:hAnsi="Garamond" w:cs="Times New Roman"/>
                <w:iCs/>
                <w:noProof/>
                <w:sz w:val="24"/>
                <w:szCs w:val="24"/>
                <w:lang w:val="en-GB" w:eastAsia="de-DE"/>
              </w:rPr>
              <w:t>, N = 1,303.</w:t>
            </w:r>
          </w:p>
        </w:tc>
      </w:tr>
    </w:tbl>
    <w:p w14:paraId="11C12B92" w14:textId="77777777" w:rsidR="00D37649" w:rsidRPr="00D37649" w:rsidRDefault="00D37649" w:rsidP="00D37649">
      <w:pPr>
        <w:spacing w:after="0" w:line="360" w:lineRule="auto"/>
        <w:jc w:val="both"/>
        <w:rPr>
          <w:rFonts w:ascii="Garamond" w:eastAsia="Calibri" w:hAnsi="Garamond" w:cs="Times New Roman"/>
          <w:sz w:val="24"/>
          <w:szCs w:val="24"/>
          <w:lang w:val="en-GB"/>
        </w:rPr>
      </w:pPr>
    </w:p>
    <w:p w14:paraId="3AB14426" w14:textId="71128EA5" w:rsidR="00D37649" w:rsidRPr="00D37649" w:rsidRDefault="00FA2393" w:rsidP="00D37649">
      <w:pPr>
        <w:spacing w:after="0" w:line="360" w:lineRule="auto"/>
        <w:jc w:val="both"/>
        <w:rPr>
          <w:rFonts w:ascii="Garamond" w:eastAsia="Times New Roman" w:hAnsi="Garamond" w:cs="Times New Roman"/>
          <w:iCs/>
          <w:sz w:val="24"/>
          <w:szCs w:val="24"/>
          <w:lang w:val="en-GB"/>
        </w:rPr>
      </w:pPr>
      <w:r>
        <w:rPr>
          <w:rFonts w:ascii="Garamond" w:eastAsia="Times New Roman" w:hAnsi="Garamond" w:cs="Times New Roman"/>
          <w:i/>
          <w:iCs/>
          <w:sz w:val="24"/>
          <w:szCs w:val="24"/>
          <w:lang w:val="en-GB"/>
        </w:rPr>
        <w:lastRenderedPageBreak/>
        <w:t>Figure O2</w:t>
      </w:r>
      <w:r w:rsidR="00D37649" w:rsidRPr="00D37649">
        <w:rPr>
          <w:rFonts w:ascii="Garamond" w:eastAsia="Times New Roman" w:hAnsi="Garamond" w:cs="Times New Roman"/>
          <w:iCs/>
          <w:sz w:val="24"/>
          <w:szCs w:val="24"/>
          <w:lang w:val="en-GB"/>
        </w:rPr>
        <w:t xml:space="preserve"> shows that the choice probabilities follow the characteristic s-shaped curve of the logistic model. For respondent</w:t>
      </w:r>
      <w:r w:rsidR="00ED03C0">
        <w:rPr>
          <w:rFonts w:ascii="Garamond" w:eastAsia="Times New Roman" w:hAnsi="Garamond" w:cs="Times New Roman"/>
          <w:iCs/>
          <w:sz w:val="24"/>
          <w:szCs w:val="24"/>
          <w:lang w:val="en-GB"/>
        </w:rPr>
        <w:t>s</w:t>
      </w:r>
      <w:r w:rsidR="00D37649" w:rsidRPr="00D37649">
        <w:rPr>
          <w:rFonts w:ascii="Garamond" w:eastAsia="Times New Roman" w:hAnsi="Garamond" w:cs="Times New Roman"/>
          <w:iCs/>
          <w:sz w:val="24"/>
          <w:szCs w:val="24"/>
          <w:lang w:val="en-GB"/>
        </w:rPr>
        <w:t xml:space="preserve"> living in count</w:t>
      </w:r>
      <w:r w:rsidR="00ED03C0">
        <w:rPr>
          <w:rFonts w:ascii="Garamond" w:eastAsia="Times New Roman" w:hAnsi="Garamond" w:cs="Times New Roman"/>
          <w:iCs/>
          <w:sz w:val="24"/>
          <w:szCs w:val="24"/>
          <w:lang w:val="en-GB"/>
        </w:rPr>
        <w:t>ies</w:t>
      </w:r>
      <w:r w:rsidR="00D37649" w:rsidRPr="00D37649">
        <w:rPr>
          <w:rFonts w:ascii="Garamond" w:eastAsia="Times New Roman" w:hAnsi="Garamond" w:cs="Times New Roman"/>
          <w:iCs/>
          <w:sz w:val="24"/>
          <w:szCs w:val="24"/>
          <w:lang w:val="en-GB"/>
        </w:rPr>
        <w:t xml:space="preserve"> with an inpatient service supply of 16 NH beds per 100 care dependents (</w:t>
      </w:r>
      <w:r w:rsidR="00ED03C0">
        <w:rPr>
          <w:rFonts w:ascii="Garamond" w:eastAsia="Times New Roman" w:hAnsi="Garamond" w:cs="Times New Roman"/>
          <w:iCs/>
          <w:sz w:val="24"/>
          <w:szCs w:val="24"/>
          <w:lang w:val="en-GB"/>
        </w:rPr>
        <w:t>lowest observed value</w:t>
      </w:r>
      <w:r w:rsidR="00D37649" w:rsidRPr="00D37649">
        <w:rPr>
          <w:rFonts w:ascii="Garamond" w:eastAsia="Times New Roman" w:hAnsi="Garamond" w:cs="Times New Roman"/>
          <w:iCs/>
          <w:sz w:val="24"/>
          <w:szCs w:val="24"/>
          <w:lang w:val="en-GB"/>
        </w:rPr>
        <w:t>), the predicted choice probabilities are 0.4</w:t>
      </w:r>
      <w:r w:rsidR="00B14518">
        <w:rPr>
          <w:rFonts w:ascii="Garamond" w:eastAsia="Times New Roman" w:hAnsi="Garamond" w:cs="Times New Roman"/>
          <w:iCs/>
          <w:sz w:val="24"/>
          <w:szCs w:val="24"/>
          <w:lang w:val="en-GB"/>
        </w:rPr>
        <w:t>7</w:t>
      </w:r>
      <w:r w:rsidR="00D37649" w:rsidRPr="00D37649">
        <w:rPr>
          <w:rFonts w:ascii="Garamond" w:eastAsia="Times New Roman" w:hAnsi="Garamond" w:cs="Times New Roman"/>
          <w:iCs/>
          <w:sz w:val="24"/>
          <w:szCs w:val="24"/>
          <w:lang w:val="en-GB"/>
        </w:rPr>
        <w:t xml:space="preserve">% (IC), </w:t>
      </w:r>
      <w:r w:rsidR="00B14518">
        <w:rPr>
          <w:rFonts w:ascii="Garamond" w:eastAsia="Times New Roman" w:hAnsi="Garamond" w:cs="Times New Roman"/>
          <w:iCs/>
          <w:sz w:val="24"/>
          <w:szCs w:val="24"/>
          <w:lang w:val="en-GB"/>
        </w:rPr>
        <w:t>19.72</w:t>
      </w:r>
      <w:r w:rsidR="00D37649" w:rsidRPr="00D37649">
        <w:rPr>
          <w:rFonts w:ascii="Garamond" w:eastAsia="Times New Roman" w:hAnsi="Garamond" w:cs="Times New Roman"/>
          <w:iCs/>
          <w:sz w:val="24"/>
          <w:szCs w:val="24"/>
          <w:lang w:val="en-GB"/>
        </w:rPr>
        <w:t xml:space="preserve">% (OC), and </w:t>
      </w:r>
      <w:r w:rsidR="00B14518">
        <w:rPr>
          <w:rFonts w:ascii="Garamond" w:eastAsia="Times New Roman" w:hAnsi="Garamond" w:cs="Times New Roman"/>
          <w:iCs/>
          <w:sz w:val="24"/>
          <w:szCs w:val="24"/>
          <w:lang w:val="en-GB"/>
        </w:rPr>
        <w:t>79.81</w:t>
      </w:r>
      <w:r w:rsidR="00D37649" w:rsidRPr="00D37649">
        <w:rPr>
          <w:rFonts w:ascii="Garamond" w:eastAsia="Times New Roman" w:hAnsi="Garamond" w:cs="Times New Roman"/>
          <w:iCs/>
          <w:sz w:val="24"/>
          <w:szCs w:val="24"/>
          <w:lang w:val="en-GB"/>
        </w:rPr>
        <w:t>% (WOC). For respondent</w:t>
      </w:r>
      <w:r w:rsidR="00ED03C0">
        <w:rPr>
          <w:rFonts w:ascii="Garamond" w:eastAsia="Times New Roman" w:hAnsi="Garamond" w:cs="Times New Roman"/>
          <w:iCs/>
          <w:sz w:val="24"/>
          <w:szCs w:val="24"/>
          <w:lang w:val="en-GB"/>
        </w:rPr>
        <w:t>s</w:t>
      </w:r>
      <w:r w:rsidR="00D37649" w:rsidRPr="00D37649">
        <w:rPr>
          <w:rFonts w:ascii="Garamond" w:eastAsia="Times New Roman" w:hAnsi="Garamond" w:cs="Times New Roman"/>
          <w:iCs/>
          <w:sz w:val="24"/>
          <w:szCs w:val="24"/>
          <w:lang w:val="en-GB"/>
        </w:rPr>
        <w:t xml:space="preserve"> living in count</w:t>
      </w:r>
      <w:r w:rsidR="00ED03C0">
        <w:rPr>
          <w:rFonts w:ascii="Garamond" w:eastAsia="Times New Roman" w:hAnsi="Garamond" w:cs="Times New Roman"/>
          <w:iCs/>
          <w:sz w:val="24"/>
          <w:szCs w:val="24"/>
          <w:lang w:val="en-GB"/>
        </w:rPr>
        <w:t>ies</w:t>
      </w:r>
      <w:r w:rsidR="00D37649" w:rsidRPr="00D37649">
        <w:rPr>
          <w:rFonts w:ascii="Garamond" w:eastAsia="Times New Roman" w:hAnsi="Garamond" w:cs="Times New Roman"/>
          <w:iCs/>
          <w:sz w:val="24"/>
          <w:szCs w:val="24"/>
          <w:lang w:val="en-GB"/>
        </w:rPr>
        <w:t xml:space="preserve"> with an outpatient service supply of 42 NH beds per 100 care dependents (</w:t>
      </w:r>
      <w:r w:rsidR="00ED03C0">
        <w:rPr>
          <w:rFonts w:ascii="Garamond" w:eastAsia="Times New Roman" w:hAnsi="Garamond" w:cs="Times New Roman"/>
          <w:iCs/>
          <w:sz w:val="24"/>
          <w:szCs w:val="24"/>
          <w:lang w:val="en-GB"/>
        </w:rPr>
        <w:t>highest observed value</w:t>
      </w:r>
      <w:r w:rsidR="00D37649" w:rsidRPr="00D37649">
        <w:rPr>
          <w:rFonts w:ascii="Garamond" w:eastAsia="Times New Roman" w:hAnsi="Garamond" w:cs="Times New Roman"/>
          <w:iCs/>
          <w:sz w:val="24"/>
          <w:szCs w:val="24"/>
          <w:lang w:val="en-GB"/>
        </w:rPr>
        <w:t xml:space="preserve">), the corresponding predicted choice probabilities are </w:t>
      </w:r>
      <w:r w:rsidR="00B14518">
        <w:rPr>
          <w:rFonts w:ascii="Garamond" w:eastAsia="Times New Roman" w:hAnsi="Garamond" w:cs="Times New Roman"/>
          <w:iCs/>
          <w:sz w:val="24"/>
          <w:szCs w:val="24"/>
          <w:lang w:val="en-GB"/>
        </w:rPr>
        <w:t>78.99</w:t>
      </w:r>
      <w:r w:rsidR="00D37649" w:rsidRPr="00D37649">
        <w:rPr>
          <w:rFonts w:ascii="Garamond" w:eastAsia="Times New Roman" w:hAnsi="Garamond" w:cs="Times New Roman"/>
          <w:iCs/>
          <w:sz w:val="24"/>
          <w:szCs w:val="24"/>
          <w:lang w:val="en-GB"/>
        </w:rPr>
        <w:t xml:space="preserve">% (IC), </w:t>
      </w:r>
      <w:r w:rsidR="00B14518">
        <w:rPr>
          <w:rFonts w:ascii="Garamond" w:eastAsia="Times New Roman" w:hAnsi="Garamond" w:cs="Times New Roman"/>
          <w:iCs/>
          <w:sz w:val="24"/>
          <w:szCs w:val="24"/>
          <w:lang w:val="en-GB"/>
        </w:rPr>
        <w:t>1.19</w:t>
      </w:r>
      <w:r w:rsidR="00D37649" w:rsidRPr="00D37649">
        <w:rPr>
          <w:rFonts w:ascii="Garamond" w:eastAsia="Times New Roman" w:hAnsi="Garamond" w:cs="Times New Roman"/>
          <w:iCs/>
          <w:sz w:val="24"/>
          <w:szCs w:val="24"/>
          <w:lang w:val="en-GB"/>
        </w:rPr>
        <w:t>% (OC</w:t>
      </w:r>
      <w:r>
        <w:rPr>
          <w:rFonts w:ascii="Garamond" w:eastAsia="Times New Roman" w:hAnsi="Garamond" w:cs="Times New Roman"/>
          <w:iCs/>
          <w:sz w:val="24"/>
          <w:szCs w:val="24"/>
          <w:lang w:val="en-GB"/>
        </w:rPr>
        <w:t xml:space="preserve">), and </w:t>
      </w:r>
      <w:r w:rsidR="00B14518">
        <w:rPr>
          <w:rFonts w:ascii="Garamond" w:eastAsia="Times New Roman" w:hAnsi="Garamond" w:cs="Times New Roman"/>
          <w:iCs/>
          <w:sz w:val="24"/>
          <w:szCs w:val="24"/>
          <w:lang w:val="en-GB"/>
        </w:rPr>
        <w:t>19.83</w:t>
      </w:r>
      <w:r>
        <w:rPr>
          <w:rFonts w:ascii="Garamond" w:eastAsia="Times New Roman" w:hAnsi="Garamond" w:cs="Times New Roman"/>
          <w:iCs/>
          <w:sz w:val="24"/>
          <w:szCs w:val="24"/>
          <w:lang w:val="en-GB"/>
        </w:rPr>
        <w:t xml:space="preserve">% (WOC). </w:t>
      </w:r>
      <w:r w:rsidR="00D37649" w:rsidRPr="00D37649">
        <w:rPr>
          <w:rFonts w:ascii="Garamond" w:eastAsia="Times New Roman" w:hAnsi="Garamond" w:cs="Times New Roman"/>
          <w:iCs/>
          <w:sz w:val="24"/>
          <w:szCs w:val="24"/>
          <w:lang w:val="en-GB"/>
        </w:rPr>
        <w:t>The most pronounced changes in the choice probabilities occur in the range between 32 and 38 NH beds per 100 care dependents. Above and below this critical range, only smaller changes in choice probabilities are observed.</w:t>
      </w:r>
    </w:p>
    <w:p w14:paraId="3D9043EA" w14:textId="77777777" w:rsidR="00D37649" w:rsidRPr="00D37649" w:rsidRDefault="00D37649" w:rsidP="00D37649">
      <w:pPr>
        <w:spacing w:after="0" w:line="360" w:lineRule="auto"/>
        <w:jc w:val="both"/>
        <w:rPr>
          <w:rFonts w:ascii="Garamond" w:eastAsia="Times New Roman" w:hAnsi="Garamond" w:cs="Times New Roman"/>
          <w:iCs/>
          <w:sz w:val="24"/>
          <w:szCs w:val="24"/>
          <w:lang w:val="en-GB"/>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CellMar>
          <w:top w:w="28" w:type="dxa"/>
          <w:left w:w="120" w:type="dxa"/>
          <w:bottom w:w="28" w:type="dxa"/>
          <w:right w:w="120" w:type="dxa"/>
        </w:tblCellMar>
        <w:tblLook w:val="04A0" w:firstRow="1" w:lastRow="0" w:firstColumn="1" w:lastColumn="0" w:noHBand="0" w:noVBand="1"/>
      </w:tblPr>
      <w:tblGrid>
        <w:gridCol w:w="8504"/>
      </w:tblGrid>
      <w:tr w:rsidR="00D37649" w:rsidRPr="007C02FF" w14:paraId="6DDBEA31" w14:textId="77777777" w:rsidTr="00DE7BF9">
        <w:tc>
          <w:tcPr>
            <w:tcW w:w="8504" w:type="dxa"/>
            <w:tcBorders>
              <w:bottom w:val="single" w:sz="4" w:space="0" w:color="auto"/>
            </w:tcBorders>
          </w:tcPr>
          <w:p w14:paraId="628A473D" w14:textId="77777777" w:rsidR="00D37649" w:rsidRPr="00D37649" w:rsidRDefault="00FA2393" w:rsidP="00D37649">
            <w:pPr>
              <w:jc w:val="both"/>
              <w:rPr>
                <w:rFonts w:ascii="Garamond" w:eastAsia="Times New Roman" w:hAnsi="Garamond" w:cs="Times New Roman"/>
                <w:iCs/>
                <w:sz w:val="24"/>
                <w:szCs w:val="24"/>
                <w:lang w:val="en-GB"/>
              </w:rPr>
            </w:pPr>
            <w:r>
              <w:rPr>
                <w:rFonts w:ascii="Garamond" w:eastAsia="Times New Roman" w:hAnsi="Garamond" w:cs="Times New Roman"/>
                <w:iCs/>
                <w:sz w:val="24"/>
                <w:szCs w:val="24"/>
                <w:lang w:val="en-GB"/>
              </w:rPr>
              <w:t>Figure O2</w:t>
            </w:r>
            <w:r w:rsidR="00D37649" w:rsidRPr="00D37649">
              <w:rPr>
                <w:rFonts w:ascii="Garamond" w:eastAsia="Times New Roman" w:hAnsi="Garamond" w:cs="Times New Roman"/>
                <w:iCs/>
                <w:sz w:val="24"/>
                <w:szCs w:val="24"/>
                <w:lang w:val="en-GB"/>
              </w:rPr>
              <w:t>: Predicted choice probabilities over range of inpatient service supply</w:t>
            </w:r>
          </w:p>
        </w:tc>
      </w:tr>
      <w:tr w:rsidR="00D37649" w:rsidRPr="00D37649" w14:paraId="25A39B84" w14:textId="77777777" w:rsidTr="00DE7BF9">
        <w:tc>
          <w:tcPr>
            <w:tcW w:w="8504" w:type="dxa"/>
            <w:tcBorders>
              <w:top w:val="single" w:sz="4" w:space="0" w:color="auto"/>
              <w:bottom w:val="single" w:sz="4" w:space="0" w:color="auto"/>
            </w:tcBorders>
          </w:tcPr>
          <w:p w14:paraId="28B43D62" w14:textId="3EFFA722" w:rsidR="00D37649" w:rsidRPr="00D37649" w:rsidRDefault="00ED03C0" w:rsidP="00D37649">
            <w:pPr>
              <w:jc w:val="center"/>
              <w:rPr>
                <w:rFonts w:ascii="Garamond" w:eastAsia="Times New Roman" w:hAnsi="Garamond" w:cs="Times New Roman"/>
                <w:iCs/>
                <w:sz w:val="24"/>
                <w:szCs w:val="24"/>
                <w:lang w:val="en-GB"/>
              </w:rPr>
            </w:pPr>
            <w:r>
              <w:rPr>
                <w:rFonts w:ascii="Garamond" w:eastAsia="Times New Roman" w:hAnsi="Garamond" w:cs="Times New Roman"/>
                <w:iCs/>
                <w:noProof/>
                <w:sz w:val="24"/>
                <w:szCs w:val="24"/>
                <w:lang w:val="en-GB"/>
              </w:rPr>
              <w:drawing>
                <wp:inline distT="0" distB="0" distL="0" distR="0" wp14:anchorId="70BBAA86" wp14:editId="21E4FCB7">
                  <wp:extent cx="5400040" cy="3927475"/>
                  <wp:effectExtent l="0" t="0" r="0" b="0"/>
                  <wp:docPr id="2" name="Grafik 2" descr="Ein Bild, das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3927475"/>
                          </a:xfrm>
                          <a:prstGeom prst="rect">
                            <a:avLst/>
                          </a:prstGeom>
                        </pic:spPr>
                      </pic:pic>
                    </a:graphicData>
                  </a:graphic>
                </wp:inline>
              </w:drawing>
            </w:r>
          </w:p>
        </w:tc>
      </w:tr>
      <w:tr w:rsidR="00D37649" w:rsidRPr="00595923" w14:paraId="453D820E" w14:textId="77777777" w:rsidTr="00DE7BF9">
        <w:tc>
          <w:tcPr>
            <w:tcW w:w="8504" w:type="dxa"/>
            <w:tcBorders>
              <w:top w:val="single" w:sz="4" w:space="0" w:color="auto"/>
              <w:bottom w:val="nil"/>
            </w:tcBorders>
          </w:tcPr>
          <w:p w14:paraId="1091D24D" w14:textId="42CF3F96" w:rsidR="00D37649" w:rsidRPr="00D37649" w:rsidRDefault="00D37649" w:rsidP="00595923">
            <w:pPr>
              <w:jc w:val="both"/>
              <w:rPr>
                <w:rFonts w:ascii="Garamond" w:eastAsia="Times New Roman" w:hAnsi="Garamond" w:cs="Times New Roman"/>
                <w:iCs/>
                <w:noProof/>
                <w:sz w:val="24"/>
                <w:szCs w:val="24"/>
                <w:lang w:val="en-GB"/>
              </w:rPr>
            </w:pPr>
            <w:r w:rsidRPr="00D758AA">
              <w:rPr>
                <w:rFonts w:ascii="Garamond" w:eastAsia="Times New Roman" w:hAnsi="Garamond" w:cs="Times New Roman"/>
                <w:iCs/>
                <w:noProof/>
                <w:sz w:val="24"/>
                <w:szCs w:val="24"/>
                <w:lang w:val="en-GB"/>
              </w:rPr>
              <w:t>Notes:</w:t>
            </w:r>
            <w:r w:rsidRPr="00D37649">
              <w:rPr>
                <w:rFonts w:ascii="Garamond" w:eastAsia="Times New Roman" w:hAnsi="Garamond" w:cs="Times New Roman"/>
                <w:iCs/>
                <w:noProof/>
                <w:sz w:val="24"/>
                <w:szCs w:val="24"/>
                <w:lang w:val="en-GB"/>
              </w:rPr>
              <w:t xml:space="preserve"> </w:t>
            </w:r>
            <w:r w:rsidRPr="00D37649">
              <w:rPr>
                <w:rFonts w:ascii="Garamond" w:eastAsia="Times New Roman" w:hAnsi="Garamond" w:cs="Times New Roman"/>
                <w:iCs/>
                <w:noProof/>
                <w:sz w:val="24"/>
                <w:szCs w:val="24"/>
                <w:lang w:val="en-GB" w:eastAsia="de-DE"/>
              </w:rPr>
              <w:t>Results based</w:t>
            </w:r>
            <w:r w:rsidR="00595923">
              <w:rPr>
                <w:rFonts w:ascii="Garamond" w:eastAsia="Times New Roman" w:hAnsi="Garamond" w:cs="Times New Roman"/>
                <w:iCs/>
                <w:noProof/>
                <w:sz w:val="24"/>
                <w:szCs w:val="24"/>
                <w:lang w:val="en-GB" w:eastAsia="de-DE"/>
              </w:rPr>
              <w:t xml:space="preserve"> on multinomial logistic model</w:t>
            </w:r>
            <w:r w:rsidR="00ED03C0">
              <w:rPr>
                <w:rFonts w:ascii="Garamond" w:eastAsia="Times New Roman" w:hAnsi="Garamond" w:cs="Times New Roman"/>
                <w:iCs/>
                <w:noProof/>
                <w:sz w:val="24"/>
                <w:szCs w:val="24"/>
                <w:lang w:val="en-GB" w:eastAsia="de-DE"/>
              </w:rPr>
              <w:t>, N = 1,303.</w:t>
            </w:r>
          </w:p>
        </w:tc>
      </w:tr>
    </w:tbl>
    <w:p w14:paraId="63B321C2" w14:textId="77777777" w:rsidR="00D37649" w:rsidRPr="00D37649" w:rsidRDefault="00D37649" w:rsidP="00D37649">
      <w:pPr>
        <w:spacing w:after="0" w:line="360" w:lineRule="auto"/>
        <w:jc w:val="both"/>
        <w:rPr>
          <w:rFonts w:ascii="Garamond" w:eastAsia="Calibri" w:hAnsi="Garamond" w:cs="Times New Roman"/>
          <w:sz w:val="24"/>
          <w:szCs w:val="24"/>
          <w:lang w:val="en-GB"/>
        </w:rPr>
      </w:pPr>
    </w:p>
    <w:p w14:paraId="6A230509" w14:textId="77777777" w:rsidR="00D37649" w:rsidRPr="00D37649" w:rsidRDefault="00D37649" w:rsidP="00D37649">
      <w:pPr>
        <w:spacing w:after="0" w:line="360" w:lineRule="auto"/>
        <w:jc w:val="both"/>
        <w:rPr>
          <w:rFonts w:ascii="Garamond" w:eastAsia="Times New Roman" w:hAnsi="Garamond" w:cs="Times New Roman"/>
          <w:iCs/>
          <w:sz w:val="24"/>
          <w:szCs w:val="24"/>
          <w:lang w:val="en-GB"/>
        </w:rPr>
      </w:pPr>
      <w:r w:rsidRPr="00D37649">
        <w:rPr>
          <w:rFonts w:ascii="Garamond" w:eastAsia="Times New Roman" w:hAnsi="Garamond" w:cs="Times New Roman"/>
          <w:iCs/>
          <w:sz w:val="24"/>
          <w:szCs w:val="24"/>
          <w:lang w:val="en-GB"/>
        </w:rPr>
        <w:t xml:space="preserve">The point at which increasing the utility of a care arrangement has the greatest effect is where the probability of choosing the care arrangement is close to 0.50. At this point, even small increases in the utility of the arrangement can tip the balance in the choices of many older persons, resulting in large changes in choice probabilities. Above and below this critical range, changes in the utility of care arrangements do rarely tip the balance: The other care arrangements are either clearly better or worse for the majority of older persons. Hence, only </w:t>
      </w:r>
      <w:r w:rsidRPr="00D37649">
        <w:rPr>
          <w:rFonts w:ascii="Garamond" w:eastAsia="Times New Roman" w:hAnsi="Garamond" w:cs="Times New Roman"/>
          <w:iCs/>
          <w:sz w:val="24"/>
          <w:szCs w:val="24"/>
          <w:lang w:val="en-GB"/>
        </w:rPr>
        <w:lastRenderedPageBreak/>
        <w:t>small changes in choice probabilities are observed. From a policy perspective, the s-shape of the choice probabilities suggests that increasing inpatient service supply in areas where the supply is low will be ineffective: Large improvements would be necessary to tip the balance and produce a discernible change in choice probabilities. In contrast, in areas that already have a moderate inpatient service supply, even small changes in supply can induce many older persons to choose either the IC or the WOC arrangement.</w:t>
      </w:r>
    </w:p>
    <w:p w14:paraId="5C852A3F" w14:textId="77777777" w:rsidR="00194161" w:rsidRDefault="00194161">
      <w:pPr>
        <w:rPr>
          <w:lang w:val="en-GB"/>
        </w:rPr>
      </w:pPr>
    </w:p>
    <w:p w14:paraId="7BB29603" w14:textId="77777777" w:rsidR="00F42461" w:rsidRPr="00F42461" w:rsidRDefault="00F42461" w:rsidP="00F42461">
      <w:pPr>
        <w:spacing w:after="0" w:line="360" w:lineRule="auto"/>
        <w:jc w:val="both"/>
        <w:rPr>
          <w:rFonts w:ascii="Garamond" w:eastAsia="Calibri" w:hAnsi="Garamond" w:cs="Times New Roman"/>
          <w:b/>
          <w:sz w:val="24"/>
          <w:szCs w:val="24"/>
          <w:lang w:val="en-GB"/>
        </w:rPr>
      </w:pPr>
      <w:bookmarkStart w:id="0" w:name="_Toc14699582"/>
      <w:r w:rsidRPr="00834969">
        <w:rPr>
          <w:rFonts w:ascii="Garamond" w:eastAsia="Calibri" w:hAnsi="Garamond" w:cs="Times New Roman"/>
          <w:b/>
          <w:sz w:val="24"/>
          <w:szCs w:val="24"/>
          <w:lang w:val="en-GB"/>
        </w:rPr>
        <w:t xml:space="preserve">Online-Appendix 2: </w:t>
      </w:r>
      <w:r w:rsidRPr="00F42461">
        <w:rPr>
          <w:rFonts w:ascii="Garamond" w:eastAsia="Calibri" w:hAnsi="Garamond" w:cs="Times New Roman"/>
          <w:b/>
          <w:sz w:val="24"/>
          <w:szCs w:val="24"/>
          <w:lang w:val="en-GB"/>
        </w:rPr>
        <w:t>Robustness Checks</w:t>
      </w:r>
      <w:bookmarkEnd w:id="0"/>
    </w:p>
    <w:p w14:paraId="0D31FD36" w14:textId="31296619" w:rsidR="00F42461" w:rsidRPr="00F42461" w:rsidRDefault="00F42461" w:rsidP="00F42461">
      <w:pPr>
        <w:spacing w:after="0" w:line="360" w:lineRule="auto"/>
        <w:jc w:val="both"/>
        <w:rPr>
          <w:rFonts w:ascii="Garamond" w:eastAsia="Calibri" w:hAnsi="Garamond" w:cs="Times New Roman"/>
          <w:sz w:val="24"/>
          <w:szCs w:val="24"/>
          <w:lang w:val="en-GB"/>
        </w:rPr>
      </w:pPr>
      <w:r w:rsidRPr="00F42461">
        <w:rPr>
          <w:rFonts w:ascii="Garamond" w:eastAsia="Calibri" w:hAnsi="Garamond" w:cs="Times New Roman"/>
          <w:sz w:val="24"/>
          <w:szCs w:val="24"/>
          <w:lang w:val="en-GB"/>
        </w:rPr>
        <w:t xml:space="preserve">Robustness checks are performed to test whether the results presented in </w:t>
      </w:r>
      <w:r w:rsidR="00DE7BF9">
        <w:rPr>
          <w:rFonts w:ascii="Garamond" w:eastAsia="Calibri" w:hAnsi="Garamond" w:cs="Times New Roman"/>
          <w:sz w:val="24"/>
          <w:szCs w:val="24"/>
          <w:lang w:val="en-GB"/>
        </w:rPr>
        <w:t>section 6 (main text)</w:t>
      </w:r>
      <w:r w:rsidRPr="00F42461">
        <w:rPr>
          <w:rFonts w:ascii="Garamond" w:eastAsia="Calibri" w:hAnsi="Garamond" w:cs="Times New Roman"/>
          <w:sz w:val="24"/>
          <w:szCs w:val="24"/>
          <w:lang w:val="en-GB"/>
        </w:rPr>
        <w:t xml:space="preserve"> depend on the specification of the RUM. First, it is tested whether further</w:t>
      </w:r>
      <w:r w:rsidRPr="00F42461">
        <w:rPr>
          <w:rFonts w:ascii="Garamond" w:eastAsia="Calibri" w:hAnsi="Garamond" w:cs="Times New Roman"/>
          <w:iCs/>
          <w:sz w:val="24"/>
          <w:szCs w:val="24"/>
          <w:lang w:val="en-GB"/>
        </w:rPr>
        <w:t xml:space="preserve"> differentiating care arrangements</w:t>
      </w:r>
      <w:r w:rsidRPr="00F42461">
        <w:rPr>
          <w:rFonts w:ascii="Garamond" w:eastAsia="Calibri" w:hAnsi="Garamond" w:cs="Times New Roman"/>
          <w:sz w:val="24"/>
          <w:szCs w:val="24"/>
          <w:lang w:val="en-GB"/>
        </w:rPr>
        <w:t xml:space="preserve"> leads to different effects of the local care infrastructure. So far, the classification of care arrangements did not consider whether respondents who live in the community (OC and WOC) receive informal care. Hence, internal heterogeneity in the OC and WOC arrangements might have been masked. To test whether this is the case, the choice set is defined as:</w:t>
      </w:r>
    </w:p>
    <w:p w14:paraId="51CBA781" w14:textId="77777777" w:rsidR="00F42461" w:rsidRPr="00F42461" w:rsidRDefault="00F42461" w:rsidP="00F42461">
      <w:pPr>
        <w:numPr>
          <w:ilvl w:val="0"/>
          <w:numId w:val="1"/>
        </w:numPr>
        <w:spacing w:after="0" w:line="360" w:lineRule="auto"/>
        <w:jc w:val="both"/>
        <w:rPr>
          <w:rFonts w:ascii="Garamond" w:eastAsia="Calibri" w:hAnsi="Garamond" w:cs="Times New Roman"/>
          <w:sz w:val="24"/>
          <w:szCs w:val="24"/>
          <w:lang w:val="en-GB"/>
        </w:rPr>
      </w:pPr>
      <w:r w:rsidRPr="00F42461">
        <w:rPr>
          <w:rFonts w:ascii="Garamond" w:eastAsia="Calibri" w:hAnsi="Garamond" w:cs="Times New Roman"/>
          <w:sz w:val="24"/>
          <w:szCs w:val="24"/>
          <w:lang w:val="en-GB"/>
        </w:rPr>
        <w:t>J = {IC: institutional setting + inpatient care, OC: community + outpatient care, MIX: community + mix of informal and outpatient care, INF: community + informal care, NC: community + no care}</w:t>
      </w:r>
    </w:p>
    <w:p w14:paraId="0CE5E41F" w14:textId="77777777" w:rsidR="00F42461" w:rsidRPr="00F42461" w:rsidRDefault="00F42461" w:rsidP="00F42461">
      <w:pPr>
        <w:spacing w:after="0" w:line="360" w:lineRule="auto"/>
        <w:jc w:val="both"/>
        <w:rPr>
          <w:rFonts w:ascii="Garamond" w:eastAsia="Calibri" w:hAnsi="Garamond" w:cs="Times New Roman"/>
          <w:sz w:val="24"/>
          <w:szCs w:val="24"/>
          <w:lang w:val="en-GB"/>
        </w:rPr>
      </w:pPr>
      <w:r w:rsidRPr="00F42461">
        <w:rPr>
          <w:rFonts w:ascii="Garamond" w:eastAsia="Calibri" w:hAnsi="Garamond" w:cs="Times New Roman"/>
          <w:sz w:val="24"/>
          <w:szCs w:val="24"/>
          <w:lang w:val="en-GB"/>
        </w:rPr>
        <w:t>The specification of the explanatory varia</w:t>
      </w:r>
      <w:r w:rsidR="00FA2393">
        <w:rPr>
          <w:rFonts w:ascii="Garamond" w:eastAsia="Calibri" w:hAnsi="Garamond" w:cs="Times New Roman"/>
          <w:sz w:val="24"/>
          <w:szCs w:val="24"/>
          <w:lang w:val="en-GB"/>
        </w:rPr>
        <w:t xml:space="preserve">bles remains unchanged. </w:t>
      </w:r>
      <w:r w:rsidR="00FA2393" w:rsidRPr="00EB6674">
        <w:rPr>
          <w:rFonts w:ascii="Garamond" w:eastAsia="Calibri" w:hAnsi="Garamond" w:cs="Times New Roman"/>
          <w:i/>
          <w:iCs/>
          <w:sz w:val="24"/>
          <w:szCs w:val="24"/>
          <w:lang w:val="en-GB"/>
        </w:rPr>
        <w:t>Table O1</w:t>
      </w:r>
      <w:r w:rsidRPr="00F42461">
        <w:rPr>
          <w:rFonts w:ascii="Garamond" w:eastAsia="Calibri" w:hAnsi="Garamond" w:cs="Times New Roman"/>
          <w:sz w:val="24"/>
          <w:szCs w:val="24"/>
          <w:lang w:val="en-GB"/>
        </w:rPr>
        <w:t xml:space="preserve"> presents the AMEs obtained from this model specification. The size and direction of the inpatient service supply effect remains stable. The effect of outpatient service supply is slightly attenuated. However, outpatient service supply still exerts the expected positive effect on the probability of choosing outpatient care (OC and MIX arrangement).</w:t>
      </w:r>
    </w:p>
    <w:p w14:paraId="6A6D2E15" w14:textId="62A3676E" w:rsidR="00F42461" w:rsidRPr="00F42461" w:rsidRDefault="00F42461" w:rsidP="00F42461">
      <w:pPr>
        <w:spacing w:after="0" w:line="360" w:lineRule="auto"/>
        <w:jc w:val="both"/>
        <w:rPr>
          <w:rFonts w:ascii="Garamond" w:eastAsia="Calibri" w:hAnsi="Garamond" w:cs="Times New Roman"/>
          <w:sz w:val="24"/>
          <w:szCs w:val="24"/>
          <w:lang w:val="en-GB"/>
        </w:rPr>
      </w:pPr>
      <w:r w:rsidRPr="00F42461">
        <w:rPr>
          <w:rFonts w:ascii="Garamond" w:eastAsia="Calibri" w:hAnsi="Garamond" w:cs="Times New Roman"/>
          <w:sz w:val="24"/>
          <w:szCs w:val="24"/>
          <w:lang w:val="en-GB"/>
        </w:rPr>
        <w:t xml:space="preserve">Second, it is tested whether </w:t>
      </w:r>
      <w:r w:rsidRPr="00F42461">
        <w:rPr>
          <w:rFonts w:ascii="Garamond" w:eastAsia="Calibri" w:hAnsi="Garamond" w:cs="Times New Roman"/>
          <w:iCs/>
          <w:sz w:val="24"/>
          <w:szCs w:val="24"/>
          <w:lang w:val="en-GB"/>
        </w:rPr>
        <w:t>dementia status of the respondents</w:t>
      </w:r>
      <w:r w:rsidRPr="00F42461">
        <w:rPr>
          <w:rFonts w:ascii="Garamond" w:eastAsia="Calibri" w:hAnsi="Garamond" w:cs="Times New Roman"/>
          <w:sz w:val="24"/>
          <w:szCs w:val="24"/>
          <w:lang w:val="en-GB"/>
        </w:rPr>
        <w:t xml:space="preserve"> moderates the effects of the local care infrastructure. Cognitive impairments might reduce respondents’ ability to make autonomous decisions about their preferred care arrangement. In case of severe cognitive impairments, relatives and/or healthcare professionals feature more prominently in the decision process. Consequently, the observed care choice reflects what others deem appropriate for the older person rather than the true preference of the older person. Nevertheless, care infrastructure effects are not expected to vary strongly by dementia status of the respondent: Older persons, relatives, and health professionals all face the same constraints set by the care infrastructure. Dementia status is assessed with the </w:t>
      </w:r>
      <w:proofErr w:type="spellStart"/>
      <w:r w:rsidRPr="00F42461">
        <w:rPr>
          <w:rFonts w:ascii="Garamond" w:eastAsia="Calibri" w:hAnsi="Garamond" w:cs="Times New Roman"/>
          <w:sz w:val="24"/>
          <w:szCs w:val="24"/>
          <w:lang w:val="en-GB"/>
        </w:rPr>
        <w:t>DemTect</w:t>
      </w:r>
      <w:proofErr w:type="spellEnd"/>
      <w:r w:rsidRPr="00F42461">
        <w:rPr>
          <w:rFonts w:ascii="Garamond" w:eastAsia="Calibri" w:hAnsi="Garamond" w:cs="Times New Roman"/>
          <w:sz w:val="24"/>
          <w:szCs w:val="24"/>
          <w:lang w:val="en-GB"/>
        </w:rPr>
        <w:t xml:space="preserve"> instrument </w:t>
      </w:r>
      <w:r w:rsidRPr="00F42461">
        <w:rPr>
          <w:rFonts w:ascii="Garamond" w:eastAsia="Calibri" w:hAnsi="Garamond" w:cs="Times New Roman"/>
          <w:sz w:val="24"/>
          <w:szCs w:val="24"/>
          <w:lang w:val="en-GB"/>
        </w:rPr>
        <w:fldChar w:fldCharType="begin"/>
      </w:r>
      <w:r w:rsidRPr="00F42461">
        <w:rPr>
          <w:rFonts w:ascii="Garamond" w:eastAsia="Calibri" w:hAnsi="Garamond" w:cs="Times New Roman"/>
          <w:sz w:val="24"/>
          <w:szCs w:val="24"/>
          <w:lang w:val="en-GB"/>
        </w:rPr>
        <w:instrText xml:space="preserve"> ADDIN ZOTERO_ITEM CSL_CITATION {"citationID":"POCWm8lN","properties":{"formattedCitation":"(Kalbe et al., 2004)","plainCitation":"(Kalbe et al., 2004)","noteIndex":0},"citationItems":[{"id":704,"uris":["http://zotero.org/users/local/iaqzEqAg/items/HZRZZSGU"],"uri":["http://zotero.org/users/local/iaqzEqAg/items/HZRZZSGU"],"itemData":{"id":704,"type":"article-journal","title":"DemTect: a new, sensitive cognitive screening test to support the diagnosis of mild cognitive impairment and early dementia","container-title":"International Journal of Geriatric Psychiatry","page":"136-143","volume":"19","issue":"2","source":"Crossref","DOI":"10.1002/gps.1042","ISSN":"0885-6230, 1099-1166","title-short":"DemTect","language":"en","author":[{"family":"Kalbe","given":"E."},{"family":"Kessler","given":"J."},{"family":"Calabrese","given":"P."},{"family":"Smith","given":"R."},{"family":"Passmore","given":"A. P."},{"family":"Brand","given":"M."},{"family":"Bullock","given":"R."}],"issued":{"date-parts":[["2004",2]]}}}],"schema":"https://github.com/citation-style-language/schema/raw/master/csl-citation.json"} </w:instrText>
      </w:r>
      <w:r w:rsidRPr="00F42461">
        <w:rPr>
          <w:rFonts w:ascii="Garamond" w:eastAsia="Calibri" w:hAnsi="Garamond" w:cs="Times New Roman"/>
          <w:sz w:val="24"/>
          <w:szCs w:val="24"/>
          <w:lang w:val="en-GB"/>
        </w:rPr>
        <w:fldChar w:fldCharType="separate"/>
      </w:r>
      <w:r w:rsidRPr="00F42461">
        <w:rPr>
          <w:rFonts w:ascii="Garamond" w:eastAsia="Calibri" w:hAnsi="Garamond" w:cs="Times New Roman"/>
          <w:sz w:val="24"/>
          <w:szCs w:val="24"/>
          <w:lang w:val="en-GB"/>
        </w:rPr>
        <w:t>(Kalbe et al., 2004)</w:t>
      </w:r>
      <w:r w:rsidRPr="00F42461">
        <w:rPr>
          <w:rFonts w:ascii="Garamond" w:eastAsia="Calibri" w:hAnsi="Garamond" w:cs="Times New Roman"/>
          <w:sz w:val="24"/>
          <w:szCs w:val="24"/>
          <w:lang w:val="en-GB"/>
        </w:rPr>
        <w:fldChar w:fldCharType="end"/>
      </w:r>
      <w:r w:rsidRPr="00F42461">
        <w:rPr>
          <w:rFonts w:ascii="Garamond" w:eastAsia="Calibri" w:hAnsi="Garamond" w:cs="Times New Roman"/>
          <w:sz w:val="24"/>
          <w:szCs w:val="24"/>
          <w:lang w:val="en-GB"/>
        </w:rPr>
        <w:t xml:space="preserve">. </w:t>
      </w:r>
      <w:proofErr w:type="spellStart"/>
      <w:r w:rsidRPr="00F42461">
        <w:rPr>
          <w:rFonts w:ascii="Garamond" w:eastAsia="Calibri" w:hAnsi="Garamond" w:cs="Times New Roman"/>
          <w:sz w:val="24"/>
          <w:szCs w:val="24"/>
          <w:lang w:val="en-GB"/>
        </w:rPr>
        <w:t>DemTect</w:t>
      </w:r>
      <w:proofErr w:type="spellEnd"/>
      <w:r w:rsidRPr="00F42461">
        <w:rPr>
          <w:rFonts w:ascii="Garamond" w:eastAsia="Calibri" w:hAnsi="Garamond" w:cs="Times New Roman"/>
          <w:sz w:val="24"/>
          <w:szCs w:val="24"/>
          <w:lang w:val="en-GB"/>
        </w:rPr>
        <w:t xml:space="preserve"> scores below 13 points are assumed to indicate presence of dementia. The effect of dementia is tested by including a main effect and </w:t>
      </w:r>
      <w:r w:rsidRPr="00F42461">
        <w:rPr>
          <w:rFonts w:ascii="Garamond" w:eastAsia="Calibri" w:hAnsi="Garamond" w:cs="Times New Roman"/>
          <w:sz w:val="24"/>
          <w:szCs w:val="24"/>
          <w:lang w:val="en-GB"/>
        </w:rPr>
        <w:lastRenderedPageBreak/>
        <w:t xml:space="preserve">interaction effects with inpatient and outpatient service supply into the RUM. Likelihood-Ratio tests suggests that the inclusion of the interactions does not significantly improve the model fit (χ²(4) = 7.28 with p = .12). Models estimated separately for persons with and without dementia diagnosis reveal that the AMEs of the infrastructure variables are slightly stronger among persons with </w:t>
      </w:r>
      <w:r w:rsidR="00FA2393">
        <w:rPr>
          <w:rFonts w:ascii="Garamond" w:eastAsia="Calibri" w:hAnsi="Garamond" w:cs="Times New Roman"/>
          <w:sz w:val="24"/>
          <w:szCs w:val="24"/>
          <w:lang w:val="en-GB"/>
        </w:rPr>
        <w:t xml:space="preserve">dementia diagnosis (see </w:t>
      </w:r>
      <w:r w:rsidR="00FA2393" w:rsidRPr="00EB6674">
        <w:rPr>
          <w:rFonts w:ascii="Garamond" w:eastAsia="Calibri" w:hAnsi="Garamond" w:cs="Times New Roman"/>
          <w:i/>
          <w:iCs/>
          <w:sz w:val="24"/>
          <w:szCs w:val="24"/>
          <w:lang w:val="en-GB"/>
        </w:rPr>
        <w:t>Table O2</w:t>
      </w:r>
      <w:r w:rsidRPr="00F42461">
        <w:rPr>
          <w:rFonts w:ascii="Garamond" w:eastAsia="Calibri" w:hAnsi="Garamond" w:cs="Times New Roman"/>
          <w:sz w:val="24"/>
          <w:szCs w:val="24"/>
          <w:lang w:val="en-GB"/>
        </w:rPr>
        <w:t>).</w:t>
      </w:r>
    </w:p>
    <w:p w14:paraId="798DDE00" w14:textId="4293C9ED" w:rsidR="00F42461" w:rsidRPr="00F42461" w:rsidRDefault="00F42461" w:rsidP="00F42461">
      <w:pPr>
        <w:spacing w:after="0" w:line="360" w:lineRule="auto"/>
        <w:jc w:val="both"/>
        <w:rPr>
          <w:rFonts w:ascii="Garamond" w:eastAsia="Calibri" w:hAnsi="Garamond" w:cs="Times New Roman"/>
          <w:sz w:val="24"/>
          <w:szCs w:val="24"/>
          <w:lang w:val="en-GB"/>
        </w:rPr>
      </w:pPr>
      <w:r w:rsidRPr="00F42461">
        <w:rPr>
          <w:rFonts w:ascii="Garamond" w:eastAsia="Calibri" w:hAnsi="Garamond" w:cs="Times New Roman"/>
          <w:sz w:val="24"/>
          <w:szCs w:val="24"/>
          <w:lang w:val="en-GB"/>
        </w:rPr>
        <w:t>Finally, selectivity analyses revealed that, compared to the population, the analysis sample underrepresents women and care dependent persons. Therefore, it is checked whether the reported effects are substantially different in these underrepresented groups. Differences in effects are tested by including interactions between the care infrastructure variables and sex or care dependency, respectively. Care dependency is captured by a binary indicator of whether the respondent has a care grade or not. Likelihood-Ratio tests suggests that the inclusion of the interactions does not significantly improve the model fit (for sex: χ²(4) = 5.92 with p = .21; for care dependency: χ²(4) = 7.90 with p = .10). Models estimated separately for each group further reveal that the effects of the infrastructure variables do not var</w:t>
      </w:r>
      <w:r w:rsidR="00FA2393">
        <w:rPr>
          <w:rFonts w:ascii="Garamond" w:eastAsia="Calibri" w:hAnsi="Garamond" w:cs="Times New Roman"/>
          <w:sz w:val="24"/>
          <w:szCs w:val="24"/>
          <w:lang w:val="en-GB"/>
        </w:rPr>
        <w:t>y substantively by sex (</w:t>
      </w:r>
      <w:r w:rsidR="00FA2393" w:rsidRPr="00EB6674">
        <w:rPr>
          <w:rFonts w:ascii="Garamond" w:eastAsia="Calibri" w:hAnsi="Garamond" w:cs="Times New Roman"/>
          <w:i/>
          <w:iCs/>
          <w:sz w:val="24"/>
          <w:szCs w:val="24"/>
          <w:lang w:val="en-GB"/>
        </w:rPr>
        <w:t>Table O2</w:t>
      </w:r>
      <w:r w:rsidRPr="00F42461">
        <w:rPr>
          <w:rFonts w:ascii="Garamond" w:eastAsia="Calibri" w:hAnsi="Garamond" w:cs="Times New Roman"/>
          <w:sz w:val="24"/>
          <w:szCs w:val="24"/>
          <w:lang w:val="en-GB"/>
        </w:rPr>
        <w:t>). However, effects are stronger among respondent</w:t>
      </w:r>
      <w:r w:rsidR="00FA2393">
        <w:rPr>
          <w:rFonts w:ascii="Garamond" w:eastAsia="Calibri" w:hAnsi="Garamond" w:cs="Times New Roman"/>
          <w:sz w:val="24"/>
          <w:szCs w:val="24"/>
          <w:lang w:val="en-GB"/>
        </w:rPr>
        <w:t>s with care dependency (</w:t>
      </w:r>
      <w:r w:rsidR="00FA2393" w:rsidRPr="00EB6674">
        <w:rPr>
          <w:rFonts w:ascii="Garamond" w:eastAsia="Calibri" w:hAnsi="Garamond" w:cs="Times New Roman"/>
          <w:i/>
          <w:iCs/>
          <w:sz w:val="24"/>
          <w:szCs w:val="24"/>
          <w:lang w:val="en-GB"/>
        </w:rPr>
        <w:t>Table O2</w:t>
      </w:r>
      <w:r w:rsidRPr="00F42461">
        <w:rPr>
          <w:rFonts w:ascii="Garamond" w:eastAsia="Calibri" w:hAnsi="Garamond" w:cs="Times New Roman"/>
          <w:sz w:val="24"/>
          <w:szCs w:val="24"/>
          <w:lang w:val="en-GB"/>
        </w:rPr>
        <w:t>). Overall, the results suggest that the care choices of care dependent persons are more responsive to the supply of LTC services. If anything, the underrepresentation of care dependent persons reduced the size of the infrastructure effects.</w:t>
      </w:r>
    </w:p>
    <w:p w14:paraId="528AA84D" w14:textId="0B7C5F5B" w:rsidR="00F42461" w:rsidRPr="00F42461" w:rsidRDefault="00F42461" w:rsidP="00F42461">
      <w:pPr>
        <w:spacing w:after="0" w:line="360" w:lineRule="auto"/>
        <w:jc w:val="both"/>
        <w:rPr>
          <w:rFonts w:ascii="Garamond" w:eastAsia="Calibri" w:hAnsi="Garamond" w:cs="Times New Roman"/>
          <w:sz w:val="24"/>
          <w:szCs w:val="24"/>
          <w:lang w:val="en-GB"/>
        </w:rPr>
      </w:pPr>
      <w:r w:rsidRPr="00F42461">
        <w:rPr>
          <w:rFonts w:ascii="Garamond" w:eastAsia="Calibri" w:hAnsi="Garamond" w:cs="Times New Roman"/>
          <w:iCs/>
          <w:sz w:val="24"/>
          <w:szCs w:val="24"/>
          <w:lang w:val="en-GB"/>
        </w:rPr>
        <w:t>In sum</w:t>
      </w:r>
      <w:r w:rsidRPr="00F42461">
        <w:rPr>
          <w:rFonts w:ascii="Garamond" w:eastAsia="Calibri" w:hAnsi="Garamond" w:cs="Times New Roman"/>
          <w:sz w:val="24"/>
          <w:szCs w:val="24"/>
          <w:lang w:val="en-GB"/>
        </w:rPr>
        <w:t xml:space="preserve">, the robustness checks suggest that the results presented in the </w:t>
      </w:r>
      <w:r w:rsidR="00FB29A2">
        <w:rPr>
          <w:rFonts w:ascii="Garamond" w:eastAsia="Calibri" w:hAnsi="Garamond" w:cs="Times New Roman"/>
          <w:sz w:val="24"/>
          <w:szCs w:val="24"/>
          <w:lang w:val="en-GB"/>
        </w:rPr>
        <w:t>main text</w:t>
      </w:r>
      <w:r w:rsidRPr="00F42461">
        <w:rPr>
          <w:rFonts w:ascii="Garamond" w:eastAsia="Calibri" w:hAnsi="Garamond" w:cs="Times New Roman"/>
          <w:sz w:val="24"/>
          <w:szCs w:val="24"/>
          <w:lang w:val="en-GB"/>
        </w:rPr>
        <w:t xml:space="preserve"> do not depend crucially on the specification of the RUM. Changing the classification of care arrangements does not lead to substantively different effects of the local care infrastructure on care choices. Tests of effect heterogeneity by dementia status, sex, and care dependency show that care infrastructure effects are present in all subgroups. However, effects appear to be stronger among persons with dementia and among care dependent persons. </w:t>
      </w:r>
    </w:p>
    <w:p w14:paraId="2C676705" w14:textId="77777777" w:rsidR="00F42461" w:rsidRPr="00F42461" w:rsidRDefault="00F42461" w:rsidP="00F42461">
      <w:pPr>
        <w:spacing w:after="0" w:line="360" w:lineRule="auto"/>
        <w:jc w:val="both"/>
        <w:rPr>
          <w:rFonts w:ascii="Garamond" w:eastAsia="Calibri" w:hAnsi="Garamond" w:cs="Times New Roman"/>
          <w:sz w:val="24"/>
          <w:szCs w:val="24"/>
          <w:lang w:val="en-GB"/>
        </w:rPr>
      </w:pPr>
    </w:p>
    <w:p w14:paraId="15E7E484" w14:textId="77777777" w:rsidR="00F42461" w:rsidRPr="00F42461" w:rsidRDefault="006D5E45" w:rsidP="00F42461">
      <w:pPr>
        <w:spacing w:after="0" w:line="360" w:lineRule="auto"/>
        <w:jc w:val="both"/>
        <w:rPr>
          <w:rFonts w:ascii="Garamond" w:eastAsia="Calibri" w:hAnsi="Garamond" w:cs="Times New Roman"/>
          <w:b/>
          <w:sz w:val="24"/>
          <w:szCs w:val="24"/>
          <w:lang w:val="en-GB"/>
        </w:rPr>
      </w:pPr>
      <w:bookmarkStart w:id="1" w:name="_Toc14699584"/>
      <w:r w:rsidRPr="00834969">
        <w:rPr>
          <w:rFonts w:ascii="Garamond" w:eastAsia="Calibri" w:hAnsi="Garamond" w:cs="Times New Roman"/>
          <w:b/>
          <w:sz w:val="24"/>
          <w:szCs w:val="24"/>
          <w:lang w:val="en-GB"/>
        </w:rPr>
        <w:t xml:space="preserve">Online-Appendix 3: </w:t>
      </w:r>
      <w:r w:rsidR="00F42461" w:rsidRPr="00F42461">
        <w:rPr>
          <w:rFonts w:ascii="Garamond" w:eastAsia="Calibri" w:hAnsi="Garamond" w:cs="Times New Roman"/>
          <w:b/>
          <w:sz w:val="24"/>
          <w:szCs w:val="24"/>
          <w:lang w:val="en-GB"/>
        </w:rPr>
        <w:t>Care Infrastructure in Neighbouring Counties</w:t>
      </w:r>
      <w:bookmarkEnd w:id="1"/>
    </w:p>
    <w:p w14:paraId="7C364A2E" w14:textId="5CB46D11" w:rsidR="00F42461" w:rsidRPr="00F42461" w:rsidRDefault="00F42461" w:rsidP="00F42461">
      <w:pPr>
        <w:spacing w:after="0" w:line="360" w:lineRule="auto"/>
        <w:jc w:val="both"/>
        <w:rPr>
          <w:rFonts w:ascii="Garamond" w:eastAsia="Calibri" w:hAnsi="Garamond" w:cs="Times New Roman"/>
          <w:sz w:val="24"/>
          <w:szCs w:val="24"/>
          <w:lang w:val="en-GB"/>
        </w:rPr>
      </w:pPr>
      <w:r w:rsidRPr="00F42461">
        <w:rPr>
          <w:rFonts w:ascii="Garamond" w:eastAsia="Calibri" w:hAnsi="Garamond" w:cs="Times New Roman"/>
          <w:sz w:val="24"/>
          <w:szCs w:val="24"/>
          <w:lang w:val="en-GB"/>
        </w:rPr>
        <w:t>The interpretation of the results presented in section</w:t>
      </w:r>
      <w:r w:rsidR="00EB6674">
        <w:rPr>
          <w:rFonts w:ascii="Garamond" w:eastAsia="Calibri" w:hAnsi="Garamond" w:cs="Times New Roman"/>
          <w:sz w:val="24"/>
          <w:szCs w:val="24"/>
          <w:lang w:val="en-GB"/>
        </w:rPr>
        <w:t xml:space="preserve"> 6 (main text)</w:t>
      </w:r>
      <w:r w:rsidRPr="00F42461">
        <w:rPr>
          <w:rFonts w:ascii="Garamond" w:eastAsia="Calibri" w:hAnsi="Garamond" w:cs="Times New Roman"/>
          <w:sz w:val="24"/>
          <w:szCs w:val="24"/>
          <w:lang w:val="en-GB"/>
        </w:rPr>
        <w:t xml:space="preserve"> relies on the implicit assumption that respondents' care choices are affected only by the care infrastructure of the county in which they currently live. However, this assumption is problematic for two reasons: First, respondents who live at the border of their county are likely to be affected by the care infrastructure of neighbouring counties. The catchment area of outpatient service providers potentially spans across county borders</w:t>
      </w:r>
      <w:r w:rsidR="00DE7BF9">
        <w:rPr>
          <w:rFonts w:ascii="Garamond" w:eastAsia="Calibri" w:hAnsi="Garamond" w:cs="Times New Roman"/>
          <w:sz w:val="24"/>
          <w:szCs w:val="24"/>
          <w:lang w:val="en-GB"/>
        </w:rPr>
        <w:t xml:space="preserve"> </w:t>
      </w:r>
      <w:r w:rsidR="00DE7BF9" w:rsidRPr="00F42461">
        <w:rPr>
          <w:rFonts w:ascii="Garamond" w:eastAsia="Calibri" w:hAnsi="Garamond" w:cs="Times New Roman"/>
          <w:sz w:val="24"/>
          <w:szCs w:val="24"/>
          <w:lang w:val="en-GB"/>
        </w:rPr>
        <w:t xml:space="preserve">(border-spanning supply </w:t>
      </w:r>
      <w:r w:rsidR="00DE7BF9">
        <w:rPr>
          <w:rFonts w:ascii="Garamond" w:eastAsia="Calibri" w:hAnsi="Garamond" w:cs="Times New Roman"/>
          <w:sz w:val="24"/>
          <w:szCs w:val="24"/>
          <w:lang w:val="en-GB"/>
        </w:rPr>
        <w:t>mechanism</w:t>
      </w:r>
      <w:r w:rsidR="00DE7BF9" w:rsidRPr="00F42461">
        <w:rPr>
          <w:rFonts w:ascii="Garamond" w:eastAsia="Calibri" w:hAnsi="Garamond" w:cs="Times New Roman"/>
          <w:sz w:val="24"/>
          <w:szCs w:val="24"/>
          <w:lang w:val="en-GB"/>
        </w:rPr>
        <w:t>)</w:t>
      </w:r>
      <w:r w:rsidRPr="00F42461">
        <w:rPr>
          <w:rFonts w:ascii="Garamond" w:eastAsia="Calibri" w:hAnsi="Garamond" w:cs="Times New Roman"/>
          <w:sz w:val="24"/>
          <w:szCs w:val="24"/>
          <w:lang w:val="en-GB"/>
        </w:rPr>
        <w:t xml:space="preserve">. Hence, respondents who live at the border of their county can benefit from the outpatient supply in neighbouring counties. Second, respondents may have moved to their current county </w:t>
      </w:r>
      <w:r w:rsidRPr="00F42461">
        <w:rPr>
          <w:rFonts w:ascii="Garamond" w:eastAsia="Calibri" w:hAnsi="Garamond" w:cs="Times New Roman"/>
          <w:sz w:val="24"/>
          <w:szCs w:val="24"/>
          <w:lang w:val="en-GB"/>
        </w:rPr>
        <w:lastRenderedPageBreak/>
        <w:t xml:space="preserve">because the care infrastructure in their old county was insufficient (selection </w:t>
      </w:r>
      <w:r w:rsidR="00DE7BF9">
        <w:rPr>
          <w:rFonts w:ascii="Garamond" w:eastAsia="Calibri" w:hAnsi="Garamond" w:cs="Times New Roman"/>
          <w:sz w:val="24"/>
          <w:szCs w:val="24"/>
          <w:lang w:val="en-GB"/>
        </w:rPr>
        <w:t>mechanism</w:t>
      </w:r>
      <w:r w:rsidRPr="00F42461">
        <w:rPr>
          <w:rFonts w:ascii="Garamond" w:eastAsia="Calibri" w:hAnsi="Garamond" w:cs="Times New Roman"/>
          <w:sz w:val="24"/>
          <w:szCs w:val="24"/>
          <w:lang w:val="en-GB"/>
        </w:rPr>
        <w:t>). For instance, respondents who want to enter institutional LTC but live in a county with insufficient NH bed supply may be forced to relocate to a county with higher supply. In general, respondents who want to use a specific LTC service may self-select into counties with high supply of the corresponding LTC service. If residential relocations of older persons are local (i.e., do not exceed moves between neighbouring counties), care choices can be expected to also depend on the care infrastructure of neighbouring counties. In sum, both arguments suggest that choices among care arrangements are not only affected by the care infrastructure at respondents' current residence but also by the care infrastructure in neighbouring counties.</w:t>
      </w:r>
    </w:p>
    <w:p w14:paraId="49C8C9AF" w14:textId="1A959FCB" w:rsidR="00F42461" w:rsidRPr="00F42461" w:rsidRDefault="00F42461" w:rsidP="00F42461">
      <w:pPr>
        <w:spacing w:after="0" w:line="360" w:lineRule="auto"/>
        <w:jc w:val="both"/>
        <w:rPr>
          <w:rFonts w:ascii="Garamond" w:eastAsia="Calibri" w:hAnsi="Garamond" w:cs="Times New Roman"/>
          <w:sz w:val="24"/>
          <w:szCs w:val="24"/>
          <w:lang w:val="en-GB"/>
        </w:rPr>
      </w:pPr>
      <w:r w:rsidRPr="00F42461">
        <w:rPr>
          <w:rFonts w:ascii="Garamond" w:eastAsia="Calibri" w:hAnsi="Garamond" w:cs="Times New Roman"/>
          <w:sz w:val="24"/>
          <w:szCs w:val="24"/>
          <w:lang w:val="en-GB"/>
        </w:rPr>
        <w:t>To check whether the effects reported section</w:t>
      </w:r>
      <w:r w:rsidR="004058B9">
        <w:rPr>
          <w:rFonts w:ascii="Garamond" w:eastAsia="Calibri" w:hAnsi="Garamond" w:cs="Times New Roman"/>
          <w:sz w:val="24"/>
          <w:szCs w:val="24"/>
          <w:lang w:val="en-GB"/>
        </w:rPr>
        <w:t xml:space="preserve"> 6 (main text)</w:t>
      </w:r>
      <w:r w:rsidRPr="00F42461">
        <w:rPr>
          <w:rFonts w:ascii="Garamond" w:eastAsia="Calibri" w:hAnsi="Garamond" w:cs="Times New Roman"/>
          <w:sz w:val="24"/>
          <w:szCs w:val="24"/>
          <w:lang w:val="en-GB"/>
        </w:rPr>
        <w:t xml:space="preserve"> are driven by the care infrastructure in neighbouring counties, the average supply of outpatient and inpatient services in neighbouring counties is included into the model. Counties are classified as neighbours </w:t>
      </w:r>
      <w:r w:rsidR="00FA2393">
        <w:rPr>
          <w:rFonts w:ascii="Garamond" w:eastAsia="Calibri" w:hAnsi="Garamond" w:cs="Times New Roman"/>
          <w:sz w:val="24"/>
          <w:szCs w:val="24"/>
          <w:lang w:val="en-GB"/>
        </w:rPr>
        <w:t xml:space="preserve">if they share a border. </w:t>
      </w:r>
      <w:r w:rsidR="00FA2393" w:rsidRPr="00777685">
        <w:rPr>
          <w:rFonts w:ascii="Garamond" w:eastAsia="Calibri" w:hAnsi="Garamond" w:cs="Times New Roman"/>
          <w:i/>
          <w:iCs/>
          <w:sz w:val="24"/>
          <w:szCs w:val="24"/>
          <w:lang w:val="en-GB"/>
        </w:rPr>
        <w:t>Table O3</w:t>
      </w:r>
      <w:r w:rsidR="00FA2393">
        <w:rPr>
          <w:rFonts w:ascii="Garamond" w:eastAsia="Calibri" w:hAnsi="Garamond" w:cs="Times New Roman"/>
          <w:sz w:val="24"/>
          <w:szCs w:val="24"/>
          <w:lang w:val="en-GB"/>
        </w:rPr>
        <w:t xml:space="preserve"> </w:t>
      </w:r>
      <w:r w:rsidRPr="00F42461">
        <w:rPr>
          <w:rFonts w:ascii="Garamond" w:eastAsia="Calibri" w:hAnsi="Garamond" w:cs="Times New Roman"/>
          <w:sz w:val="24"/>
          <w:szCs w:val="24"/>
          <w:lang w:val="en-GB"/>
        </w:rPr>
        <w:t>presents AMEs obtained from a RUM that includes average outpatient and inpatient service supply in neighbouring counties. The effect of outpatient service supply (in county of residence) proves to be rather robust, and even increases in strength. In contrast, the effect of inpatient service supply (in county of residence) decreases sharply. Higher outpatient supply in neighbouring counties is related to a higher probability of choosing the WOC arrangement and a lower probability of choosing the IC and OC arrangement. Inpatient supply in neighbouring counties seems to capture most of the former effect of inpatient supply in the country of residence. Higher inpatient supply in neighbouring counties is associated with a higher probability of choosing the IC arrangement and a lower probability of choosing the WOC setting.</w:t>
      </w:r>
    </w:p>
    <w:p w14:paraId="36EE2BE5" w14:textId="1B3CABDC" w:rsidR="00E83492" w:rsidRDefault="00F42461" w:rsidP="00F42461">
      <w:pPr>
        <w:spacing w:after="0" w:line="360" w:lineRule="auto"/>
        <w:jc w:val="both"/>
        <w:rPr>
          <w:rFonts w:ascii="Garamond" w:eastAsia="Calibri" w:hAnsi="Garamond" w:cs="Times New Roman"/>
          <w:sz w:val="24"/>
          <w:szCs w:val="24"/>
          <w:lang w:val="en-GB"/>
        </w:rPr>
      </w:pPr>
      <w:r w:rsidRPr="00F42461">
        <w:rPr>
          <w:rFonts w:ascii="Garamond" w:eastAsia="Calibri" w:hAnsi="Garamond" w:cs="Times New Roman"/>
          <w:sz w:val="24"/>
          <w:szCs w:val="24"/>
          <w:lang w:val="en-GB"/>
        </w:rPr>
        <w:t xml:space="preserve">The selection </w:t>
      </w:r>
      <w:r w:rsidR="00DE7BF9">
        <w:rPr>
          <w:rFonts w:ascii="Garamond" w:eastAsia="Calibri" w:hAnsi="Garamond" w:cs="Times New Roman"/>
          <w:sz w:val="24"/>
          <w:szCs w:val="24"/>
          <w:lang w:val="en-GB"/>
        </w:rPr>
        <w:t>mechanism</w:t>
      </w:r>
      <w:r w:rsidRPr="00F42461">
        <w:rPr>
          <w:rFonts w:ascii="Garamond" w:eastAsia="Calibri" w:hAnsi="Garamond" w:cs="Times New Roman"/>
          <w:sz w:val="24"/>
          <w:szCs w:val="24"/>
          <w:lang w:val="en-GB"/>
        </w:rPr>
        <w:t xml:space="preserve"> seems to hold for outpatient service supply: </w:t>
      </w:r>
      <w:r w:rsidR="00DE7BF9" w:rsidRPr="00DE7BF9">
        <w:rPr>
          <w:rFonts w:ascii="Garamond" w:eastAsia="Calibri" w:hAnsi="Garamond" w:cs="Times New Roman"/>
          <w:sz w:val="24"/>
          <w:szCs w:val="24"/>
          <w:lang w:val="en-GB"/>
        </w:rPr>
        <w:t>The lower the supply of outpatient care in neighbouring counties, the higher the probability that respondents in the focal county choose outpatient care. Hence, some respondents seem to have self-selected into their current county to access outpatient care</w:t>
      </w:r>
      <w:r w:rsidRPr="00F42461">
        <w:rPr>
          <w:rFonts w:ascii="Garamond" w:eastAsia="Calibri" w:hAnsi="Garamond" w:cs="Times New Roman"/>
          <w:sz w:val="24"/>
          <w:szCs w:val="24"/>
          <w:lang w:val="en-GB"/>
        </w:rPr>
        <w:t xml:space="preserve">. For inpatient service supply, the reverse effect is found. </w:t>
      </w:r>
      <w:r w:rsidR="00572EB0">
        <w:rPr>
          <w:rFonts w:ascii="Garamond" w:eastAsia="Calibri" w:hAnsi="Garamond" w:cs="Times New Roman"/>
          <w:sz w:val="24"/>
          <w:szCs w:val="24"/>
          <w:lang w:val="en-GB"/>
        </w:rPr>
        <w:t>However, t</w:t>
      </w:r>
      <w:r w:rsidRPr="00F42461">
        <w:rPr>
          <w:rFonts w:ascii="Garamond" w:eastAsia="Calibri" w:hAnsi="Garamond" w:cs="Times New Roman"/>
          <w:sz w:val="24"/>
          <w:szCs w:val="24"/>
          <w:lang w:val="en-GB"/>
        </w:rPr>
        <w:t>he border-spanning supply argument cannot be applied to explain this effect: The institutional setting is respondents’ residence. Respondents cannot live in one county and access the institutional setting in another county. Hence, the substantive interpretation of the inpatient supply effect of neighbouring counties is unclear. Overall, correlations between LTC service supply of neighbouring counties are high (r = .625 for outpatient supply, r = .676 for inpatient supply), making it hard to separate the infrastructure effects of the county of residence from the infrastructure effects of neighbouring counties.</w:t>
      </w:r>
    </w:p>
    <w:p w14:paraId="6A16CA8D" w14:textId="77777777" w:rsidR="00FA2393" w:rsidRDefault="00FA2393" w:rsidP="00F42461">
      <w:pPr>
        <w:spacing w:after="0" w:line="360" w:lineRule="auto"/>
        <w:jc w:val="both"/>
        <w:rPr>
          <w:rFonts w:ascii="Garamond" w:eastAsia="Calibri" w:hAnsi="Garamond" w:cs="Times New Roman"/>
          <w:sz w:val="24"/>
          <w:szCs w:val="24"/>
          <w:lang w:val="en-GB"/>
        </w:rPr>
        <w:sectPr w:rsidR="00FA2393" w:rsidSect="0015432F">
          <w:footerReference w:type="default" r:id="rId10"/>
          <w:pgSz w:w="11906" w:h="16838"/>
          <w:pgMar w:top="1418" w:right="1701" w:bottom="1418" w:left="1701" w:header="709" w:footer="709" w:gutter="0"/>
          <w:pgNumType w:start="1"/>
          <w:cols w:space="720"/>
          <w:docGrid w:linePitch="299"/>
        </w:sectPr>
      </w:pPr>
    </w:p>
    <w:p w14:paraId="076585AD" w14:textId="77777777" w:rsidR="00FA2393" w:rsidRPr="00F42461" w:rsidRDefault="00FA2393" w:rsidP="00F42461">
      <w:pPr>
        <w:spacing w:after="0" w:line="360" w:lineRule="auto"/>
        <w:jc w:val="both"/>
        <w:rPr>
          <w:rFonts w:ascii="Garamond" w:eastAsia="Calibri" w:hAnsi="Garamond" w:cs="Times New Roman"/>
          <w:sz w:val="24"/>
          <w:szCs w:val="24"/>
          <w:lang w:val="en-GB"/>
        </w:rPr>
      </w:pPr>
    </w:p>
    <w:tbl>
      <w:tblPr>
        <w:tblW w:w="14040" w:type="dxa"/>
        <w:tblLayout w:type="fixed"/>
        <w:tblLook w:val="04A0" w:firstRow="1" w:lastRow="0" w:firstColumn="1" w:lastColumn="0" w:noHBand="0" w:noVBand="1"/>
      </w:tblPr>
      <w:tblGrid>
        <w:gridCol w:w="2160"/>
        <w:gridCol w:w="1188"/>
        <w:gridCol w:w="1188"/>
        <w:gridCol w:w="1188"/>
        <w:gridCol w:w="1188"/>
        <w:gridCol w:w="1188"/>
        <w:gridCol w:w="1188"/>
        <w:gridCol w:w="1188"/>
        <w:gridCol w:w="1188"/>
        <w:gridCol w:w="1188"/>
        <w:gridCol w:w="1188"/>
      </w:tblGrid>
      <w:tr w:rsidR="00FA2393" w:rsidRPr="007C02FF" w14:paraId="32239F2D" w14:textId="77777777" w:rsidTr="00595923">
        <w:tc>
          <w:tcPr>
            <w:tcW w:w="14040" w:type="dxa"/>
            <w:gridSpan w:val="11"/>
            <w:tcBorders>
              <w:top w:val="nil"/>
              <w:left w:val="nil"/>
              <w:bottom w:val="single" w:sz="4" w:space="0" w:color="auto"/>
              <w:right w:val="nil"/>
            </w:tcBorders>
            <w:hideMark/>
          </w:tcPr>
          <w:p w14:paraId="5CC5FA63" w14:textId="77777777" w:rsidR="00FA2393" w:rsidRPr="00FA2393" w:rsidRDefault="00FA2393" w:rsidP="00FA2393">
            <w:pPr>
              <w:widowControl w:val="0"/>
              <w:autoSpaceDE w:val="0"/>
              <w:autoSpaceDN w:val="0"/>
              <w:adjustRightInd w:val="0"/>
              <w:spacing w:after="0" w:line="240" w:lineRule="auto"/>
              <w:jc w:val="both"/>
              <w:rPr>
                <w:rFonts w:ascii="Garamond" w:eastAsia="Calibri" w:hAnsi="Garamond" w:cs="Times New Roman"/>
                <w:sz w:val="24"/>
                <w:szCs w:val="24"/>
                <w:lang w:val="en-US"/>
              </w:rPr>
            </w:pPr>
            <w:r>
              <w:rPr>
                <w:rFonts w:ascii="Garamond" w:eastAsia="Calibri" w:hAnsi="Garamond" w:cs="Times New Roman"/>
                <w:sz w:val="24"/>
                <w:szCs w:val="24"/>
                <w:lang w:val="en-US"/>
              </w:rPr>
              <w:t>Table O1</w:t>
            </w:r>
            <w:r w:rsidRPr="00FA2393">
              <w:rPr>
                <w:rFonts w:ascii="Garamond" w:eastAsia="Calibri" w:hAnsi="Garamond" w:cs="Times New Roman"/>
                <w:sz w:val="24"/>
                <w:szCs w:val="24"/>
                <w:lang w:val="en-US"/>
              </w:rPr>
              <w:t>: Average marginal effects (robustness check 1: alternative definition of care arrangements)</w:t>
            </w:r>
          </w:p>
        </w:tc>
      </w:tr>
      <w:tr w:rsidR="00FA2393" w:rsidRPr="00FA2393" w14:paraId="40EEEEE7" w14:textId="77777777" w:rsidTr="00595923">
        <w:tc>
          <w:tcPr>
            <w:tcW w:w="2160" w:type="dxa"/>
            <w:tcBorders>
              <w:top w:val="single" w:sz="4" w:space="0" w:color="auto"/>
              <w:left w:val="nil"/>
              <w:bottom w:val="nil"/>
              <w:right w:val="nil"/>
            </w:tcBorders>
          </w:tcPr>
          <w:p w14:paraId="1B9E5AD1"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p>
        </w:tc>
        <w:tc>
          <w:tcPr>
            <w:tcW w:w="2376" w:type="dxa"/>
            <w:gridSpan w:val="2"/>
            <w:tcBorders>
              <w:top w:val="single" w:sz="4" w:space="0" w:color="auto"/>
              <w:left w:val="nil"/>
              <w:bottom w:val="nil"/>
              <w:right w:val="nil"/>
            </w:tcBorders>
            <w:hideMark/>
          </w:tcPr>
          <w:p w14:paraId="250EB2C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IC</w:t>
            </w:r>
          </w:p>
        </w:tc>
        <w:tc>
          <w:tcPr>
            <w:tcW w:w="2376" w:type="dxa"/>
            <w:gridSpan w:val="2"/>
            <w:tcBorders>
              <w:top w:val="single" w:sz="4" w:space="0" w:color="auto"/>
              <w:left w:val="nil"/>
              <w:bottom w:val="nil"/>
              <w:right w:val="nil"/>
            </w:tcBorders>
            <w:hideMark/>
          </w:tcPr>
          <w:p w14:paraId="3FEC841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OC</w:t>
            </w:r>
          </w:p>
        </w:tc>
        <w:tc>
          <w:tcPr>
            <w:tcW w:w="2376" w:type="dxa"/>
            <w:gridSpan w:val="2"/>
            <w:tcBorders>
              <w:top w:val="single" w:sz="4" w:space="0" w:color="auto"/>
              <w:left w:val="nil"/>
              <w:bottom w:val="nil"/>
              <w:right w:val="nil"/>
            </w:tcBorders>
            <w:hideMark/>
          </w:tcPr>
          <w:p w14:paraId="6F94F28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MIX</w:t>
            </w:r>
          </w:p>
        </w:tc>
        <w:tc>
          <w:tcPr>
            <w:tcW w:w="2376" w:type="dxa"/>
            <w:gridSpan w:val="2"/>
            <w:tcBorders>
              <w:top w:val="single" w:sz="4" w:space="0" w:color="auto"/>
              <w:left w:val="nil"/>
              <w:bottom w:val="nil"/>
              <w:right w:val="nil"/>
            </w:tcBorders>
            <w:hideMark/>
          </w:tcPr>
          <w:p w14:paraId="4028DC0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INF</w:t>
            </w:r>
          </w:p>
        </w:tc>
        <w:tc>
          <w:tcPr>
            <w:tcW w:w="2376" w:type="dxa"/>
            <w:gridSpan w:val="2"/>
            <w:tcBorders>
              <w:top w:val="single" w:sz="4" w:space="0" w:color="auto"/>
              <w:left w:val="nil"/>
              <w:bottom w:val="nil"/>
              <w:right w:val="nil"/>
            </w:tcBorders>
            <w:hideMark/>
          </w:tcPr>
          <w:p w14:paraId="7A8E520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NC</w:t>
            </w:r>
          </w:p>
        </w:tc>
      </w:tr>
      <w:tr w:rsidR="00FA2393" w:rsidRPr="00FA2393" w14:paraId="74D6774D" w14:textId="77777777" w:rsidTr="00595923">
        <w:tc>
          <w:tcPr>
            <w:tcW w:w="2160" w:type="dxa"/>
          </w:tcPr>
          <w:p w14:paraId="294FEBA9"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p>
        </w:tc>
        <w:tc>
          <w:tcPr>
            <w:tcW w:w="1188" w:type="dxa"/>
            <w:hideMark/>
          </w:tcPr>
          <w:p w14:paraId="7A1080C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188" w:type="dxa"/>
            <w:hideMark/>
          </w:tcPr>
          <w:p w14:paraId="6628DF4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c>
          <w:tcPr>
            <w:tcW w:w="1188" w:type="dxa"/>
            <w:hideMark/>
          </w:tcPr>
          <w:p w14:paraId="4909AAC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188" w:type="dxa"/>
            <w:hideMark/>
          </w:tcPr>
          <w:p w14:paraId="12E9C99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c>
          <w:tcPr>
            <w:tcW w:w="1188" w:type="dxa"/>
            <w:hideMark/>
          </w:tcPr>
          <w:p w14:paraId="2DE8A21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188" w:type="dxa"/>
            <w:hideMark/>
          </w:tcPr>
          <w:p w14:paraId="50A02C1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c>
          <w:tcPr>
            <w:tcW w:w="1188" w:type="dxa"/>
            <w:hideMark/>
          </w:tcPr>
          <w:p w14:paraId="2BC779D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188" w:type="dxa"/>
            <w:hideMark/>
          </w:tcPr>
          <w:p w14:paraId="1E9A1C0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c>
          <w:tcPr>
            <w:tcW w:w="1188" w:type="dxa"/>
            <w:hideMark/>
          </w:tcPr>
          <w:p w14:paraId="1930FF3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188" w:type="dxa"/>
            <w:hideMark/>
          </w:tcPr>
          <w:p w14:paraId="07BCE62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r>
      <w:tr w:rsidR="00FA2393" w:rsidRPr="00FA2393" w14:paraId="3E585BE6" w14:textId="77777777" w:rsidTr="00595923">
        <w:tc>
          <w:tcPr>
            <w:tcW w:w="2160" w:type="dxa"/>
            <w:tcBorders>
              <w:top w:val="single" w:sz="4" w:space="0" w:color="auto"/>
              <w:left w:val="nil"/>
              <w:bottom w:val="nil"/>
              <w:right w:val="nil"/>
            </w:tcBorders>
            <w:hideMark/>
          </w:tcPr>
          <w:p w14:paraId="62ABBEF4"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Outpatient service supply</w:t>
            </w:r>
          </w:p>
        </w:tc>
        <w:tc>
          <w:tcPr>
            <w:tcW w:w="1188" w:type="dxa"/>
            <w:tcBorders>
              <w:top w:val="single" w:sz="4" w:space="0" w:color="auto"/>
              <w:left w:val="nil"/>
              <w:bottom w:val="nil"/>
              <w:right w:val="nil"/>
            </w:tcBorders>
            <w:hideMark/>
          </w:tcPr>
          <w:p w14:paraId="71C98BC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188" w:type="dxa"/>
            <w:tcBorders>
              <w:top w:val="single" w:sz="4" w:space="0" w:color="auto"/>
              <w:left w:val="nil"/>
              <w:bottom w:val="nil"/>
              <w:right w:val="nil"/>
            </w:tcBorders>
            <w:hideMark/>
          </w:tcPr>
          <w:p w14:paraId="5C03414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0.111</w:t>
            </w:r>
          </w:p>
        </w:tc>
        <w:tc>
          <w:tcPr>
            <w:tcW w:w="1188" w:type="dxa"/>
            <w:tcBorders>
              <w:top w:val="single" w:sz="4" w:space="0" w:color="auto"/>
              <w:left w:val="nil"/>
              <w:bottom w:val="nil"/>
              <w:right w:val="nil"/>
            </w:tcBorders>
            <w:hideMark/>
          </w:tcPr>
          <w:p w14:paraId="03EC3CC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188" w:type="dxa"/>
            <w:tcBorders>
              <w:top w:val="single" w:sz="4" w:space="0" w:color="auto"/>
              <w:left w:val="nil"/>
              <w:bottom w:val="nil"/>
              <w:right w:val="nil"/>
            </w:tcBorders>
            <w:hideMark/>
          </w:tcPr>
          <w:p w14:paraId="18E54F8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0.023</w:t>
            </w:r>
          </w:p>
        </w:tc>
        <w:tc>
          <w:tcPr>
            <w:tcW w:w="1188" w:type="dxa"/>
            <w:tcBorders>
              <w:top w:val="single" w:sz="4" w:space="0" w:color="auto"/>
              <w:left w:val="nil"/>
              <w:bottom w:val="nil"/>
              <w:right w:val="nil"/>
            </w:tcBorders>
            <w:hideMark/>
          </w:tcPr>
          <w:p w14:paraId="3029AE3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188" w:type="dxa"/>
            <w:tcBorders>
              <w:top w:val="single" w:sz="4" w:space="0" w:color="auto"/>
              <w:left w:val="nil"/>
              <w:bottom w:val="nil"/>
              <w:right w:val="nil"/>
            </w:tcBorders>
            <w:hideMark/>
          </w:tcPr>
          <w:p w14:paraId="4A0D2D3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0.117</w:t>
            </w:r>
          </w:p>
        </w:tc>
        <w:tc>
          <w:tcPr>
            <w:tcW w:w="1188" w:type="dxa"/>
            <w:tcBorders>
              <w:top w:val="single" w:sz="4" w:space="0" w:color="auto"/>
              <w:left w:val="nil"/>
              <w:bottom w:val="nil"/>
              <w:right w:val="nil"/>
            </w:tcBorders>
            <w:hideMark/>
          </w:tcPr>
          <w:p w14:paraId="768CDB3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188" w:type="dxa"/>
            <w:tcBorders>
              <w:top w:val="single" w:sz="4" w:space="0" w:color="auto"/>
              <w:left w:val="nil"/>
              <w:bottom w:val="nil"/>
              <w:right w:val="nil"/>
            </w:tcBorders>
            <w:hideMark/>
          </w:tcPr>
          <w:p w14:paraId="14C2C25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0.633</w:t>
            </w:r>
          </w:p>
        </w:tc>
        <w:tc>
          <w:tcPr>
            <w:tcW w:w="1188" w:type="dxa"/>
            <w:tcBorders>
              <w:top w:val="single" w:sz="4" w:space="0" w:color="auto"/>
              <w:left w:val="nil"/>
              <w:bottom w:val="nil"/>
              <w:right w:val="nil"/>
            </w:tcBorders>
            <w:hideMark/>
          </w:tcPr>
          <w:p w14:paraId="0EA588A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188" w:type="dxa"/>
            <w:tcBorders>
              <w:top w:val="single" w:sz="4" w:space="0" w:color="auto"/>
              <w:left w:val="nil"/>
              <w:bottom w:val="nil"/>
              <w:right w:val="nil"/>
            </w:tcBorders>
            <w:hideMark/>
          </w:tcPr>
          <w:p w14:paraId="7F781F5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0.483</w:t>
            </w:r>
          </w:p>
        </w:tc>
      </w:tr>
      <w:tr w:rsidR="00FA2393" w:rsidRPr="00FA2393" w14:paraId="4E81B93D" w14:textId="77777777" w:rsidTr="00595923">
        <w:tc>
          <w:tcPr>
            <w:tcW w:w="2160" w:type="dxa"/>
            <w:hideMark/>
          </w:tcPr>
          <w:p w14:paraId="5ECA5F0B"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Inpatient service supply</w:t>
            </w:r>
          </w:p>
        </w:tc>
        <w:tc>
          <w:tcPr>
            <w:tcW w:w="1188" w:type="dxa"/>
            <w:hideMark/>
          </w:tcPr>
          <w:p w14:paraId="14AD16B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0.015</w:t>
            </w:r>
          </w:p>
        </w:tc>
        <w:tc>
          <w:tcPr>
            <w:tcW w:w="1188" w:type="dxa"/>
            <w:hideMark/>
          </w:tcPr>
          <w:p w14:paraId="4F4C5B2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188" w:type="dxa"/>
            <w:hideMark/>
          </w:tcPr>
          <w:p w14:paraId="3F5161E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30267F8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0.208</w:t>
            </w:r>
          </w:p>
        </w:tc>
        <w:tc>
          <w:tcPr>
            <w:tcW w:w="1188" w:type="dxa"/>
            <w:hideMark/>
          </w:tcPr>
          <w:p w14:paraId="4FF6AA3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188" w:type="dxa"/>
            <w:hideMark/>
          </w:tcPr>
          <w:p w14:paraId="44EBFF5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0.032</w:t>
            </w:r>
          </w:p>
        </w:tc>
        <w:tc>
          <w:tcPr>
            <w:tcW w:w="1188" w:type="dxa"/>
            <w:hideMark/>
          </w:tcPr>
          <w:p w14:paraId="2CAF181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188" w:type="dxa"/>
            <w:hideMark/>
          </w:tcPr>
          <w:p w14:paraId="543B739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07CDFD7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-0.005</w:t>
            </w:r>
          </w:p>
        </w:tc>
        <w:tc>
          <w:tcPr>
            <w:tcW w:w="1188" w:type="dxa"/>
            <w:hideMark/>
          </w:tcPr>
          <w:p w14:paraId="0480712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r>
      <w:tr w:rsidR="00FA2393" w:rsidRPr="00FA2393" w14:paraId="12C40C26" w14:textId="77777777" w:rsidTr="00595923">
        <w:tc>
          <w:tcPr>
            <w:tcW w:w="2160" w:type="dxa"/>
            <w:hideMark/>
          </w:tcPr>
          <w:p w14:paraId="61AC2B5B"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Care grade</w:t>
            </w:r>
          </w:p>
        </w:tc>
        <w:tc>
          <w:tcPr>
            <w:tcW w:w="1188" w:type="dxa"/>
            <w:hideMark/>
          </w:tcPr>
          <w:p w14:paraId="250825D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0.017</w:t>
            </w:r>
          </w:p>
        </w:tc>
        <w:tc>
          <w:tcPr>
            <w:tcW w:w="1188" w:type="dxa"/>
            <w:hideMark/>
          </w:tcPr>
          <w:p w14:paraId="44A1670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188" w:type="dxa"/>
            <w:hideMark/>
          </w:tcPr>
          <w:p w14:paraId="7EFA45E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0.029</w:t>
            </w:r>
          </w:p>
        </w:tc>
        <w:tc>
          <w:tcPr>
            <w:tcW w:w="1188" w:type="dxa"/>
            <w:hideMark/>
          </w:tcPr>
          <w:p w14:paraId="6259220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188" w:type="dxa"/>
            <w:hideMark/>
          </w:tcPr>
          <w:p w14:paraId="107C83A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0.025</w:t>
            </w:r>
          </w:p>
        </w:tc>
        <w:tc>
          <w:tcPr>
            <w:tcW w:w="1188" w:type="dxa"/>
            <w:hideMark/>
          </w:tcPr>
          <w:p w14:paraId="13D2535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188" w:type="dxa"/>
            <w:hideMark/>
          </w:tcPr>
          <w:p w14:paraId="06D4E02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188" w:type="dxa"/>
            <w:hideMark/>
          </w:tcPr>
          <w:p w14:paraId="2FA7984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0.140</w:t>
            </w:r>
          </w:p>
        </w:tc>
        <w:tc>
          <w:tcPr>
            <w:tcW w:w="1188" w:type="dxa"/>
            <w:hideMark/>
          </w:tcPr>
          <w:p w14:paraId="4B889A8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-0.062</w:t>
            </w:r>
          </w:p>
        </w:tc>
        <w:tc>
          <w:tcPr>
            <w:tcW w:w="1188" w:type="dxa"/>
            <w:hideMark/>
          </w:tcPr>
          <w:p w14:paraId="529E021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r>
      <w:tr w:rsidR="00FA2393" w:rsidRPr="00FA2393" w14:paraId="7F43C62B" w14:textId="77777777" w:rsidTr="00595923">
        <w:tc>
          <w:tcPr>
            <w:tcW w:w="2160" w:type="dxa"/>
            <w:hideMark/>
          </w:tcPr>
          <w:p w14:paraId="0612B9B7"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No. ADL depend.</w:t>
            </w:r>
          </w:p>
        </w:tc>
        <w:tc>
          <w:tcPr>
            <w:tcW w:w="1188" w:type="dxa"/>
            <w:hideMark/>
          </w:tcPr>
          <w:p w14:paraId="176B65E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188" w:type="dxa"/>
            <w:hideMark/>
          </w:tcPr>
          <w:p w14:paraId="0E30AF7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0.040</w:t>
            </w:r>
          </w:p>
        </w:tc>
        <w:tc>
          <w:tcPr>
            <w:tcW w:w="1188" w:type="dxa"/>
            <w:hideMark/>
          </w:tcPr>
          <w:p w14:paraId="7CC79D8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188" w:type="dxa"/>
            <w:hideMark/>
          </w:tcPr>
          <w:p w14:paraId="10F31A3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0.344</w:t>
            </w:r>
          </w:p>
        </w:tc>
        <w:tc>
          <w:tcPr>
            <w:tcW w:w="1188" w:type="dxa"/>
            <w:hideMark/>
          </w:tcPr>
          <w:p w14:paraId="59415F4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0.005</w:t>
            </w:r>
          </w:p>
        </w:tc>
        <w:tc>
          <w:tcPr>
            <w:tcW w:w="1188" w:type="dxa"/>
            <w:hideMark/>
          </w:tcPr>
          <w:p w14:paraId="3BF0586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0.214</w:t>
            </w:r>
          </w:p>
        </w:tc>
        <w:tc>
          <w:tcPr>
            <w:tcW w:w="1188" w:type="dxa"/>
            <w:hideMark/>
          </w:tcPr>
          <w:p w14:paraId="0E7CDAD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0.017</w:t>
            </w:r>
          </w:p>
        </w:tc>
        <w:tc>
          <w:tcPr>
            <w:tcW w:w="1188" w:type="dxa"/>
            <w:hideMark/>
          </w:tcPr>
          <w:p w14:paraId="66E5098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188" w:type="dxa"/>
            <w:hideMark/>
          </w:tcPr>
          <w:p w14:paraId="7BAB778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-0.035</w:t>
            </w:r>
          </w:p>
        </w:tc>
        <w:tc>
          <w:tcPr>
            <w:tcW w:w="1188" w:type="dxa"/>
            <w:hideMark/>
          </w:tcPr>
          <w:p w14:paraId="7C16518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r>
      <w:tr w:rsidR="00FA2393" w:rsidRPr="00FA2393" w14:paraId="52636ED3" w14:textId="77777777" w:rsidTr="00595923">
        <w:tc>
          <w:tcPr>
            <w:tcW w:w="2160" w:type="dxa"/>
            <w:hideMark/>
          </w:tcPr>
          <w:p w14:paraId="66165D20"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No. IADL depend.</w:t>
            </w:r>
          </w:p>
        </w:tc>
        <w:tc>
          <w:tcPr>
            <w:tcW w:w="1188" w:type="dxa"/>
            <w:hideMark/>
          </w:tcPr>
          <w:p w14:paraId="02FF780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188" w:type="dxa"/>
            <w:hideMark/>
          </w:tcPr>
          <w:p w14:paraId="1DAD8C5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0.899</w:t>
            </w:r>
          </w:p>
        </w:tc>
        <w:tc>
          <w:tcPr>
            <w:tcW w:w="1188" w:type="dxa"/>
            <w:hideMark/>
          </w:tcPr>
          <w:p w14:paraId="25EE155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39B48CE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0.565</w:t>
            </w:r>
          </w:p>
        </w:tc>
        <w:tc>
          <w:tcPr>
            <w:tcW w:w="1188" w:type="dxa"/>
            <w:hideMark/>
          </w:tcPr>
          <w:p w14:paraId="5E8D866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0.011</w:t>
            </w:r>
          </w:p>
        </w:tc>
        <w:tc>
          <w:tcPr>
            <w:tcW w:w="1188" w:type="dxa"/>
            <w:hideMark/>
          </w:tcPr>
          <w:p w14:paraId="76690DA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0.055</w:t>
            </w:r>
          </w:p>
        </w:tc>
        <w:tc>
          <w:tcPr>
            <w:tcW w:w="1188" w:type="dxa"/>
            <w:hideMark/>
          </w:tcPr>
          <w:p w14:paraId="373CC3E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0.018</w:t>
            </w:r>
          </w:p>
        </w:tc>
        <w:tc>
          <w:tcPr>
            <w:tcW w:w="1188" w:type="dxa"/>
            <w:hideMark/>
          </w:tcPr>
          <w:p w14:paraId="3133B29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188" w:type="dxa"/>
            <w:hideMark/>
          </w:tcPr>
          <w:p w14:paraId="2757C7A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-0.028</w:t>
            </w:r>
          </w:p>
        </w:tc>
        <w:tc>
          <w:tcPr>
            <w:tcW w:w="1188" w:type="dxa"/>
            <w:hideMark/>
          </w:tcPr>
          <w:p w14:paraId="6D93990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r>
      <w:tr w:rsidR="00FA2393" w:rsidRPr="00FA2393" w14:paraId="40118A4D" w14:textId="77777777" w:rsidTr="00595923">
        <w:tc>
          <w:tcPr>
            <w:tcW w:w="2160" w:type="dxa"/>
            <w:hideMark/>
          </w:tcPr>
          <w:p w14:paraId="4B9F6C18"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Age</w:t>
            </w:r>
          </w:p>
        </w:tc>
        <w:tc>
          <w:tcPr>
            <w:tcW w:w="1188" w:type="dxa"/>
            <w:hideMark/>
          </w:tcPr>
          <w:p w14:paraId="3E02AD9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07CA174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0.037</w:t>
            </w:r>
          </w:p>
        </w:tc>
        <w:tc>
          <w:tcPr>
            <w:tcW w:w="1188" w:type="dxa"/>
            <w:hideMark/>
          </w:tcPr>
          <w:p w14:paraId="6EECCD9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188" w:type="dxa"/>
            <w:hideMark/>
          </w:tcPr>
          <w:p w14:paraId="0D9749C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0.049</w:t>
            </w:r>
          </w:p>
        </w:tc>
        <w:tc>
          <w:tcPr>
            <w:tcW w:w="1188" w:type="dxa"/>
            <w:hideMark/>
          </w:tcPr>
          <w:p w14:paraId="7FF56AB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050C0D7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0.069</w:t>
            </w:r>
          </w:p>
        </w:tc>
        <w:tc>
          <w:tcPr>
            <w:tcW w:w="1188" w:type="dxa"/>
            <w:hideMark/>
          </w:tcPr>
          <w:p w14:paraId="3A6DEC3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260CE81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0.359</w:t>
            </w:r>
          </w:p>
        </w:tc>
        <w:tc>
          <w:tcPr>
            <w:tcW w:w="1188" w:type="dxa"/>
            <w:hideMark/>
          </w:tcPr>
          <w:p w14:paraId="5830342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-0.005</w:t>
            </w:r>
          </w:p>
        </w:tc>
        <w:tc>
          <w:tcPr>
            <w:tcW w:w="1188" w:type="dxa"/>
            <w:hideMark/>
          </w:tcPr>
          <w:p w14:paraId="4C4CF9A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r>
      <w:tr w:rsidR="00FA2393" w:rsidRPr="00FA2393" w14:paraId="5C1DE621" w14:textId="77777777" w:rsidTr="00595923">
        <w:tc>
          <w:tcPr>
            <w:tcW w:w="2160" w:type="dxa"/>
            <w:hideMark/>
          </w:tcPr>
          <w:p w14:paraId="7BF38CA0"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Valuation of</w:t>
            </w:r>
          </w:p>
        </w:tc>
        <w:tc>
          <w:tcPr>
            <w:tcW w:w="1188" w:type="dxa"/>
          </w:tcPr>
          <w:p w14:paraId="4966E27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0B0AD15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390CBAF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386E35F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7719AF4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2F653EF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5A2E127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3486BBD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2FE1F15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09F376B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r>
      <w:tr w:rsidR="00FA2393" w:rsidRPr="00FA2393" w14:paraId="5F3F401F" w14:textId="77777777" w:rsidTr="00595923">
        <w:tc>
          <w:tcPr>
            <w:tcW w:w="2160" w:type="dxa"/>
            <w:hideMark/>
          </w:tcPr>
          <w:p w14:paraId="02125ACE"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Autonomy</w:t>
            </w:r>
          </w:p>
        </w:tc>
        <w:tc>
          <w:tcPr>
            <w:tcW w:w="1188" w:type="dxa"/>
            <w:hideMark/>
          </w:tcPr>
          <w:p w14:paraId="15324A0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188" w:type="dxa"/>
            <w:hideMark/>
          </w:tcPr>
          <w:p w14:paraId="454DF8E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0.203</w:t>
            </w:r>
          </w:p>
        </w:tc>
        <w:tc>
          <w:tcPr>
            <w:tcW w:w="1188" w:type="dxa"/>
            <w:hideMark/>
          </w:tcPr>
          <w:p w14:paraId="5B52C66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188" w:type="dxa"/>
            <w:hideMark/>
          </w:tcPr>
          <w:p w14:paraId="119158D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0.983</w:t>
            </w:r>
          </w:p>
        </w:tc>
        <w:tc>
          <w:tcPr>
            <w:tcW w:w="1188" w:type="dxa"/>
            <w:hideMark/>
          </w:tcPr>
          <w:p w14:paraId="100B307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188" w:type="dxa"/>
            <w:hideMark/>
          </w:tcPr>
          <w:p w14:paraId="184FFE3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0.477</w:t>
            </w:r>
          </w:p>
        </w:tc>
        <w:tc>
          <w:tcPr>
            <w:tcW w:w="1188" w:type="dxa"/>
            <w:hideMark/>
          </w:tcPr>
          <w:p w14:paraId="4FD8061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-0.017</w:t>
            </w:r>
          </w:p>
        </w:tc>
        <w:tc>
          <w:tcPr>
            <w:tcW w:w="1188" w:type="dxa"/>
            <w:hideMark/>
          </w:tcPr>
          <w:p w14:paraId="2D6E0A6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188" w:type="dxa"/>
            <w:hideMark/>
          </w:tcPr>
          <w:p w14:paraId="7191E2C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0.018</w:t>
            </w:r>
          </w:p>
        </w:tc>
        <w:tc>
          <w:tcPr>
            <w:tcW w:w="1188" w:type="dxa"/>
            <w:hideMark/>
          </w:tcPr>
          <w:p w14:paraId="04B6434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0.092</w:t>
            </w:r>
          </w:p>
        </w:tc>
      </w:tr>
      <w:tr w:rsidR="00FA2393" w:rsidRPr="00FA2393" w14:paraId="7F271A14" w14:textId="77777777" w:rsidTr="00595923">
        <w:tc>
          <w:tcPr>
            <w:tcW w:w="2160" w:type="dxa"/>
            <w:hideMark/>
          </w:tcPr>
          <w:p w14:paraId="188BDCDA"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Social Participation</w:t>
            </w:r>
          </w:p>
        </w:tc>
        <w:tc>
          <w:tcPr>
            <w:tcW w:w="1188" w:type="dxa"/>
            <w:hideMark/>
          </w:tcPr>
          <w:p w14:paraId="48A446C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188" w:type="dxa"/>
            <w:hideMark/>
          </w:tcPr>
          <w:p w14:paraId="613C00E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0.812</w:t>
            </w:r>
          </w:p>
        </w:tc>
        <w:tc>
          <w:tcPr>
            <w:tcW w:w="1188" w:type="dxa"/>
            <w:hideMark/>
          </w:tcPr>
          <w:p w14:paraId="55FAA79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188" w:type="dxa"/>
            <w:hideMark/>
          </w:tcPr>
          <w:p w14:paraId="0BFCC66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0.887</w:t>
            </w:r>
          </w:p>
        </w:tc>
        <w:tc>
          <w:tcPr>
            <w:tcW w:w="1188" w:type="dxa"/>
            <w:hideMark/>
          </w:tcPr>
          <w:p w14:paraId="7B54B9E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188" w:type="dxa"/>
            <w:hideMark/>
          </w:tcPr>
          <w:p w14:paraId="7C6DCF1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0.073</w:t>
            </w:r>
          </w:p>
        </w:tc>
        <w:tc>
          <w:tcPr>
            <w:tcW w:w="1188" w:type="dxa"/>
            <w:hideMark/>
          </w:tcPr>
          <w:p w14:paraId="1BAF0B2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254C015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0.828</w:t>
            </w:r>
          </w:p>
        </w:tc>
        <w:tc>
          <w:tcPr>
            <w:tcW w:w="1188" w:type="dxa"/>
            <w:hideMark/>
          </w:tcPr>
          <w:p w14:paraId="6FDBE0C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188" w:type="dxa"/>
            <w:hideMark/>
          </w:tcPr>
          <w:p w14:paraId="614A6C3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0.550</w:t>
            </w:r>
          </w:p>
        </w:tc>
      </w:tr>
      <w:tr w:rsidR="00FA2393" w:rsidRPr="00FA2393" w14:paraId="75FCF2D6" w14:textId="77777777" w:rsidTr="00595923">
        <w:tc>
          <w:tcPr>
            <w:tcW w:w="2160" w:type="dxa"/>
            <w:hideMark/>
          </w:tcPr>
          <w:p w14:paraId="1A205AC4"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Privacy</w:t>
            </w:r>
          </w:p>
        </w:tc>
        <w:tc>
          <w:tcPr>
            <w:tcW w:w="1188" w:type="dxa"/>
            <w:hideMark/>
          </w:tcPr>
          <w:p w14:paraId="6646E17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188" w:type="dxa"/>
            <w:hideMark/>
          </w:tcPr>
          <w:p w14:paraId="4843E73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0.203</w:t>
            </w:r>
          </w:p>
        </w:tc>
        <w:tc>
          <w:tcPr>
            <w:tcW w:w="1188" w:type="dxa"/>
            <w:hideMark/>
          </w:tcPr>
          <w:p w14:paraId="700A458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188" w:type="dxa"/>
            <w:hideMark/>
          </w:tcPr>
          <w:p w14:paraId="551950D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0.389</w:t>
            </w:r>
          </w:p>
        </w:tc>
        <w:tc>
          <w:tcPr>
            <w:tcW w:w="1188" w:type="dxa"/>
            <w:hideMark/>
          </w:tcPr>
          <w:p w14:paraId="473FF07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188" w:type="dxa"/>
            <w:hideMark/>
          </w:tcPr>
          <w:p w14:paraId="7AF82E2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0.509</w:t>
            </w:r>
          </w:p>
        </w:tc>
        <w:tc>
          <w:tcPr>
            <w:tcW w:w="1188" w:type="dxa"/>
            <w:hideMark/>
          </w:tcPr>
          <w:p w14:paraId="1E0FD88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60F3643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0.770</w:t>
            </w:r>
          </w:p>
        </w:tc>
        <w:tc>
          <w:tcPr>
            <w:tcW w:w="1188" w:type="dxa"/>
            <w:hideMark/>
          </w:tcPr>
          <w:p w14:paraId="7458D81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-0.005</w:t>
            </w:r>
          </w:p>
        </w:tc>
        <w:tc>
          <w:tcPr>
            <w:tcW w:w="1188" w:type="dxa"/>
            <w:hideMark/>
          </w:tcPr>
          <w:p w14:paraId="0F66CE1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0.489</w:t>
            </w:r>
          </w:p>
        </w:tc>
      </w:tr>
      <w:tr w:rsidR="00FA2393" w:rsidRPr="00FA2393" w14:paraId="4F0D553A" w14:textId="77777777" w:rsidTr="00595923">
        <w:tc>
          <w:tcPr>
            <w:tcW w:w="2160" w:type="dxa"/>
            <w:hideMark/>
          </w:tcPr>
          <w:p w14:paraId="03FCFB93"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Relationship status</w:t>
            </w:r>
          </w:p>
        </w:tc>
        <w:tc>
          <w:tcPr>
            <w:tcW w:w="1188" w:type="dxa"/>
          </w:tcPr>
          <w:p w14:paraId="1B4BE56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49ABB62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5B787A1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37F0C8D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2B554C4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025B07E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794BA5F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662A447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7E91EE2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3F698B2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r>
      <w:tr w:rsidR="00FA2393" w:rsidRPr="00FA2393" w14:paraId="22EF976E" w14:textId="77777777" w:rsidTr="00595923">
        <w:tc>
          <w:tcPr>
            <w:tcW w:w="2160" w:type="dxa"/>
            <w:hideMark/>
          </w:tcPr>
          <w:p w14:paraId="4D8B7307"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Not partnered</w:t>
            </w:r>
          </w:p>
        </w:tc>
        <w:tc>
          <w:tcPr>
            <w:tcW w:w="11880" w:type="dxa"/>
            <w:gridSpan w:val="10"/>
            <w:hideMark/>
          </w:tcPr>
          <w:p w14:paraId="79C8AF0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Reference</w:t>
            </w:r>
          </w:p>
        </w:tc>
      </w:tr>
      <w:tr w:rsidR="00FA2393" w:rsidRPr="00FA2393" w14:paraId="057B0B39" w14:textId="77777777" w:rsidTr="00595923">
        <w:tc>
          <w:tcPr>
            <w:tcW w:w="2160" w:type="dxa"/>
            <w:hideMark/>
          </w:tcPr>
          <w:p w14:paraId="5C91226A"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Partnered</w:t>
            </w:r>
          </w:p>
        </w:tc>
        <w:tc>
          <w:tcPr>
            <w:tcW w:w="1188" w:type="dxa"/>
            <w:hideMark/>
          </w:tcPr>
          <w:p w14:paraId="46E212F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-0.033</w:t>
            </w:r>
          </w:p>
        </w:tc>
        <w:tc>
          <w:tcPr>
            <w:tcW w:w="1188" w:type="dxa"/>
            <w:hideMark/>
          </w:tcPr>
          <w:p w14:paraId="69FECBD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0.012</w:t>
            </w:r>
          </w:p>
        </w:tc>
        <w:tc>
          <w:tcPr>
            <w:tcW w:w="1188" w:type="dxa"/>
            <w:hideMark/>
          </w:tcPr>
          <w:p w14:paraId="6EDE30A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-0.011</w:t>
            </w:r>
          </w:p>
        </w:tc>
        <w:tc>
          <w:tcPr>
            <w:tcW w:w="1188" w:type="dxa"/>
            <w:hideMark/>
          </w:tcPr>
          <w:p w14:paraId="5CFE1A3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0.522</w:t>
            </w:r>
          </w:p>
        </w:tc>
        <w:tc>
          <w:tcPr>
            <w:tcW w:w="1188" w:type="dxa"/>
            <w:hideMark/>
          </w:tcPr>
          <w:p w14:paraId="1B4080D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188" w:type="dxa"/>
            <w:hideMark/>
          </w:tcPr>
          <w:p w14:paraId="149B1E7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0.991</w:t>
            </w:r>
          </w:p>
        </w:tc>
        <w:tc>
          <w:tcPr>
            <w:tcW w:w="1188" w:type="dxa"/>
            <w:hideMark/>
          </w:tcPr>
          <w:p w14:paraId="1DED29E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2E6C645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0.911</w:t>
            </w:r>
          </w:p>
        </w:tc>
        <w:tc>
          <w:tcPr>
            <w:tcW w:w="1188" w:type="dxa"/>
            <w:hideMark/>
          </w:tcPr>
          <w:p w14:paraId="0F535CD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0.045</w:t>
            </w:r>
          </w:p>
        </w:tc>
        <w:tc>
          <w:tcPr>
            <w:tcW w:w="1188" w:type="dxa"/>
            <w:hideMark/>
          </w:tcPr>
          <w:p w14:paraId="0C1E67A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r>
      <w:tr w:rsidR="00FA2393" w:rsidRPr="00FA2393" w14:paraId="50206AE7" w14:textId="77777777" w:rsidTr="00595923">
        <w:tc>
          <w:tcPr>
            <w:tcW w:w="2160" w:type="dxa"/>
            <w:hideMark/>
          </w:tcPr>
          <w:p w14:paraId="5C6A3ADC"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No. of children</w:t>
            </w:r>
          </w:p>
        </w:tc>
        <w:tc>
          <w:tcPr>
            <w:tcW w:w="1188" w:type="dxa"/>
            <w:hideMark/>
          </w:tcPr>
          <w:p w14:paraId="7260E9C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hideMark/>
          </w:tcPr>
          <w:p w14:paraId="0AF4772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0.642</w:t>
            </w:r>
          </w:p>
        </w:tc>
        <w:tc>
          <w:tcPr>
            <w:tcW w:w="1188" w:type="dxa"/>
            <w:hideMark/>
          </w:tcPr>
          <w:p w14:paraId="5F8C6F6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188" w:type="dxa"/>
            <w:hideMark/>
          </w:tcPr>
          <w:p w14:paraId="2999D66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0.477</w:t>
            </w:r>
          </w:p>
        </w:tc>
        <w:tc>
          <w:tcPr>
            <w:tcW w:w="1188" w:type="dxa"/>
            <w:hideMark/>
          </w:tcPr>
          <w:p w14:paraId="0DC1D73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-0.005</w:t>
            </w:r>
          </w:p>
        </w:tc>
        <w:tc>
          <w:tcPr>
            <w:tcW w:w="1188" w:type="dxa"/>
            <w:hideMark/>
          </w:tcPr>
          <w:p w14:paraId="60698D7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0.097</w:t>
            </w:r>
          </w:p>
        </w:tc>
        <w:tc>
          <w:tcPr>
            <w:tcW w:w="1188" w:type="dxa"/>
            <w:hideMark/>
          </w:tcPr>
          <w:p w14:paraId="4C64716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0.012</w:t>
            </w:r>
          </w:p>
        </w:tc>
        <w:tc>
          <w:tcPr>
            <w:tcW w:w="1188" w:type="dxa"/>
            <w:hideMark/>
          </w:tcPr>
          <w:p w14:paraId="445E991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0.043</w:t>
            </w:r>
          </w:p>
        </w:tc>
        <w:tc>
          <w:tcPr>
            <w:tcW w:w="1188" w:type="dxa"/>
            <w:hideMark/>
          </w:tcPr>
          <w:p w14:paraId="7C22DA3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188" w:type="dxa"/>
            <w:hideMark/>
          </w:tcPr>
          <w:p w14:paraId="601992C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0.170</w:t>
            </w:r>
          </w:p>
        </w:tc>
      </w:tr>
      <w:tr w:rsidR="00FA2393" w:rsidRPr="00FA2393" w14:paraId="001A3D9B" w14:textId="77777777" w:rsidTr="00595923">
        <w:tc>
          <w:tcPr>
            <w:tcW w:w="2160" w:type="dxa"/>
            <w:hideMark/>
          </w:tcPr>
          <w:p w14:paraId="06B209DF"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NW contacts</w:t>
            </w:r>
          </w:p>
        </w:tc>
        <w:tc>
          <w:tcPr>
            <w:tcW w:w="1188" w:type="dxa"/>
            <w:hideMark/>
          </w:tcPr>
          <w:p w14:paraId="77315D5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-0.016</w:t>
            </w:r>
          </w:p>
        </w:tc>
        <w:tc>
          <w:tcPr>
            <w:tcW w:w="1188" w:type="dxa"/>
            <w:hideMark/>
          </w:tcPr>
          <w:p w14:paraId="3BD6CEB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188" w:type="dxa"/>
            <w:hideMark/>
          </w:tcPr>
          <w:p w14:paraId="3AC407F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188" w:type="dxa"/>
            <w:hideMark/>
          </w:tcPr>
          <w:p w14:paraId="0D73246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0.142</w:t>
            </w:r>
          </w:p>
        </w:tc>
        <w:tc>
          <w:tcPr>
            <w:tcW w:w="1188" w:type="dxa"/>
            <w:hideMark/>
          </w:tcPr>
          <w:p w14:paraId="1548D67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0.010</w:t>
            </w:r>
          </w:p>
        </w:tc>
        <w:tc>
          <w:tcPr>
            <w:tcW w:w="1188" w:type="dxa"/>
            <w:hideMark/>
          </w:tcPr>
          <w:p w14:paraId="26596D6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0.026</w:t>
            </w:r>
          </w:p>
        </w:tc>
        <w:tc>
          <w:tcPr>
            <w:tcW w:w="1188" w:type="dxa"/>
            <w:hideMark/>
          </w:tcPr>
          <w:p w14:paraId="4FC6C2C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188" w:type="dxa"/>
            <w:hideMark/>
          </w:tcPr>
          <w:p w14:paraId="172B85F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0.301</w:t>
            </w:r>
          </w:p>
        </w:tc>
        <w:tc>
          <w:tcPr>
            <w:tcW w:w="1188" w:type="dxa"/>
            <w:hideMark/>
          </w:tcPr>
          <w:p w14:paraId="7BBF329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0.005</w:t>
            </w:r>
          </w:p>
        </w:tc>
        <w:tc>
          <w:tcPr>
            <w:tcW w:w="1188" w:type="dxa"/>
            <w:hideMark/>
          </w:tcPr>
          <w:p w14:paraId="7105A1B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0.373</w:t>
            </w:r>
          </w:p>
        </w:tc>
      </w:tr>
      <w:tr w:rsidR="00FA2393" w:rsidRPr="00FA2393" w14:paraId="1F075DC1" w14:textId="77777777" w:rsidTr="00595923">
        <w:tc>
          <w:tcPr>
            <w:tcW w:w="2160" w:type="dxa"/>
            <w:hideMark/>
          </w:tcPr>
          <w:p w14:paraId="09BA1F7B"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Population share 65+</w:t>
            </w:r>
          </w:p>
        </w:tc>
        <w:tc>
          <w:tcPr>
            <w:tcW w:w="1188" w:type="dxa"/>
            <w:hideMark/>
          </w:tcPr>
          <w:p w14:paraId="44565FB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-0.014</w:t>
            </w:r>
          </w:p>
        </w:tc>
        <w:tc>
          <w:tcPr>
            <w:tcW w:w="1188" w:type="dxa"/>
            <w:hideMark/>
          </w:tcPr>
          <w:p w14:paraId="40A1DF6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0.026</w:t>
            </w:r>
          </w:p>
        </w:tc>
        <w:tc>
          <w:tcPr>
            <w:tcW w:w="1188" w:type="dxa"/>
            <w:hideMark/>
          </w:tcPr>
          <w:p w14:paraId="1D03983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188" w:type="dxa"/>
            <w:hideMark/>
          </w:tcPr>
          <w:p w14:paraId="2DF2E86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0.394</w:t>
            </w:r>
          </w:p>
        </w:tc>
        <w:tc>
          <w:tcPr>
            <w:tcW w:w="1188" w:type="dxa"/>
            <w:hideMark/>
          </w:tcPr>
          <w:p w14:paraId="5ACB2F6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0.013</w:t>
            </w:r>
          </w:p>
        </w:tc>
        <w:tc>
          <w:tcPr>
            <w:tcW w:w="1188" w:type="dxa"/>
            <w:hideMark/>
          </w:tcPr>
          <w:p w14:paraId="3FE771A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0.031</w:t>
            </w:r>
          </w:p>
        </w:tc>
        <w:tc>
          <w:tcPr>
            <w:tcW w:w="1188" w:type="dxa"/>
            <w:hideMark/>
          </w:tcPr>
          <w:p w14:paraId="2CFF82E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-0.005</w:t>
            </w:r>
          </w:p>
        </w:tc>
        <w:tc>
          <w:tcPr>
            <w:tcW w:w="1188" w:type="dxa"/>
            <w:hideMark/>
          </w:tcPr>
          <w:p w14:paraId="614CFDE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0.330</w:t>
            </w:r>
          </w:p>
        </w:tc>
        <w:tc>
          <w:tcPr>
            <w:tcW w:w="1188" w:type="dxa"/>
            <w:hideMark/>
          </w:tcPr>
          <w:p w14:paraId="61B6678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0.011</w:t>
            </w:r>
          </w:p>
        </w:tc>
        <w:tc>
          <w:tcPr>
            <w:tcW w:w="1188" w:type="dxa"/>
            <w:hideMark/>
          </w:tcPr>
          <w:p w14:paraId="2DAE9E9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r>
      <w:tr w:rsidR="00FA2393" w:rsidRPr="00FA2393" w14:paraId="5EF16A51" w14:textId="77777777" w:rsidTr="00595923">
        <w:tc>
          <w:tcPr>
            <w:tcW w:w="2160" w:type="dxa"/>
            <w:hideMark/>
          </w:tcPr>
          <w:p w14:paraId="78A4667D"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Sex</w:t>
            </w:r>
          </w:p>
        </w:tc>
        <w:tc>
          <w:tcPr>
            <w:tcW w:w="1188" w:type="dxa"/>
          </w:tcPr>
          <w:p w14:paraId="55FCBE2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5C1791A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0F3B389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6DF7B86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536AFBD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4A4B996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5148F6C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772F515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6D510AF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188" w:type="dxa"/>
          </w:tcPr>
          <w:p w14:paraId="591D953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r>
      <w:tr w:rsidR="00FA2393" w:rsidRPr="00FA2393" w14:paraId="18D2F8F5" w14:textId="77777777" w:rsidTr="00595923">
        <w:tc>
          <w:tcPr>
            <w:tcW w:w="2160" w:type="dxa"/>
            <w:hideMark/>
          </w:tcPr>
          <w:p w14:paraId="6E888661"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Female</w:t>
            </w:r>
          </w:p>
        </w:tc>
        <w:tc>
          <w:tcPr>
            <w:tcW w:w="11880" w:type="dxa"/>
            <w:gridSpan w:val="10"/>
            <w:hideMark/>
          </w:tcPr>
          <w:p w14:paraId="0698391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Reference</w:t>
            </w:r>
          </w:p>
        </w:tc>
      </w:tr>
      <w:tr w:rsidR="00FA2393" w:rsidRPr="00FA2393" w14:paraId="2DA0BA32" w14:textId="77777777" w:rsidTr="00595923">
        <w:tc>
          <w:tcPr>
            <w:tcW w:w="2160" w:type="dxa"/>
            <w:tcBorders>
              <w:top w:val="nil"/>
              <w:left w:val="nil"/>
              <w:bottom w:val="single" w:sz="4" w:space="0" w:color="auto"/>
              <w:right w:val="nil"/>
            </w:tcBorders>
            <w:hideMark/>
          </w:tcPr>
          <w:p w14:paraId="70A57B0F"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Male</w:t>
            </w:r>
          </w:p>
        </w:tc>
        <w:tc>
          <w:tcPr>
            <w:tcW w:w="1188" w:type="dxa"/>
            <w:tcBorders>
              <w:top w:val="nil"/>
              <w:left w:val="nil"/>
              <w:bottom w:val="single" w:sz="4" w:space="0" w:color="auto"/>
              <w:right w:val="nil"/>
            </w:tcBorders>
            <w:hideMark/>
          </w:tcPr>
          <w:p w14:paraId="176EE72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-0.017</w:t>
            </w:r>
          </w:p>
        </w:tc>
        <w:tc>
          <w:tcPr>
            <w:tcW w:w="1188" w:type="dxa"/>
            <w:tcBorders>
              <w:top w:val="nil"/>
              <w:left w:val="nil"/>
              <w:bottom w:val="single" w:sz="4" w:space="0" w:color="auto"/>
              <w:right w:val="nil"/>
            </w:tcBorders>
            <w:hideMark/>
          </w:tcPr>
          <w:p w14:paraId="14A6DB5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0.109</w:t>
            </w:r>
          </w:p>
        </w:tc>
        <w:tc>
          <w:tcPr>
            <w:tcW w:w="1188" w:type="dxa"/>
            <w:tcBorders>
              <w:top w:val="nil"/>
              <w:left w:val="nil"/>
              <w:bottom w:val="single" w:sz="4" w:space="0" w:color="auto"/>
              <w:right w:val="nil"/>
            </w:tcBorders>
            <w:hideMark/>
          </w:tcPr>
          <w:p w14:paraId="6039BBC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188" w:type="dxa"/>
            <w:tcBorders>
              <w:top w:val="nil"/>
              <w:left w:val="nil"/>
              <w:bottom w:val="single" w:sz="4" w:space="0" w:color="auto"/>
              <w:right w:val="nil"/>
            </w:tcBorders>
            <w:hideMark/>
          </w:tcPr>
          <w:p w14:paraId="21E6727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0.625</w:t>
            </w:r>
          </w:p>
        </w:tc>
        <w:tc>
          <w:tcPr>
            <w:tcW w:w="1188" w:type="dxa"/>
            <w:tcBorders>
              <w:top w:val="nil"/>
              <w:left w:val="nil"/>
              <w:bottom w:val="single" w:sz="4" w:space="0" w:color="auto"/>
              <w:right w:val="nil"/>
            </w:tcBorders>
            <w:hideMark/>
          </w:tcPr>
          <w:p w14:paraId="20C2855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188" w:type="dxa"/>
            <w:tcBorders>
              <w:top w:val="nil"/>
              <w:left w:val="nil"/>
              <w:bottom w:val="single" w:sz="4" w:space="0" w:color="auto"/>
              <w:right w:val="nil"/>
            </w:tcBorders>
            <w:hideMark/>
          </w:tcPr>
          <w:p w14:paraId="61823E5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0.994</w:t>
            </w:r>
          </w:p>
        </w:tc>
        <w:tc>
          <w:tcPr>
            <w:tcW w:w="1188" w:type="dxa"/>
            <w:tcBorders>
              <w:top w:val="nil"/>
              <w:left w:val="nil"/>
              <w:bottom w:val="single" w:sz="4" w:space="0" w:color="auto"/>
              <w:right w:val="nil"/>
            </w:tcBorders>
            <w:hideMark/>
          </w:tcPr>
          <w:p w14:paraId="5C9E3A0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0.027</w:t>
            </w:r>
          </w:p>
        </w:tc>
        <w:tc>
          <w:tcPr>
            <w:tcW w:w="1188" w:type="dxa"/>
            <w:tcBorders>
              <w:top w:val="nil"/>
              <w:left w:val="nil"/>
              <w:bottom w:val="single" w:sz="4" w:space="0" w:color="auto"/>
              <w:right w:val="nil"/>
            </w:tcBorders>
            <w:hideMark/>
          </w:tcPr>
          <w:p w14:paraId="3D247DF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0.062</w:t>
            </w:r>
          </w:p>
        </w:tc>
        <w:tc>
          <w:tcPr>
            <w:tcW w:w="1188" w:type="dxa"/>
            <w:tcBorders>
              <w:top w:val="nil"/>
              <w:left w:val="nil"/>
              <w:bottom w:val="single" w:sz="4" w:space="0" w:color="auto"/>
              <w:right w:val="nil"/>
            </w:tcBorders>
            <w:hideMark/>
          </w:tcPr>
          <w:p w14:paraId="3C00AC9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188" w:type="dxa"/>
            <w:tcBorders>
              <w:top w:val="nil"/>
              <w:left w:val="nil"/>
              <w:bottom w:val="single" w:sz="4" w:space="0" w:color="auto"/>
              <w:right w:val="nil"/>
            </w:tcBorders>
            <w:hideMark/>
          </w:tcPr>
          <w:p w14:paraId="00EA0A7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0.892</w:t>
            </w:r>
          </w:p>
        </w:tc>
      </w:tr>
      <w:tr w:rsidR="00FA2393" w:rsidRPr="00FA2393" w14:paraId="386FA995" w14:textId="77777777" w:rsidTr="00595923">
        <w:tc>
          <w:tcPr>
            <w:tcW w:w="2160" w:type="dxa"/>
            <w:tcBorders>
              <w:top w:val="nil"/>
              <w:left w:val="nil"/>
              <w:bottom w:val="single" w:sz="4" w:space="0" w:color="auto"/>
              <w:right w:val="nil"/>
            </w:tcBorders>
            <w:hideMark/>
          </w:tcPr>
          <w:p w14:paraId="0A13DBC6"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i/>
                <w:iCs/>
                <w:sz w:val="24"/>
                <w:szCs w:val="24"/>
                <w:lang w:val="en-US"/>
              </w:rPr>
              <w:t>N</w:t>
            </w:r>
          </w:p>
        </w:tc>
        <w:tc>
          <w:tcPr>
            <w:tcW w:w="11880" w:type="dxa"/>
            <w:gridSpan w:val="10"/>
            <w:tcBorders>
              <w:top w:val="nil"/>
              <w:left w:val="nil"/>
              <w:bottom w:val="single" w:sz="4" w:space="0" w:color="auto"/>
              <w:right w:val="nil"/>
            </w:tcBorders>
            <w:hideMark/>
          </w:tcPr>
          <w:p w14:paraId="36E2DE1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1303</w:t>
            </w:r>
          </w:p>
        </w:tc>
      </w:tr>
    </w:tbl>
    <w:p w14:paraId="2EC98D5A" w14:textId="77777777" w:rsidR="00FA2393" w:rsidRPr="00FA2393" w:rsidRDefault="00FA2393" w:rsidP="00FA2393">
      <w:pPr>
        <w:spacing w:after="0" w:line="276" w:lineRule="auto"/>
        <w:rPr>
          <w:rFonts w:ascii="Garamond" w:eastAsia="Calibri" w:hAnsi="Garamond" w:cs="Times New Roman"/>
          <w:sz w:val="24"/>
          <w:szCs w:val="24"/>
          <w:lang w:val="en-GB"/>
        </w:rPr>
        <w:sectPr w:rsidR="00FA2393" w:rsidRPr="00FA2393">
          <w:pgSz w:w="16838" w:h="11906" w:orient="landscape"/>
          <w:pgMar w:top="1701" w:right="1418" w:bottom="1701" w:left="1418" w:header="709" w:footer="709" w:gutter="0"/>
          <w:cols w:space="720"/>
        </w:sectPr>
      </w:pPr>
    </w:p>
    <w:tbl>
      <w:tblPr>
        <w:tblW w:w="0" w:type="dxa"/>
        <w:tblLayout w:type="fixed"/>
        <w:tblLook w:val="04A0" w:firstRow="1" w:lastRow="0" w:firstColumn="1" w:lastColumn="0" w:noHBand="0" w:noVBand="1"/>
      </w:tblPr>
      <w:tblGrid>
        <w:gridCol w:w="2160"/>
        <w:gridCol w:w="1050"/>
        <w:gridCol w:w="1050"/>
        <w:gridCol w:w="1050"/>
        <w:gridCol w:w="1050"/>
        <w:gridCol w:w="1050"/>
        <w:gridCol w:w="1050"/>
      </w:tblGrid>
      <w:tr w:rsidR="00FA2393" w:rsidRPr="007C02FF" w14:paraId="140103CC" w14:textId="77777777" w:rsidTr="00FA2393">
        <w:tc>
          <w:tcPr>
            <w:tcW w:w="8460" w:type="dxa"/>
            <w:gridSpan w:val="7"/>
            <w:tcBorders>
              <w:top w:val="nil"/>
              <w:left w:val="nil"/>
              <w:bottom w:val="single" w:sz="4" w:space="0" w:color="auto"/>
              <w:right w:val="nil"/>
            </w:tcBorders>
            <w:hideMark/>
          </w:tcPr>
          <w:p w14:paraId="05406F78" w14:textId="77777777" w:rsidR="00FA2393" w:rsidRPr="00FA2393" w:rsidRDefault="00FA2393" w:rsidP="00FA2393">
            <w:pPr>
              <w:widowControl w:val="0"/>
              <w:autoSpaceDE w:val="0"/>
              <w:autoSpaceDN w:val="0"/>
              <w:adjustRightInd w:val="0"/>
              <w:spacing w:after="0" w:line="240" w:lineRule="auto"/>
              <w:jc w:val="both"/>
              <w:rPr>
                <w:rFonts w:ascii="Garamond" w:eastAsia="Calibri" w:hAnsi="Garamond" w:cs="Times New Roman"/>
                <w:sz w:val="24"/>
                <w:szCs w:val="24"/>
                <w:lang w:val="en-US"/>
              </w:rPr>
            </w:pPr>
            <w:r>
              <w:rPr>
                <w:rFonts w:ascii="Garamond" w:eastAsia="Calibri" w:hAnsi="Garamond" w:cs="Times New Roman"/>
                <w:sz w:val="24"/>
                <w:szCs w:val="24"/>
                <w:lang w:val="en-US"/>
              </w:rPr>
              <w:lastRenderedPageBreak/>
              <w:t>Table O2</w:t>
            </w:r>
            <w:r w:rsidRPr="00FA2393">
              <w:rPr>
                <w:rFonts w:ascii="Garamond" w:eastAsia="Calibri" w:hAnsi="Garamond" w:cs="Times New Roman"/>
                <w:sz w:val="24"/>
                <w:szCs w:val="24"/>
                <w:lang w:val="en-US"/>
              </w:rPr>
              <w:t>: Average marginal effects (robustness checks 2: effect heterogeneity)</w:t>
            </w:r>
          </w:p>
        </w:tc>
      </w:tr>
      <w:tr w:rsidR="00FA2393" w:rsidRPr="00FA2393" w14:paraId="1B3C1A85" w14:textId="77777777" w:rsidTr="00FA2393">
        <w:tc>
          <w:tcPr>
            <w:tcW w:w="2160" w:type="dxa"/>
            <w:tcBorders>
              <w:top w:val="single" w:sz="4" w:space="0" w:color="auto"/>
              <w:left w:val="nil"/>
              <w:bottom w:val="nil"/>
              <w:right w:val="nil"/>
            </w:tcBorders>
          </w:tcPr>
          <w:p w14:paraId="05FB5B3E"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p>
        </w:tc>
        <w:tc>
          <w:tcPr>
            <w:tcW w:w="2100" w:type="dxa"/>
            <w:gridSpan w:val="2"/>
            <w:tcBorders>
              <w:top w:val="single" w:sz="4" w:space="0" w:color="auto"/>
              <w:left w:val="nil"/>
              <w:bottom w:val="nil"/>
              <w:right w:val="nil"/>
            </w:tcBorders>
            <w:hideMark/>
          </w:tcPr>
          <w:p w14:paraId="16E7FA7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IC</w:t>
            </w:r>
          </w:p>
        </w:tc>
        <w:tc>
          <w:tcPr>
            <w:tcW w:w="2100" w:type="dxa"/>
            <w:gridSpan w:val="2"/>
            <w:tcBorders>
              <w:top w:val="single" w:sz="4" w:space="0" w:color="auto"/>
              <w:left w:val="nil"/>
              <w:bottom w:val="nil"/>
              <w:right w:val="nil"/>
            </w:tcBorders>
            <w:hideMark/>
          </w:tcPr>
          <w:p w14:paraId="5C818A9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OC</w:t>
            </w:r>
          </w:p>
        </w:tc>
        <w:tc>
          <w:tcPr>
            <w:tcW w:w="2100" w:type="dxa"/>
            <w:gridSpan w:val="2"/>
            <w:tcBorders>
              <w:top w:val="single" w:sz="4" w:space="0" w:color="auto"/>
              <w:left w:val="nil"/>
              <w:bottom w:val="nil"/>
              <w:right w:val="nil"/>
            </w:tcBorders>
            <w:hideMark/>
          </w:tcPr>
          <w:p w14:paraId="70AF96E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WOC</w:t>
            </w:r>
          </w:p>
        </w:tc>
      </w:tr>
      <w:tr w:rsidR="00FA2393" w:rsidRPr="00FA2393" w14:paraId="25A1D710" w14:textId="77777777" w:rsidTr="00FA2393">
        <w:tc>
          <w:tcPr>
            <w:tcW w:w="2160" w:type="dxa"/>
            <w:tcBorders>
              <w:top w:val="nil"/>
              <w:left w:val="nil"/>
              <w:bottom w:val="single" w:sz="4" w:space="0" w:color="auto"/>
              <w:right w:val="nil"/>
            </w:tcBorders>
          </w:tcPr>
          <w:p w14:paraId="6BD21FA1"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p>
        </w:tc>
        <w:tc>
          <w:tcPr>
            <w:tcW w:w="1050" w:type="dxa"/>
            <w:tcBorders>
              <w:top w:val="nil"/>
              <w:left w:val="nil"/>
              <w:bottom w:val="single" w:sz="4" w:space="0" w:color="auto"/>
              <w:right w:val="nil"/>
            </w:tcBorders>
            <w:hideMark/>
          </w:tcPr>
          <w:p w14:paraId="77144FF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050" w:type="dxa"/>
            <w:tcBorders>
              <w:top w:val="nil"/>
              <w:left w:val="nil"/>
              <w:bottom w:val="single" w:sz="4" w:space="0" w:color="auto"/>
              <w:right w:val="nil"/>
            </w:tcBorders>
            <w:hideMark/>
          </w:tcPr>
          <w:p w14:paraId="614D50F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c>
          <w:tcPr>
            <w:tcW w:w="1050" w:type="dxa"/>
            <w:tcBorders>
              <w:top w:val="nil"/>
              <w:left w:val="nil"/>
              <w:bottom w:val="single" w:sz="4" w:space="0" w:color="auto"/>
              <w:right w:val="nil"/>
            </w:tcBorders>
            <w:hideMark/>
          </w:tcPr>
          <w:p w14:paraId="6E28B6A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050" w:type="dxa"/>
            <w:tcBorders>
              <w:top w:val="nil"/>
              <w:left w:val="nil"/>
              <w:bottom w:val="single" w:sz="4" w:space="0" w:color="auto"/>
              <w:right w:val="nil"/>
            </w:tcBorders>
            <w:hideMark/>
          </w:tcPr>
          <w:p w14:paraId="2AF4F09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c>
          <w:tcPr>
            <w:tcW w:w="1050" w:type="dxa"/>
            <w:tcBorders>
              <w:top w:val="nil"/>
              <w:left w:val="nil"/>
              <w:bottom w:val="single" w:sz="4" w:space="0" w:color="auto"/>
              <w:right w:val="nil"/>
            </w:tcBorders>
            <w:hideMark/>
          </w:tcPr>
          <w:p w14:paraId="11BF113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050" w:type="dxa"/>
            <w:tcBorders>
              <w:top w:val="nil"/>
              <w:left w:val="nil"/>
              <w:bottom w:val="single" w:sz="4" w:space="0" w:color="auto"/>
              <w:right w:val="nil"/>
            </w:tcBorders>
            <w:hideMark/>
          </w:tcPr>
          <w:p w14:paraId="6A038F6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r>
      <w:tr w:rsidR="00FA2393" w:rsidRPr="00FA2393" w14:paraId="1E6A28CE" w14:textId="77777777" w:rsidTr="00FA2393">
        <w:tc>
          <w:tcPr>
            <w:tcW w:w="8460" w:type="dxa"/>
            <w:gridSpan w:val="7"/>
            <w:tcBorders>
              <w:top w:val="single" w:sz="4" w:space="0" w:color="auto"/>
              <w:left w:val="nil"/>
              <w:bottom w:val="single" w:sz="4" w:space="0" w:color="auto"/>
              <w:right w:val="nil"/>
            </w:tcBorders>
            <w:hideMark/>
          </w:tcPr>
          <w:p w14:paraId="4CC4367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Without dementia (N = 741)</w:t>
            </w:r>
          </w:p>
        </w:tc>
      </w:tr>
      <w:tr w:rsidR="00FA2393" w:rsidRPr="00FA2393" w14:paraId="298BF699" w14:textId="77777777" w:rsidTr="00FA2393">
        <w:tc>
          <w:tcPr>
            <w:tcW w:w="2160" w:type="dxa"/>
            <w:tcBorders>
              <w:top w:val="single" w:sz="4" w:space="0" w:color="auto"/>
              <w:left w:val="nil"/>
              <w:bottom w:val="nil"/>
              <w:right w:val="nil"/>
            </w:tcBorders>
            <w:hideMark/>
          </w:tcPr>
          <w:p w14:paraId="69AC3BCD"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Outpatient service supply</w:t>
            </w:r>
          </w:p>
        </w:tc>
        <w:tc>
          <w:tcPr>
            <w:tcW w:w="1050" w:type="dxa"/>
            <w:tcBorders>
              <w:top w:val="single" w:sz="4" w:space="0" w:color="auto"/>
              <w:left w:val="nil"/>
              <w:bottom w:val="nil"/>
              <w:right w:val="nil"/>
            </w:tcBorders>
            <w:hideMark/>
          </w:tcPr>
          <w:p w14:paraId="0F7F26E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tcBorders>
              <w:top w:val="single" w:sz="4" w:space="0" w:color="auto"/>
              <w:left w:val="nil"/>
              <w:bottom w:val="nil"/>
              <w:right w:val="nil"/>
            </w:tcBorders>
            <w:hideMark/>
          </w:tcPr>
          <w:p w14:paraId="1C052AD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0.283</w:t>
            </w:r>
          </w:p>
        </w:tc>
        <w:tc>
          <w:tcPr>
            <w:tcW w:w="1050" w:type="dxa"/>
            <w:tcBorders>
              <w:top w:val="single" w:sz="4" w:space="0" w:color="auto"/>
              <w:left w:val="nil"/>
              <w:bottom w:val="nil"/>
              <w:right w:val="nil"/>
            </w:tcBorders>
            <w:hideMark/>
          </w:tcPr>
          <w:p w14:paraId="0D4849C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050" w:type="dxa"/>
            <w:tcBorders>
              <w:top w:val="single" w:sz="4" w:space="0" w:color="auto"/>
              <w:left w:val="nil"/>
              <w:bottom w:val="nil"/>
              <w:right w:val="nil"/>
            </w:tcBorders>
            <w:hideMark/>
          </w:tcPr>
          <w:p w14:paraId="294407F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0.056</w:t>
            </w:r>
          </w:p>
        </w:tc>
        <w:tc>
          <w:tcPr>
            <w:tcW w:w="1050" w:type="dxa"/>
            <w:tcBorders>
              <w:top w:val="single" w:sz="4" w:space="0" w:color="auto"/>
              <w:left w:val="nil"/>
              <w:bottom w:val="nil"/>
              <w:right w:val="nil"/>
            </w:tcBorders>
            <w:hideMark/>
          </w:tcPr>
          <w:p w14:paraId="31F1E43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tcBorders>
              <w:top w:val="single" w:sz="4" w:space="0" w:color="auto"/>
              <w:left w:val="nil"/>
              <w:bottom w:val="nil"/>
              <w:right w:val="nil"/>
            </w:tcBorders>
            <w:hideMark/>
          </w:tcPr>
          <w:p w14:paraId="27CE1F1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0.376</w:t>
            </w:r>
          </w:p>
        </w:tc>
      </w:tr>
      <w:tr w:rsidR="00FA2393" w:rsidRPr="00FA2393" w14:paraId="433106C8" w14:textId="77777777" w:rsidTr="00FA2393">
        <w:tc>
          <w:tcPr>
            <w:tcW w:w="2160" w:type="dxa"/>
            <w:tcBorders>
              <w:top w:val="nil"/>
              <w:left w:val="nil"/>
              <w:bottom w:val="single" w:sz="4" w:space="0" w:color="auto"/>
              <w:right w:val="nil"/>
            </w:tcBorders>
            <w:hideMark/>
          </w:tcPr>
          <w:p w14:paraId="7980105D"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Inpatient service supply</w:t>
            </w:r>
          </w:p>
        </w:tc>
        <w:tc>
          <w:tcPr>
            <w:tcW w:w="1050" w:type="dxa"/>
            <w:tcBorders>
              <w:top w:val="nil"/>
              <w:left w:val="nil"/>
              <w:bottom w:val="single" w:sz="4" w:space="0" w:color="auto"/>
              <w:right w:val="nil"/>
            </w:tcBorders>
            <w:hideMark/>
          </w:tcPr>
          <w:p w14:paraId="4100B63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050" w:type="dxa"/>
            <w:tcBorders>
              <w:top w:val="nil"/>
              <w:left w:val="nil"/>
              <w:bottom w:val="single" w:sz="4" w:space="0" w:color="auto"/>
              <w:right w:val="nil"/>
            </w:tcBorders>
            <w:hideMark/>
          </w:tcPr>
          <w:p w14:paraId="535C6F7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050" w:type="dxa"/>
            <w:tcBorders>
              <w:top w:val="nil"/>
              <w:left w:val="nil"/>
              <w:bottom w:val="single" w:sz="4" w:space="0" w:color="auto"/>
              <w:right w:val="nil"/>
            </w:tcBorders>
            <w:hideMark/>
          </w:tcPr>
          <w:p w14:paraId="1C2D2D9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050" w:type="dxa"/>
            <w:tcBorders>
              <w:top w:val="nil"/>
              <w:left w:val="nil"/>
              <w:bottom w:val="single" w:sz="4" w:space="0" w:color="auto"/>
              <w:right w:val="nil"/>
            </w:tcBorders>
            <w:hideMark/>
          </w:tcPr>
          <w:p w14:paraId="0C3B531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0.066</w:t>
            </w:r>
          </w:p>
        </w:tc>
        <w:tc>
          <w:tcPr>
            <w:tcW w:w="1050" w:type="dxa"/>
            <w:tcBorders>
              <w:top w:val="nil"/>
              <w:left w:val="nil"/>
              <w:bottom w:val="single" w:sz="4" w:space="0" w:color="auto"/>
              <w:right w:val="nil"/>
            </w:tcBorders>
            <w:hideMark/>
          </w:tcPr>
          <w:p w14:paraId="5AEEC97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tcBorders>
              <w:top w:val="nil"/>
              <w:left w:val="nil"/>
              <w:bottom w:val="single" w:sz="4" w:space="0" w:color="auto"/>
              <w:right w:val="nil"/>
            </w:tcBorders>
            <w:hideMark/>
          </w:tcPr>
          <w:p w14:paraId="15B45BC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0.974</w:t>
            </w:r>
          </w:p>
        </w:tc>
      </w:tr>
      <w:tr w:rsidR="00FA2393" w:rsidRPr="00FA2393" w14:paraId="3F58F5BE" w14:textId="77777777" w:rsidTr="00FA2393">
        <w:tc>
          <w:tcPr>
            <w:tcW w:w="8460" w:type="dxa"/>
            <w:gridSpan w:val="7"/>
            <w:tcBorders>
              <w:top w:val="single" w:sz="4" w:space="0" w:color="auto"/>
              <w:left w:val="nil"/>
              <w:bottom w:val="single" w:sz="4" w:space="0" w:color="auto"/>
              <w:right w:val="nil"/>
            </w:tcBorders>
            <w:hideMark/>
          </w:tcPr>
          <w:p w14:paraId="4ADDF04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With dementia (N = 268)</w:t>
            </w:r>
          </w:p>
        </w:tc>
      </w:tr>
      <w:tr w:rsidR="00FA2393" w:rsidRPr="00FA2393" w14:paraId="771073FF" w14:textId="77777777" w:rsidTr="00FA2393">
        <w:tc>
          <w:tcPr>
            <w:tcW w:w="2160" w:type="dxa"/>
            <w:tcBorders>
              <w:top w:val="single" w:sz="4" w:space="0" w:color="auto"/>
              <w:left w:val="nil"/>
              <w:bottom w:val="nil"/>
              <w:right w:val="nil"/>
            </w:tcBorders>
            <w:hideMark/>
          </w:tcPr>
          <w:p w14:paraId="52D85B34"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Outpatient service supply</w:t>
            </w:r>
          </w:p>
        </w:tc>
        <w:tc>
          <w:tcPr>
            <w:tcW w:w="1050" w:type="dxa"/>
            <w:tcBorders>
              <w:top w:val="single" w:sz="4" w:space="0" w:color="auto"/>
              <w:left w:val="nil"/>
              <w:bottom w:val="nil"/>
              <w:right w:val="nil"/>
            </w:tcBorders>
            <w:hideMark/>
          </w:tcPr>
          <w:p w14:paraId="512FCA4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-0.015</w:t>
            </w:r>
          </w:p>
        </w:tc>
        <w:tc>
          <w:tcPr>
            <w:tcW w:w="1050" w:type="dxa"/>
            <w:tcBorders>
              <w:top w:val="single" w:sz="4" w:space="0" w:color="auto"/>
              <w:left w:val="nil"/>
              <w:bottom w:val="nil"/>
              <w:right w:val="nil"/>
            </w:tcBorders>
            <w:hideMark/>
          </w:tcPr>
          <w:p w14:paraId="317017A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050" w:type="dxa"/>
            <w:tcBorders>
              <w:top w:val="single" w:sz="4" w:space="0" w:color="auto"/>
              <w:left w:val="nil"/>
              <w:bottom w:val="nil"/>
              <w:right w:val="nil"/>
            </w:tcBorders>
            <w:hideMark/>
          </w:tcPr>
          <w:p w14:paraId="34493AC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0.012</w:t>
            </w:r>
          </w:p>
        </w:tc>
        <w:tc>
          <w:tcPr>
            <w:tcW w:w="1050" w:type="dxa"/>
            <w:tcBorders>
              <w:top w:val="single" w:sz="4" w:space="0" w:color="auto"/>
              <w:left w:val="nil"/>
              <w:bottom w:val="nil"/>
              <w:right w:val="nil"/>
            </w:tcBorders>
            <w:hideMark/>
          </w:tcPr>
          <w:p w14:paraId="7861234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0.188</w:t>
            </w:r>
          </w:p>
        </w:tc>
        <w:tc>
          <w:tcPr>
            <w:tcW w:w="1050" w:type="dxa"/>
            <w:tcBorders>
              <w:top w:val="single" w:sz="4" w:space="0" w:color="auto"/>
              <w:left w:val="nil"/>
              <w:bottom w:val="nil"/>
              <w:right w:val="nil"/>
            </w:tcBorders>
            <w:hideMark/>
          </w:tcPr>
          <w:p w14:paraId="4193816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tcBorders>
              <w:top w:val="single" w:sz="4" w:space="0" w:color="auto"/>
              <w:left w:val="nil"/>
              <w:bottom w:val="nil"/>
              <w:right w:val="nil"/>
            </w:tcBorders>
            <w:hideMark/>
          </w:tcPr>
          <w:p w14:paraId="52D957F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0.776</w:t>
            </w:r>
          </w:p>
        </w:tc>
      </w:tr>
      <w:tr w:rsidR="00FA2393" w:rsidRPr="00FA2393" w14:paraId="6F59F4FA" w14:textId="77777777" w:rsidTr="00FA2393">
        <w:tc>
          <w:tcPr>
            <w:tcW w:w="2160" w:type="dxa"/>
            <w:tcBorders>
              <w:top w:val="nil"/>
              <w:left w:val="nil"/>
              <w:bottom w:val="single" w:sz="4" w:space="0" w:color="auto"/>
              <w:right w:val="nil"/>
            </w:tcBorders>
            <w:hideMark/>
          </w:tcPr>
          <w:p w14:paraId="4D3EF299"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Inpatient service supply</w:t>
            </w:r>
          </w:p>
        </w:tc>
        <w:tc>
          <w:tcPr>
            <w:tcW w:w="1050" w:type="dxa"/>
            <w:tcBorders>
              <w:top w:val="nil"/>
              <w:left w:val="nil"/>
              <w:bottom w:val="single" w:sz="4" w:space="0" w:color="auto"/>
              <w:right w:val="nil"/>
            </w:tcBorders>
            <w:hideMark/>
          </w:tcPr>
          <w:p w14:paraId="02EDC64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0.025</w:t>
            </w:r>
          </w:p>
        </w:tc>
        <w:tc>
          <w:tcPr>
            <w:tcW w:w="1050" w:type="dxa"/>
            <w:tcBorders>
              <w:top w:val="nil"/>
              <w:left w:val="nil"/>
              <w:bottom w:val="single" w:sz="4" w:space="0" w:color="auto"/>
              <w:right w:val="nil"/>
            </w:tcBorders>
            <w:hideMark/>
          </w:tcPr>
          <w:p w14:paraId="76DB69F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tcBorders>
              <w:top w:val="nil"/>
              <w:left w:val="nil"/>
              <w:bottom w:val="single" w:sz="4" w:space="0" w:color="auto"/>
              <w:right w:val="nil"/>
            </w:tcBorders>
            <w:hideMark/>
          </w:tcPr>
          <w:p w14:paraId="5A7C944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050" w:type="dxa"/>
            <w:tcBorders>
              <w:top w:val="nil"/>
              <w:left w:val="nil"/>
              <w:bottom w:val="single" w:sz="4" w:space="0" w:color="auto"/>
              <w:right w:val="nil"/>
            </w:tcBorders>
            <w:hideMark/>
          </w:tcPr>
          <w:p w14:paraId="7851421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0.730</w:t>
            </w:r>
          </w:p>
        </w:tc>
        <w:tc>
          <w:tcPr>
            <w:tcW w:w="1050" w:type="dxa"/>
            <w:tcBorders>
              <w:top w:val="nil"/>
              <w:left w:val="nil"/>
              <w:bottom w:val="single" w:sz="4" w:space="0" w:color="auto"/>
              <w:right w:val="nil"/>
            </w:tcBorders>
            <w:hideMark/>
          </w:tcPr>
          <w:p w14:paraId="6060F4B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-0.023</w:t>
            </w:r>
          </w:p>
        </w:tc>
        <w:tc>
          <w:tcPr>
            <w:tcW w:w="1050" w:type="dxa"/>
            <w:tcBorders>
              <w:top w:val="nil"/>
              <w:left w:val="nil"/>
              <w:bottom w:val="single" w:sz="4" w:space="0" w:color="auto"/>
              <w:right w:val="nil"/>
            </w:tcBorders>
            <w:hideMark/>
          </w:tcPr>
          <w:p w14:paraId="029A2A6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r>
      <w:tr w:rsidR="00FA2393" w:rsidRPr="00FA2393" w14:paraId="5D4A586C" w14:textId="77777777" w:rsidTr="00FA2393">
        <w:tc>
          <w:tcPr>
            <w:tcW w:w="8460" w:type="dxa"/>
            <w:gridSpan w:val="7"/>
            <w:tcBorders>
              <w:top w:val="single" w:sz="4" w:space="0" w:color="auto"/>
              <w:left w:val="nil"/>
              <w:bottom w:val="single" w:sz="4" w:space="0" w:color="auto"/>
              <w:right w:val="nil"/>
            </w:tcBorders>
            <w:hideMark/>
          </w:tcPr>
          <w:p w14:paraId="69181E2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Male (N = 664)</w:t>
            </w:r>
          </w:p>
        </w:tc>
      </w:tr>
      <w:tr w:rsidR="00FA2393" w:rsidRPr="00FA2393" w14:paraId="2C283682" w14:textId="77777777" w:rsidTr="00FA2393">
        <w:tc>
          <w:tcPr>
            <w:tcW w:w="2160" w:type="dxa"/>
            <w:tcBorders>
              <w:top w:val="single" w:sz="4" w:space="0" w:color="auto"/>
              <w:left w:val="nil"/>
              <w:bottom w:val="nil"/>
              <w:right w:val="nil"/>
            </w:tcBorders>
            <w:hideMark/>
          </w:tcPr>
          <w:p w14:paraId="082F0A4B"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Outpatient service supply</w:t>
            </w:r>
          </w:p>
        </w:tc>
        <w:tc>
          <w:tcPr>
            <w:tcW w:w="1050" w:type="dxa"/>
            <w:tcBorders>
              <w:top w:val="single" w:sz="4" w:space="0" w:color="auto"/>
              <w:left w:val="nil"/>
              <w:bottom w:val="nil"/>
              <w:right w:val="nil"/>
            </w:tcBorders>
            <w:hideMark/>
          </w:tcPr>
          <w:p w14:paraId="0FAA97A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050" w:type="dxa"/>
            <w:tcBorders>
              <w:top w:val="single" w:sz="4" w:space="0" w:color="auto"/>
              <w:left w:val="nil"/>
              <w:bottom w:val="nil"/>
              <w:right w:val="nil"/>
            </w:tcBorders>
            <w:hideMark/>
          </w:tcPr>
          <w:p w14:paraId="1E894C5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0.136</w:t>
            </w:r>
          </w:p>
        </w:tc>
        <w:tc>
          <w:tcPr>
            <w:tcW w:w="1050" w:type="dxa"/>
            <w:tcBorders>
              <w:top w:val="single" w:sz="4" w:space="0" w:color="auto"/>
              <w:left w:val="nil"/>
              <w:bottom w:val="nil"/>
              <w:right w:val="nil"/>
            </w:tcBorders>
            <w:hideMark/>
          </w:tcPr>
          <w:p w14:paraId="1442A1E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050" w:type="dxa"/>
            <w:tcBorders>
              <w:top w:val="single" w:sz="4" w:space="0" w:color="auto"/>
              <w:left w:val="nil"/>
              <w:bottom w:val="nil"/>
              <w:right w:val="nil"/>
            </w:tcBorders>
            <w:hideMark/>
          </w:tcPr>
          <w:p w14:paraId="5B4A4E9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0.026</w:t>
            </w:r>
          </w:p>
        </w:tc>
        <w:tc>
          <w:tcPr>
            <w:tcW w:w="1050" w:type="dxa"/>
            <w:tcBorders>
              <w:top w:val="single" w:sz="4" w:space="0" w:color="auto"/>
              <w:left w:val="nil"/>
              <w:bottom w:val="nil"/>
              <w:right w:val="nil"/>
            </w:tcBorders>
            <w:hideMark/>
          </w:tcPr>
          <w:p w14:paraId="4CB60D1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tcBorders>
              <w:top w:val="single" w:sz="4" w:space="0" w:color="auto"/>
              <w:left w:val="nil"/>
              <w:bottom w:val="nil"/>
              <w:right w:val="nil"/>
            </w:tcBorders>
            <w:hideMark/>
          </w:tcPr>
          <w:p w14:paraId="7F20E61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0.620</w:t>
            </w:r>
          </w:p>
        </w:tc>
      </w:tr>
      <w:tr w:rsidR="00FA2393" w:rsidRPr="00FA2393" w14:paraId="46BE8175" w14:textId="77777777" w:rsidTr="00FA2393">
        <w:tc>
          <w:tcPr>
            <w:tcW w:w="2160" w:type="dxa"/>
            <w:tcBorders>
              <w:top w:val="nil"/>
              <w:left w:val="nil"/>
              <w:bottom w:val="single" w:sz="4" w:space="0" w:color="auto"/>
              <w:right w:val="nil"/>
            </w:tcBorders>
            <w:hideMark/>
          </w:tcPr>
          <w:p w14:paraId="1DBFE295"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Inpatient service supply</w:t>
            </w:r>
          </w:p>
        </w:tc>
        <w:tc>
          <w:tcPr>
            <w:tcW w:w="1050" w:type="dxa"/>
            <w:tcBorders>
              <w:top w:val="nil"/>
              <w:left w:val="nil"/>
              <w:bottom w:val="single" w:sz="4" w:space="0" w:color="auto"/>
              <w:right w:val="nil"/>
            </w:tcBorders>
            <w:hideMark/>
          </w:tcPr>
          <w:p w14:paraId="6564414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0.013</w:t>
            </w:r>
          </w:p>
        </w:tc>
        <w:tc>
          <w:tcPr>
            <w:tcW w:w="1050" w:type="dxa"/>
            <w:tcBorders>
              <w:top w:val="nil"/>
              <w:left w:val="nil"/>
              <w:bottom w:val="single" w:sz="4" w:space="0" w:color="auto"/>
              <w:right w:val="nil"/>
            </w:tcBorders>
            <w:hideMark/>
          </w:tcPr>
          <w:p w14:paraId="5229F24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tcBorders>
              <w:top w:val="nil"/>
              <w:left w:val="nil"/>
              <w:bottom w:val="single" w:sz="4" w:space="0" w:color="auto"/>
              <w:right w:val="nil"/>
            </w:tcBorders>
            <w:hideMark/>
          </w:tcPr>
          <w:p w14:paraId="2E40565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050" w:type="dxa"/>
            <w:tcBorders>
              <w:top w:val="nil"/>
              <w:left w:val="nil"/>
              <w:bottom w:val="single" w:sz="4" w:space="0" w:color="auto"/>
              <w:right w:val="nil"/>
            </w:tcBorders>
            <w:hideMark/>
          </w:tcPr>
          <w:p w14:paraId="753C816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0.055</w:t>
            </w:r>
          </w:p>
        </w:tc>
        <w:tc>
          <w:tcPr>
            <w:tcW w:w="1050" w:type="dxa"/>
            <w:tcBorders>
              <w:top w:val="nil"/>
              <w:left w:val="nil"/>
              <w:bottom w:val="single" w:sz="4" w:space="0" w:color="auto"/>
              <w:right w:val="nil"/>
            </w:tcBorders>
            <w:hideMark/>
          </w:tcPr>
          <w:p w14:paraId="2D3CF85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050" w:type="dxa"/>
            <w:tcBorders>
              <w:top w:val="nil"/>
              <w:left w:val="nil"/>
              <w:bottom w:val="single" w:sz="4" w:space="0" w:color="auto"/>
              <w:right w:val="nil"/>
            </w:tcBorders>
            <w:hideMark/>
          </w:tcPr>
          <w:p w14:paraId="170F731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0.069</w:t>
            </w:r>
          </w:p>
        </w:tc>
      </w:tr>
      <w:tr w:rsidR="00FA2393" w:rsidRPr="00FA2393" w14:paraId="6A5A03CA" w14:textId="77777777" w:rsidTr="00FA2393">
        <w:tc>
          <w:tcPr>
            <w:tcW w:w="8460" w:type="dxa"/>
            <w:gridSpan w:val="7"/>
            <w:tcBorders>
              <w:top w:val="single" w:sz="4" w:space="0" w:color="auto"/>
              <w:left w:val="nil"/>
              <w:bottom w:val="single" w:sz="4" w:space="0" w:color="auto"/>
              <w:right w:val="nil"/>
            </w:tcBorders>
            <w:hideMark/>
          </w:tcPr>
          <w:p w14:paraId="1579526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Female (N = 639)</w:t>
            </w:r>
          </w:p>
        </w:tc>
      </w:tr>
      <w:tr w:rsidR="00FA2393" w:rsidRPr="00FA2393" w14:paraId="0ED12325" w14:textId="77777777" w:rsidTr="00FA2393">
        <w:tc>
          <w:tcPr>
            <w:tcW w:w="2160" w:type="dxa"/>
            <w:tcBorders>
              <w:top w:val="single" w:sz="4" w:space="0" w:color="auto"/>
              <w:left w:val="nil"/>
              <w:bottom w:val="nil"/>
              <w:right w:val="nil"/>
            </w:tcBorders>
            <w:hideMark/>
          </w:tcPr>
          <w:p w14:paraId="1A505133"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Outpatient service supply</w:t>
            </w:r>
          </w:p>
        </w:tc>
        <w:tc>
          <w:tcPr>
            <w:tcW w:w="1050" w:type="dxa"/>
            <w:tcBorders>
              <w:top w:val="single" w:sz="4" w:space="0" w:color="auto"/>
              <w:left w:val="nil"/>
              <w:bottom w:val="nil"/>
              <w:right w:val="nil"/>
            </w:tcBorders>
            <w:hideMark/>
          </w:tcPr>
          <w:p w14:paraId="1647CBD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050" w:type="dxa"/>
            <w:tcBorders>
              <w:top w:val="single" w:sz="4" w:space="0" w:color="auto"/>
              <w:left w:val="nil"/>
              <w:bottom w:val="nil"/>
              <w:right w:val="nil"/>
            </w:tcBorders>
            <w:hideMark/>
          </w:tcPr>
          <w:p w14:paraId="5B631D4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0.199</w:t>
            </w:r>
          </w:p>
        </w:tc>
        <w:tc>
          <w:tcPr>
            <w:tcW w:w="1050" w:type="dxa"/>
            <w:tcBorders>
              <w:top w:val="single" w:sz="4" w:space="0" w:color="auto"/>
              <w:left w:val="nil"/>
              <w:bottom w:val="nil"/>
              <w:right w:val="nil"/>
            </w:tcBorders>
            <w:hideMark/>
          </w:tcPr>
          <w:p w14:paraId="04669BB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050" w:type="dxa"/>
            <w:tcBorders>
              <w:top w:val="single" w:sz="4" w:space="0" w:color="auto"/>
              <w:left w:val="nil"/>
              <w:bottom w:val="nil"/>
              <w:right w:val="nil"/>
            </w:tcBorders>
            <w:hideMark/>
          </w:tcPr>
          <w:p w14:paraId="6F705F1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0.248</w:t>
            </w:r>
          </w:p>
        </w:tc>
        <w:tc>
          <w:tcPr>
            <w:tcW w:w="1050" w:type="dxa"/>
            <w:tcBorders>
              <w:top w:val="single" w:sz="4" w:space="0" w:color="auto"/>
              <w:left w:val="nil"/>
              <w:bottom w:val="nil"/>
              <w:right w:val="nil"/>
            </w:tcBorders>
            <w:hideMark/>
          </w:tcPr>
          <w:p w14:paraId="44FC1A1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050" w:type="dxa"/>
            <w:tcBorders>
              <w:top w:val="single" w:sz="4" w:space="0" w:color="auto"/>
              <w:left w:val="nil"/>
              <w:bottom w:val="nil"/>
              <w:right w:val="nil"/>
            </w:tcBorders>
            <w:hideMark/>
          </w:tcPr>
          <w:p w14:paraId="1681DB9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0.591</w:t>
            </w:r>
          </w:p>
        </w:tc>
      </w:tr>
      <w:tr w:rsidR="00FA2393" w:rsidRPr="00FA2393" w14:paraId="109CFD74" w14:textId="77777777" w:rsidTr="00FA2393">
        <w:tc>
          <w:tcPr>
            <w:tcW w:w="2160" w:type="dxa"/>
            <w:tcBorders>
              <w:top w:val="nil"/>
              <w:left w:val="nil"/>
              <w:bottom w:val="single" w:sz="4" w:space="0" w:color="auto"/>
              <w:right w:val="nil"/>
            </w:tcBorders>
            <w:hideMark/>
          </w:tcPr>
          <w:p w14:paraId="083DF146"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Inpatient service supply</w:t>
            </w:r>
          </w:p>
        </w:tc>
        <w:tc>
          <w:tcPr>
            <w:tcW w:w="1050" w:type="dxa"/>
            <w:tcBorders>
              <w:top w:val="nil"/>
              <w:left w:val="nil"/>
              <w:bottom w:val="single" w:sz="4" w:space="0" w:color="auto"/>
              <w:right w:val="nil"/>
            </w:tcBorders>
            <w:hideMark/>
          </w:tcPr>
          <w:p w14:paraId="4B5DD21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0.017</w:t>
            </w:r>
          </w:p>
        </w:tc>
        <w:tc>
          <w:tcPr>
            <w:tcW w:w="1050" w:type="dxa"/>
            <w:tcBorders>
              <w:top w:val="nil"/>
              <w:left w:val="nil"/>
              <w:bottom w:val="single" w:sz="4" w:space="0" w:color="auto"/>
              <w:right w:val="nil"/>
            </w:tcBorders>
            <w:hideMark/>
          </w:tcPr>
          <w:p w14:paraId="69507C2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tcBorders>
              <w:top w:val="nil"/>
              <w:left w:val="nil"/>
              <w:bottom w:val="single" w:sz="4" w:space="0" w:color="auto"/>
              <w:right w:val="nil"/>
            </w:tcBorders>
            <w:hideMark/>
          </w:tcPr>
          <w:p w14:paraId="4FB8349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050" w:type="dxa"/>
            <w:tcBorders>
              <w:top w:val="nil"/>
              <w:left w:val="nil"/>
              <w:bottom w:val="single" w:sz="4" w:space="0" w:color="auto"/>
              <w:right w:val="nil"/>
            </w:tcBorders>
            <w:hideMark/>
          </w:tcPr>
          <w:p w14:paraId="68C777A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0.014</w:t>
            </w:r>
          </w:p>
        </w:tc>
        <w:tc>
          <w:tcPr>
            <w:tcW w:w="1050" w:type="dxa"/>
            <w:tcBorders>
              <w:top w:val="nil"/>
              <w:left w:val="nil"/>
              <w:bottom w:val="single" w:sz="4" w:space="0" w:color="auto"/>
              <w:right w:val="nil"/>
            </w:tcBorders>
            <w:hideMark/>
          </w:tcPr>
          <w:p w14:paraId="4746FF5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-0.011</w:t>
            </w:r>
          </w:p>
        </w:tc>
        <w:tc>
          <w:tcPr>
            <w:tcW w:w="1050" w:type="dxa"/>
            <w:tcBorders>
              <w:top w:val="nil"/>
              <w:left w:val="nil"/>
              <w:bottom w:val="single" w:sz="4" w:space="0" w:color="auto"/>
              <w:right w:val="nil"/>
            </w:tcBorders>
            <w:hideMark/>
          </w:tcPr>
          <w:p w14:paraId="09BF729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r>
      <w:tr w:rsidR="00FA2393" w:rsidRPr="00FA2393" w14:paraId="23806AF3" w14:textId="77777777" w:rsidTr="00FA2393">
        <w:tc>
          <w:tcPr>
            <w:tcW w:w="8460" w:type="dxa"/>
            <w:gridSpan w:val="7"/>
            <w:tcBorders>
              <w:top w:val="single" w:sz="4" w:space="0" w:color="auto"/>
              <w:left w:val="nil"/>
              <w:bottom w:val="single" w:sz="4" w:space="0" w:color="auto"/>
              <w:right w:val="nil"/>
            </w:tcBorders>
            <w:hideMark/>
          </w:tcPr>
          <w:p w14:paraId="71B40DC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Without care grade (N = 890)</w:t>
            </w:r>
          </w:p>
        </w:tc>
      </w:tr>
      <w:tr w:rsidR="00FA2393" w:rsidRPr="00FA2393" w14:paraId="72E8CFDB" w14:textId="77777777" w:rsidTr="00FA2393">
        <w:tc>
          <w:tcPr>
            <w:tcW w:w="2160" w:type="dxa"/>
            <w:tcBorders>
              <w:top w:val="single" w:sz="4" w:space="0" w:color="auto"/>
              <w:left w:val="nil"/>
              <w:bottom w:val="nil"/>
              <w:right w:val="nil"/>
            </w:tcBorders>
            <w:hideMark/>
          </w:tcPr>
          <w:p w14:paraId="1093AAD8"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Outpatient service supply</w:t>
            </w:r>
          </w:p>
        </w:tc>
        <w:tc>
          <w:tcPr>
            <w:tcW w:w="1050" w:type="dxa"/>
            <w:tcBorders>
              <w:top w:val="single" w:sz="4" w:space="0" w:color="auto"/>
              <w:left w:val="nil"/>
              <w:bottom w:val="nil"/>
              <w:right w:val="nil"/>
            </w:tcBorders>
            <w:hideMark/>
          </w:tcPr>
          <w:p w14:paraId="0C0DEDA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050" w:type="dxa"/>
            <w:tcBorders>
              <w:top w:val="single" w:sz="4" w:space="0" w:color="auto"/>
              <w:left w:val="nil"/>
              <w:bottom w:val="nil"/>
              <w:right w:val="nil"/>
            </w:tcBorders>
            <w:hideMark/>
          </w:tcPr>
          <w:p w14:paraId="0D62B03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050" w:type="dxa"/>
            <w:tcBorders>
              <w:top w:val="single" w:sz="4" w:space="0" w:color="auto"/>
              <w:left w:val="nil"/>
              <w:bottom w:val="nil"/>
              <w:right w:val="nil"/>
            </w:tcBorders>
            <w:hideMark/>
          </w:tcPr>
          <w:p w14:paraId="1E0F806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tcBorders>
              <w:top w:val="single" w:sz="4" w:space="0" w:color="auto"/>
              <w:left w:val="nil"/>
              <w:bottom w:val="nil"/>
              <w:right w:val="nil"/>
            </w:tcBorders>
            <w:hideMark/>
          </w:tcPr>
          <w:p w14:paraId="53BCE4E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0.182</w:t>
            </w:r>
          </w:p>
        </w:tc>
        <w:tc>
          <w:tcPr>
            <w:tcW w:w="1050" w:type="dxa"/>
            <w:tcBorders>
              <w:top w:val="single" w:sz="4" w:space="0" w:color="auto"/>
              <w:left w:val="nil"/>
              <w:bottom w:val="nil"/>
              <w:right w:val="nil"/>
            </w:tcBorders>
            <w:hideMark/>
          </w:tcPr>
          <w:p w14:paraId="10A544D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tcBorders>
              <w:top w:val="single" w:sz="4" w:space="0" w:color="auto"/>
              <w:left w:val="nil"/>
              <w:bottom w:val="nil"/>
              <w:right w:val="nil"/>
            </w:tcBorders>
            <w:hideMark/>
          </w:tcPr>
          <w:p w14:paraId="2F4E88F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0.197</w:t>
            </w:r>
          </w:p>
        </w:tc>
      </w:tr>
      <w:tr w:rsidR="00FA2393" w:rsidRPr="00FA2393" w14:paraId="5C334102" w14:textId="77777777" w:rsidTr="00FA2393">
        <w:tc>
          <w:tcPr>
            <w:tcW w:w="2160" w:type="dxa"/>
            <w:tcBorders>
              <w:top w:val="nil"/>
              <w:left w:val="nil"/>
              <w:bottom w:val="single" w:sz="4" w:space="0" w:color="auto"/>
              <w:right w:val="nil"/>
            </w:tcBorders>
            <w:hideMark/>
          </w:tcPr>
          <w:p w14:paraId="687AEEE1"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Inpatient service supply</w:t>
            </w:r>
          </w:p>
        </w:tc>
        <w:tc>
          <w:tcPr>
            <w:tcW w:w="1050" w:type="dxa"/>
            <w:tcBorders>
              <w:top w:val="nil"/>
              <w:left w:val="nil"/>
              <w:bottom w:val="single" w:sz="4" w:space="0" w:color="auto"/>
              <w:right w:val="nil"/>
            </w:tcBorders>
            <w:hideMark/>
          </w:tcPr>
          <w:p w14:paraId="4F2B245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050" w:type="dxa"/>
            <w:tcBorders>
              <w:top w:val="nil"/>
              <w:left w:val="nil"/>
              <w:bottom w:val="single" w:sz="4" w:space="0" w:color="auto"/>
              <w:right w:val="nil"/>
            </w:tcBorders>
            <w:hideMark/>
          </w:tcPr>
          <w:p w14:paraId="451E58C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050" w:type="dxa"/>
            <w:tcBorders>
              <w:top w:val="nil"/>
              <w:left w:val="nil"/>
              <w:bottom w:val="single" w:sz="4" w:space="0" w:color="auto"/>
              <w:right w:val="nil"/>
            </w:tcBorders>
            <w:hideMark/>
          </w:tcPr>
          <w:p w14:paraId="38409A1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050" w:type="dxa"/>
            <w:tcBorders>
              <w:top w:val="nil"/>
              <w:left w:val="nil"/>
              <w:bottom w:val="single" w:sz="4" w:space="0" w:color="auto"/>
              <w:right w:val="nil"/>
            </w:tcBorders>
            <w:hideMark/>
          </w:tcPr>
          <w:p w14:paraId="21644F5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0.147</w:t>
            </w:r>
          </w:p>
        </w:tc>
        <w:tc>
          <w:tcPr>
            <w:tcW w:w="1050" w:type="dxa"/>
            <w:tcBorders>
              <w:top w:val="nil"/>
              <w:left w:val="nil"/>
              <w:bottom w:val="single" w:sz="4" w:space="0" w:color="auto"/>
              <w:right w:val="nil"/>
            </w:tcBorders>
            <w:hideMark/>
          </w:tcPr>
          <w:p w14:paraId="2045183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050" w:type="dxa"/>
            <w:tcBorders>
              <w:top w:val="nil"/>
              <w:left w:val="nil"/>
              <w:bottom w:val="single" w:sz="4" w:space="0" w:color="auto"/>
              <w:right w:val="nil"/>
            </w:tcBorders>
            <w:hideMark/>
          </w:tcPr>
          <w:p w14:paraId="15BF051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r>
      <w:tr w:rsidR="00FA2393" w:rsidRPr="00FA2393" w14:paraId="204C1ADF" w14:textId="77777777" w:rsidTr="00FA2393">
        <w:tc>
          <w:tcPr>
            <w:tcW w:w="8460" w:type="dxa"/>
            <w:gridSpan w:val="7"/>
            <w:tcBorders>
              <w:top w:val="single" w:sz="4" w:space="0" w:color="auto"/>
              <w:left w:val="nil"/>
              <w:bottom w:val="single" w:sz="4" w:space="0" w:color="auto"/>
              <w:right w:val="nil"/>
            </w:tcBorders>
            <w:hideMark/>
          </w:tcPr>
          <w:p w14:paraId="3551DB0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With care grade (N = 413)</w:t>
            </w:r>
          </w:p>
        </w:tc>
      </w:tr>
      <w:tr w:rsidR="00FA2393" w:rsidRPr="00FA2393" w14:paraId="7B32FB39" w14:textId="77777777" w:rsidTr="00FA2393">
        <w:tc>
          <w:tcPr>
            <w:tcW w:w="2160" w:type="dxa"/>
            <w:tcBorders>
              <w:top w:val="single" w:sz="4" w:space="0" w:color="auto"/>
              <w:left w:val="nil"/>
              <w:bottom w:val="nil"/>
              <w:right w:val="nil"/>
            </w:tcBorders>
            <w:hideMark/>
          </w:tcPr>
          <w:p w14:paraId="22AF9E80"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Outpatient service supply</w:t>
            </w:r>
          </w:p>
        </w:tc>
        <w:tc>
          <w:tcPr>
            <w:tcW w:w="1050" w:type="dxa"/>
            <w:tcBorders>
              <w:top w:val="single" w:sz="4" w:space="0" w:color="auto"/>
              <w:left w:val="nil"/>
              <w:bottom w:val="nil"/>
              <w:right w:val="nil"/>
            </w:tcBorders>
            <w:hideMark/>
          </w:tcPr>
          <w:p w14:paraId="466064E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-0.011</w:t>
            </w:r>
          </w:p>
        </w:tc>
        <w:tc>
          <w:tcPr>
            <w:tcW w:w="1050" w:type="dxa"/>
            <w:tcBorders>
              <w:top w:val="single" w:sz="4" w:space="0" w:color="auto"/>
              <w:left w:val="nil"/>
              <w:bottom w:val="nil"/>
              <w:right w:val="nil"/>
            </w:tcBorders>
            <w:hideMark/>
          </w:tcPr>
          <w:p w14:paraId="7B0BA19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0.263</w:t>
            </w:r>
          </w:p>
        </w:tc>
        <w:tc>
          <w:tcPr>
            <w:tcW w:w="1050" w:type="dxa"/>
            <w:tcBorders>
              <w:top w:val="single" w:sz="4" w:space="0" w:color="auto"/>
              <w:left w:val="nil"/>
              <w:bottom w:val="nil"/>
              <w:right w:val="nil"/>
            </w:tcBorders>
            <w:hideMark/>
          </w:tcPr>
          <w:p w14:paraId="08424BF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0.015</w:t>
            </w:r>
          </w:p>
        </w:tc>
        <w:tc>
          <w:tcPr>
            <w:tcW w:w="1050" w:type="dxa"/>
            <w:tcBorders>
              <w:top w:val="single" w:sz="4" w:space="0" w:color="auto"/>
              <w:left w:val="nil"/>
              <w:bottom w:val="nil"/>
              <w:right w:val="nil"/>
            </w:tcBorders>
            <w:hideMark/>
          </w:tcPr>
          <w:p w14:paraId="7268E1D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0.014</w:t>
            </w:r>
          </w:p>
        </w:tc>
        <w:tc>
          <w:tcPr>
            <w:tcW w:w="1050" w:type="dxa"/>
            <w:tcBorders>
              <w:top w:val="single" w:sz="4" w:space="0" w:color="auto"/>
              <w:left w:val="nil"/>
              <w:bottom w:val="nil"/>
              <w:right w:val="nil"/>
            </w:tcBorders>
            <w:hideMark/>
          </w:tcPr>
          <w:p w14:paraId="3CAC441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050" w:type="dxa"/>
            <w:tcBorders>
              <w:top w:val="single" w:sz="4" w:space="0" w:color="auto"/>
              <w:left w:val="nil"/>
              <w:bottom w:val="nil"/>
              <w:right w:val="nil"/>
            </w:tcBorders>
            <w:hideMark/>
          </w:tcPr>
          <w:p w14:paraId="37BD7B6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0.561</w:t>
            </w:r>
          </w:p>
        </w:tc>
      </w:tr>
      <w:tr w:rsidR="00FA2393" w:rsidRPr="00FA2393" w14:paraId="6074878F" w14:textId="77777777" w:rsidTr="00FA2393">
        <w:tc>
          <w:tcPr>
            <w:tcW w:w="2160" w:type="dxa"/>
            <w:tcBorders>
              <w:top w:val="nil"/>
              <w:left w:val="nil"/>
              <w:bottom w:val="single" w:sz="4" w:space="0" w:color="auto"/>
              <w:right w:val="nil"/>
            </w:tcBorders>
            <w:hideMark/>
          </w:tcPr>
          <w:p w14:paraId="6DDCA261"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Inpatient service supply</w:t>
            </w:r>
          </w:p>
        </w:tc>
        <w:tc>
          <w:tcPr>
            <w:tcW w:w="1050" w:type="dxa"/>
            <w:tcBorders>
              <w:top w:val="nil"/>
              <w:left w:val="nil"/>
              <w:bottom w:val="single" w:sz="4" w:space="0" w:color="auto"/>
              <w:right w:val="nil"/>
            </w:tcBorders>
            <w:hideMark/>
          </w:tcPr>
          <w:p w14:paraId="444E5A0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0.038</w:t>
            </w:r>
          </w:p>
        </w:tc>
        <w:tc>
          <w:tcPr>
            <w:tcW w:w="1050" w:type="dxa"/>
            <w:tcBorders>
              <w:top w:val="nil"/>
              <w:left w:val="nil"/>
              <w:bottom w:val="single" w:sz="4" w:space="0" w:color="auto"/>
              <w:right w:val="nil"/>
            </w:tcBorders>
            <w:hideMark/>
          </w:tcPr>
          <w:p w14:paraId="0CDF881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tcBorders>
              <w:top w:val="nil"/>
              <w:left w:val="nil"/>
              <w:bottom w:val="single" w:sz="4" w:space="0" w:color="auto"/>
              <w:right w:val="nil"/>
            </w:tcBorders>
            <w:hideMark/>
          </w:tcPr>
          <w:p w14:paraId="7674CF3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-0.019</w:t>
            </w:r>
          </w:p>
        </w:tc>
        <w:tc>
          <w:tcPr>
            <w:tcW w:w="1050" w:type="dxa"/>
            <w:tcBorders>
              <w:top w:val="nil"/>
              <w:left w:val="nil"/>
              <w:bottom w:val="single" w:sz="4" w:space="0" w:color="auto"/>
              <w:right w:val="nil"/>
            </w:tcBorders>
            <w:hideMark/>
          </w:tcPr>
          <w:p w14:paraId="7A3F652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050" w:type="dxa"/>
            <w:tcBorders>
              <w:top w:val="nil"/>
              <w:left w:val="nil"/>
              <w:bottom w:val="single" w:sz="4" w:space="0" w:color="auto"/>
              <w:right w:val="nil"/>
            </w:tcBorders>
            <w:hideMark/>
          </w:tcPr>
          <w:p w14:paraId="6D1844B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-0.019</w:t>
            </w:r>
          </w:p>
        </w:tc>
        <w:tc>
          <w:tcPr>
            <w:tcW w:w="1050" w:type="dxa"/>
            <w:tcBorders>
              <w:top w:val="nil"/>
              <w:left w:val="nil"/>
              <w:bottom w:val="single" w:sz="4" w:space="0" w:color="auto"/>
              <w:right w:val="nil"/>
            </w:tcBorders>
            <w:hideMark/>
          </w:tcPr>
          <w:p w14:paraId="5711C9B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r>
      <w:tr w:rsidR="00FA2393" w:rsidRPr="007C02FF" w14:paraId="0E11CA5A" w14:textId="77777777" w:rsidTr="00FA2393">
        <w:tc>
          <w:tcPr>
            <w:tcW w:w="8460" w:type="dxa"/>
            <w:gridSpan w:val="7"/>
            <w:tcBorders>
              <w:top w:val="single" w:sz="4" w:space="0" w:color="auto"/>
              <w:left w:val="nil"/>
              <w:bottom w:val="nil"/>
              <w:right w:val="nil"/>
            </w:tcBorders>
            <w:hideMark/>
          </w:tcPr>
          <w:p w14:paraId="7181727B" w14:textId="05B64E4E" w:rsidR="00FA2393" w:rsidRPr="00FA2393" w:rsidRDefault="00FA2393" w:rsidP="00595923">
            <w:pPr>
              <w:widowControl w:val="0"/>
              <w:autoSpaceDE w:val="0"/>
              <w:autoSpaceDN w:val="0"/>
              <w:adjustRightInd w:val="0"/>
              <w:spacing w:after="0" w:line="240" w:lineRule="auto"/>
              <w:jc w:val="both"/>
              <w:rPr>
                <w:rFonts w:ascii="Garamond" w:eastAsia="Calibri" w:hAnsi="Garamond" w:cs="Times New Roman"/>
                <w:sz w:val="24"/>
                <w:szCs w:val="24"/>
                <w:lang w:val="en-US"/>
              </w:rPr>
            </w:pPr>
            <w:r w:rsidRPr="00D758AA">
              <w:rPr>
                <w:rFonts w:ascii="Garamond" w:eastAsia="Calibri" w:hAnsi="Garamond" w:cs="Times New Roman"/>
                <w:iCs/>
                <w:sz w:val="24"/>
                <w:szCs w:val="24"/>
                <w:lang w:val="en-US"/>
              </w:rPr>
              <w:t>Notes: All</w:t>
            </w:r>
            <w:r w:rsidRPr="00FA2393">
              <w:rPr>
                <w:rFonts w:ascii="Garamond" w:eastAsia="Calibri" w:hAnsi="Garamond" w:cs="Times New Roman"/>
                <w:sz w:val="24"/>
                <w:szCs w:val="24"/>
                <w:lang w:val="en-US"/>
              </w:rPr>
              <w:t xml:space="preserve"> models control for care grade, ADL and IADL dependencies, valuation of autonom</w:t>
            </w:r>
            <w:r w:rsidR="009705BB">
              <w:rPr>
                <w:rFonts w:ascii="Garamond" w:eastAsia="Calibri" w:hAnsi="Garamond" w:cs="Times New Roman"/>
                <w:sz w:val="24"/>
                <w:szCs w:val="24"/>
                <w:lang w:val="en-US"/>
              </w:rPr>
              <w:t>y</w:t>
            </w:r>
            <w:r w:rsidRPr="00FA2393">
              <w:rPr>
                <w:rFonts w:ascii="Garamond" w:eastAsia="Calibri" w:hAnsi="Garamond" w:cs="Times New Roman"/>
                <w:sz w:val="24"/>
                <w:szCs w:val="24"/>
                <w:lang w:val="en-US"/>
              </w:rPr>
              <w:t>, participation, and privacy, relationship status, number of children, NW contacts, population sha</w:t>
            </w:r>
            <w:r w:rsidR="00595923">
              <w:rPr>
                <w:rFonts w:ascii="Garamond" w:eastAsia="Calibri" w:hAnsi="Garamond" w:cs="Times New Roman"/>
                <w:sz w:val="24"/>
                <w:szCs w:val="24"/>
                <w:lang w:val="en-US"/>
              </w:rPr>
              <w:t>re aged 65+ in county, and sex.</w:t>
            </w:r>
          </w:p>
        </w:tc>
      </w:tr>
    </w:tbl>
    <w:p w14:paraId="5B8CA74D" w14:textId="77777777" w:rsidR="00FA2393" w:rsidRPr="00FA2393" w:rsidRDefault="00FA2393" w:rsidP="00FA2393">
      <w:pPr>
        <w:spacing w:after="0" w:line="276" w:lineRule="auto"/>
        <w:rPr>
          <w:rFonts w:ascii="Garamond" w:eastAsia="Calibri" w:hAnsi="Garamond" w:cs="Times New Roman"/>
          <w:sz w:val="24"/>
          <w:szCs w:val="24"/>
          <w:lang w:val="en-GB"/>
        </w:rPr>
        <w:sectPr w:rsidR="00FA2393" w:rsidRPr="00FA2393">
          <w:pgSz w:w="11906" w:h="16838"/>
          <w:pgMar w:top="1418" w:right="1701" w:bottom="1418" w:left="1701" w:header="709" w:footer="709" w:gutter="0"/>
          <w:cols w:space="720"/>
        </w:sectPr>
      </w:pPr>
    </w:p>
    <w:tbl>
      <w:tblPr>
        <w:tblW w:w="8460" w:type="dxa"/>
        <w:tblLayout w:type="fixed"/>
        <w:tblLook w:val="04A0" w:firstRow="1" w:lastRow="0" w:firstColumn="1" w:lastColumn="0" w:noHBand="0" w:noVBand="1"/>
      </w:tblPr>
      <w:tblGrid>
        <w:gridCol w:w="2160"/>
        <w:gridCol w:w="1050"/>
        <w:gridCol w:w="1050"/>
        <w:gridCol w:w="1050"/>
        <w:gridCol w:w="1050"/>
        <w:gridCol w:w="1050"/>
        <w:gridCol w:w="1050"/>
      </w:tblGrid>
      <w:tr w:rsidR="00FA2393" w:rsidRPr="007C02FF" w14:paraId="63827296" w14:textId="77777777" w:rsidTr="00595923">
        <w:tc>
          <w:tcPr>
            <w:tcW w:w="8460" w:type="dxa"/>
            <w:gridSpan w:val="7"/>
            <w:tcBorders>
              <w:top w:val="nil"/>
              <w:left w:val="nil"/>
              <w:bottom w:val="single" w:sz="4" w:space="0" w:color="auto"/>
              <w:right w:val="nil"/>
            </w:tcBorders>
            <w:hideMark/>
          </w:tcPr>
          <w:p w14:paraId="3DFB0F30" w14:textId="0151EA9F" w:rsidR="00FA2393" w:rsidRPr="00FA2393" w:rsidRDefault="00FA2393" w:rsidP="00FA2393">
            <w:pPr>
              <w:widowControl w:val="0"/>
              <w:autoSpaceDE w:val="0"/>
              <w:autoSpaceDN w:val="0"/>
              <w:adjustRightInd w:val="0"/>
              <w:spacing w:after="0" w:line="240" w:lineRule="auto"/>
              <w:jc w:val="both"/>
              <w:rPr>
                <w:rFonts w:ascii="Garamond" w:eastAsia="Calibri" w:hAnsi="Garamond" w:cs="Times New Roman"/>
                <w:sz w:val="24"/>
                <w:szCs w:val="24"/>
                <w:lang w:val="en-US"/>
              </w:rPr>
            </w:pPr>
            <w:r>
              <w:rPr>
                <w:rFonts w:ascii="Garamond" w:eastAsia="Calibri" w:hAnsi="Garamond" w:cs="Times New Roman"/>
                <w:sz w:val="24"/>
                <w:szCs w:val="24"/>
                <w:lang w:val="en-US"/>
              </w:rPr>
              <w:lastRenderedPageBreak/>
              <w:t>Table O3</w:t>
            </w:r>
            <w:r w:rsidRPr="00FA2393">
              <w:rPr>
                <w:rFonts w:ascii="Garamond" w:eastAsia="Calibri" w:hAnsi="Garamond" w:cs="Times New Roman"/>
                <w:sz w:val="24"/>
                <w:szCs w:val="24"/>
                <w:lang w:val="en-US"/>
              </w:rPr>
              <w:t>: Average marginal effects (</w:t>
            </w:r>
            <w:r w:rsidRPr="00FA2393">
              <w:rPr>
                <w:rFonts w:ascii="Garamond" w:eastAsia="Calibri" w:hAnsi="Garamond" w:cs="Times New Roman"/>
                <w:sz w:val="24"/>
                <w:szCs w:val="24"/>
                <w:lang w:val="en-GB"/>
              </w:rPr>
              <w:t>robustness</w:t>
            </w:r>
            <w:r w:rsidRPr="00FA2393">
              <w:rPr>
                <w:rFonts w:ascii="Garamond" w:eastAsia="Calibri" w:hAnsi="Garamond" w:cs="Times New Roman"/>
                <w:sz w:val="24"/>
                <w:szCs w:val="24"/>
                <w:lang w:val="en-US"/>
              </w:rPr>
              <w:t xml:space="preserve"> check </w:t>
            </w:r>
            <w:r w:rsidR="00AF14C8">
              <w:rPr>
                <w:rFonts w:ascii="Garamond" w:eastAsia="Calibri" w:hAnsi="Garamond" w:cs="Times New Roman"/>
                <w:sz w:val="24"/>
                <w:szCs w:val="24"/>
                <w:lang w:val="en-US"/>
              </w:rPr>
              <w:t>3</w:t>
            </w:r>
            <w:r w:rsidRPr="00FA2393">
              <w:rPr>
                <w:rFonts w:ascii="Garamond" w:eastAsia="Calibri" w:hAnsi="Garamond" w:cs="Times New Roman"/>
                <w:sz w:val="24"/>
                <w:szCs w:val="24"/>
                <w:lang w:val="en-US"/>
              </w:rPr>
              <w:t xml:space="preserve">: LTC service supply in </w:t>
            </w:r>
            <w:r w:rsidRPr="00FA2393">
              <w:rPr>
                <w:rFonts w:ascii="Garamond" w:eastAsia="Calibri" w:hAnsi="Garamond" w:cs="Times New Roman"/>
                <w:sz w:val="24"/>
                <w:szCs w:val="24"/>
                <w:lang w:val="en-GB"/>
              </w:rPr>
              <w:t>neighbouring</w:t>
            </w:r>
            <w:r w:rsidRPr="00FA2393">
              <w:rPr>
                <w:rFonts w:ascii="Garamond" w:eastAsia="Calibri" w:hAnsi="Garamond" w:cs="Times New Roman"/>
                <w:sz w:val="24"/>
                <w:szCs w:val="24"/>
                <w:lang w:val="en-US"/>
              </w:rPr>
              <w:t xml:space="preserve"> counties)</w:t>
            </w:r>
          </w:p>
        </w:tc>
      </w:tr>
      <w:tr w:rsidR="00FA2393" w:rsidRPr="00FA2393" w14:paraId="0ED83B55" w14:textId="77777777" w:rsidTr="00595923">
        <w:tc>
          <w:tcPr>
            <w:tcW w:w="2160" w:type="dxa"/>
            <w:tcBorders>
              <w:top w:val="single" w:sz="4" w:space="0" w:color="auto"/>
              <w:left w:val="nil"/>
              <w:bottom w:val="nil"/>
              <w:right w:val="nil"/>
            </w:tcBorders>
          </w:tcPr>
          <w:p w14:paraId="1E72CFA4"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p>
        </w:tc>
        <w:tc>
          <w:tcPr>
            <w:tcW w:w="2100" w:type="dxa"/>
            <w:gridSpan w:val="2"/>
            <w:tcBorders>
              <w:top w:val="single" w:sz="4" w:space="0" w:color="auto"/>
              <w:left w:val="nil"/>
              <w:bottom w:val="nil"/>
              <w:right w:val="nil"/>
            </w:tcBorders>
            <w:hideMark/>
          </w:tcPr>
          <w:p w14:paraId="359496A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IC</w:t>
            </w:r>
          </w:p>
        </w:tc>
        <w:tc>
          <w:tcPr>
            <w:tcW w:w="2100" w:type="dxa"/>
            <w:gridSpan w:val="2"/>
            <w:tcBorders>
              <w:top w:val="single" w:sz="4" w:space="0" w:color="auto"/>
              <w:left w:val="nil"/>
              <w:bottom w:val="nil"/>
              <w:right w:val="nil"/>
            </w:tcBorders>
            <w:hideMark/>
          </w:tcPr>
          <w:p w14:paraId="20654B5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OC</w:t>
            </w:r>
          </w:p>
        </w:tc>
        <w:tc>
          <w:tcPr>
            <w:tcW w:w="2100" w:type="dxa"/>
            <w:gridSpan w:val="2"/>
            <w:tcBorders>
              <w:top w:val="single" w:sz="4" w:space="0" w:color="auto"/>
              <w:left w:val="nil"/>
              <w:bottom w:val="nil"/>
              <w:right w:val="nil"/>
            </w:tcBorders>
            <w:hideMark/>
          </w:tcPr>
          <w:p w14:paraId="6908BA1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WOC</w:t>
            </w:r>
          </w:p>
        </w:tc>
      </w:tr>
      <w:tr w:rsidR="00FA2393" w:rsidRPr="00FA2393" w14:paraId="7FB97891" w14:textId="77777777" w:rsidTr="00595923">
        <w:tc>
          <w:tcPr>
            <w:tcW w:w="2160" w:type="dxa"/>
            <w:tcBorders>
              <w:top w:val="nil"/>
              <w:left w:val="nil"/>
              <w:bottom w:val="single" w:sz="4" w:space="0" w:color="auto"/>
              <w:right w:val="nil"/>
            </w:tcBorders>
          </w:tcPr>
          <w:p w14:paraId="1868F516"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p>
        </w:tc>
        <w:tc>
          <w:tcPr>
            <w:tcW w:w="1050" w:type="dxa"/>
            <w:tcBorders>
              <w:top w:val="nil"/>
              <w:left w:val="nil"/>
              <w:bottom w:val="single" w:sz="4" w:space="0" w:color="auto"/>
              <w:right w:val="nil"/>
            </w:tcBorders>
            <w:hideMark/>
          </w:tcPr>
          <w:p w14:paraId="0D8F123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050" w:type="dxa"/>
            <w:tcBorders>
              <w:top w:val="nil"/>
              <w:left w:val="nil"/>
              <w:bottom w:val="single" w:sz="4" w:space="0" w:color="auto"/>
              <w:right w:val="nil"/>
            </w:tcBorders>
            <w:hideMark/>
          </w:tcPr>
          <w:p w14:paraId="44BB0E9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c>
          <w:tcPr>
            <w:tcW w:w="1050" w:type="dxa"/>
            <w:tcBorders>
              <w:top w:val="nil"/>
              <w:left w:val="nil"/>
              <w:bottom w:val="single" w:sz="4" w:space="0" w:color="auto"/>
              <w:right w:val="nil"/>
            </w:tcBorders>
            <w:hideMark/>
          </w:tcPr>
          <w:p w14:paraId="572C8B2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050" w:type="dxa"/>
            <w:tcBorders>
              <w:top w:val="nil"/>
              <w:left w:val="nil"/>
              <w:bottom w:val="single" w:sz="4" w:space="0" w:color="auto"/>
              <w:right w:val="nil"/>
            </w:tcBorders>
            <w:hideMark/>
          </w:tcPr>
          <w:p w14:paraId="62E43DF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c>
          <w:tcPr>
            <w:tcW w:w="1050" w:type="dxa"/>
            <w:tcBorders>
              <w:top w:val="nil"/>
              <w:left w:val="nil"/>
              <w:bottom w:val="single" w:sz="4" w:space="0" w:color="auto"/>
              <w:right w:val="nil"/>
            </w:tcBorders>
            <w:hideMark/>
          </w:tcPr>
          <w:p w14:paraId="692B5B1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AME</w:t>
            </w:r>
          </w:p>
        </w:tc>
        <w:tc>
          <w:tcPr>
            <w:tcW w:w="1050" w:type="dxa"/>
            <w:tcBorders>
              <w:top w:val="nil"/>
              <w:left w:val="nil"/>
              <w:bottom w:val="single" w:sz="4" w:space="0" w:color="auto"/>
              <w:right w:val="nil"/>
            </w:tcBorders>
            <w:hideMark/>
          </w:tcPr>
          <w:p w14:paraId="3F5374E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p-Value</w:t>
            </w:r>
          </w:p>
        </w:tc>
      </w:tr>
      <w:tr w:rsidR="00FA2393" w:rsidRPr="00FA2393" w14:paraId="0B1341E2" w14:textId="77777777" w:rsidTr="00595923">
        <w:tc>
          <w:tcPr>
            <w:tcW w:w="2160" w:type="dxa"/>
            <w:tcBorders>
              <w:top w:val="single" w:sz="4" w:space="0" w:color="auto"/>
              <w:left w:val="nil"/>
              <w:bottom w:val="nil"/>
              <w:right w:val="nil"/>
            </w:tcBorders>
            <w:hideMark/>
          </w:tcPr>
          <w:p w14:paraId="09535607"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Outpatient service supply</w:t>
            </w:r>
          </w:p>
        </w:tc>
        <w:tc>
          <w:tcPr>
            <w:tcW w:w="1050" w:type="dxa"/>
            <w:tcBorders>
              <w:top w:val="single" w:sz="4" w:space="0" w:color="auto"/>
              <w:left w:val="nil"/>
              <w:bottom w:val="nil"/>
              <w:right w:val="nil"/>
            </w:tcBorders>
            <w:hideMark/>
          </w:tcPr>
          <w:p w14:paraId="5D180E0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050" w:type="dxa"/>
            <w:tcBorders>
              <w:top w:val="single" w:sz="4" w:space="0" w:color="auto"/>
              <w:left w:val="nil"/>
              <w:bottom w:val="nil"/>
              <w:right w:val="nil"/>
            </w:tcBorders>
            <w:hideMark/>
          </w:tcPr>
          <w:p w14:paraId="7EDFFBC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0.034</w:t>
            </w:r>
          </w:p>
        </w:tc>
        <w:tc>
          <w:tcPr>
            <w:tcW w:w="1050" w:type="dxa"/>
            <w:tcBorders>
              <w:top w:val="single" w:sz="4" w:space="0" w:color="auto"/>
              <w:left w:val="nil"/>
              <w:bottom w:val="nil"/>
              <w:right w:val="nil"/>
            </w:tcBorders>
            <w:hideMark/>
          </w:tcPr>
          <w:p w14:paraId="71CC346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0.011</w:t>
            </w:r>
          </w:p>
        </w:tc>
        <w:tc>
          <w:tcPr>
            <w:tcW w:w="1050" w:type="dxa"/>
            <w:tcBorders>
              <w:top w:val="single" w:sz="4" w:space="0" w:color="auto"/>
              <w:left w:val="nil"/>
              <w:bottom w:val="nil"/>
              <w:right w:val="nil"/>
            </w:tcBorders>
            <w:hideMark/>
          </w:tcPr>
          <w:p w14:paraId="4203252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0.009</w:t>
            </w:r>
          </w:p>
        </w:tc>
        <w:tc>
          <w:tcPr>
            <w:tcW w:w="1050" w:type="dxa"/>
            <w:tcBorders>
              <w:top w:val="single" w:sz="4" w:space="0" w:color="auto"/>
              <w:left w:val="nil"/>
              <w:bottom w:val="nil"/>
              <w:right w:val="nil"/>
            </w:tcBorders>
            <w:hideMark/>
          </w:tcPr>
          <w:p w14:paraId="0DB59CB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tcBorders>
              <w:top w:val="single" w:sz="4" w:space="0" w:color="auto"/>
              <w:left w:val="nil"/>
              <w:bottom w:val="nil"/>
              <w:right w:val="nil"/>
            </w:tcBorders>
            <w:hideMark/>
          </w:tcPr>
          <w:p w14:paraId="0B49036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0.571</w:t>
            </w:r>
          </w:p>
        </w:tc>
      </w:tr>
      <w:tr w:rsidR="00FA2393" w:rsidRPr="00FA2393" w14:paraId="197C718A" w14:textId="77777777" w:rsidTr="00595923">
        <w:tc>
          <w:tcPr>
            <w:tcW w:w="2160" w:type="dxa"/>
            <w:hideMark/>
          </w:tcPr>
          <w:p w14:paraId="7CD343EE"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Inpatient service supply</w:t>
            </w:r>
          </w:p>
        </w:tc>
        <w:tc>
          <w:tcPr>
            <w:tcW w:w="1050" w:type="dxa"/>
            <w:hideMark/>
          </w:tcPr>
          <w:p w14:paraId="4FE1F09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hideMark/>
          </w:tcPr>
          <w:p w14:paraId="29D745F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0.123</w:t>
            </w:r>
          </w:p>
        </w:tc>
        <w:tc>
          <w:tcPr>
            <w:tcW w:w="1050" w:type="dxa"/>
            <w:hideMark/>
          </w:tcPr>
          <w:p w14:paraId="42A4EE2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050" w:type="dxa"/>
            <w:hideMark/>
          </w:tcPr>
          <w:p w14:paraId="4C510F9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0.805</w:t>
            </w:r>
          </w:p>
        </w:tc>
        <w:tc>
          <w:tcPr>
            <w:tcW w:w="1050" w:type="dxa"/>
            <w:hideMark/>
          </w:tcPr>
          <w:p w14:paraId="5CCF908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hideMark/>
          </w:tcPr>
          <w:p w14:paraId="21E9981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0.475</w:t>
            </w:r>
          </w:p>
        </w:tc>
      </w:tr>
      <w:tr w:rsidR="00FA2393" w:rsidRPr="00FA2393" w14:paraId="55EA9436" w14:textId="77777777" w:rsidTr="00595923">
        <w:tc>
          <w:tcPr>
            <w:tcW w:w="2160" w:type="dxa"/>
            <w:hideMark/>
          </w:tcPr>
          <w:p w14:paraId="561C8409"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 xml:space="preserve">Avg. </w:t>
            </w:r>
            <w:proofErr w:type="spellStart"/>
            <w:r w:rsidRPr="00FA2393">
              <w:rPr>
                <w:rFonts w:ascii="Garamond" w:eastAsia="Calibri" w:hAnsi="Garamond" w:cs="Times New Roman"/>
                <w:sz w:val="24"/>
                <w:szCs w:val="24"/>
                <w:lang w:val="en-US"/>
              </w:rPr>
              <w:t>outpat</w:t>
            </w:r>
            <w:proofErr w:type="spellEnd"/>
            <w:r w:rsidRPr="00FA2393">
              <w:rPr>
                <w:rFonts w:ascii="Garamond" w:eastAsia="Calibri" w:hAnsi="Garamond" w:cs="Times New Roman"/>
                <w:sz w:val="24"/>
                <w:szCs w:val="24"/>
                <w:lang w:val="en-US"/>
              </w:rPr>
              <w:t>. supply (neigh.)</w:t>
            </w:r>
          </w:p>
        </w:tc>
        <w:tc>
          <w:tcPr>
            <w:tcW w:w="1050" w:type="dxa"/>
            <w:hideMark/>
          </w:tcPr>
          <w:p w14:paraId="1F02435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-0.013</w:t>
            </w:r>
          </w:p>
        </w:tc>
        <w:tc>
          <w:tcPr>
            <w:tcW w:w="1050" w:type="dxa"/>
            <w:hideMark/>
          </w:tcPr>
          <w:p w14:paraId="34DEDE1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0.069</w:t>
            </w:r>
          </w:p>
        </w:tc>
        <w:tc>
          <w:tcPr>
            <w:tcW w:w="1050" w:type="dxa"/>
            <w:hideMark/>
          </w:tcPr>
          <w:p w14:paraId="64FADEA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050" w:type="dxa"/>
            <w:hideMark/>
          </w:tcPr>
          <w:p w14:paraId="073BFB9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0.205</w:t>
            </w:r>
          </w:p>
        </w:tc>
        <w:tc>
          <w:tcPr>
            <w:tcW w:w="1050" w:type="dxa"/>
            <w:hideMark/>
          </w:tcPr>
          <w:p w14:paraId="232FAAA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0.022</w:t>
            </w:r>
          </w:p>
        </w:tc>
        <w:tc>
          <w:tcPr>
            <w:tcW w:w="1050" w:type="dxa"/>
            <w:hideMark/>
          </w:tcPr>
          <w:p w14:paraId="76B341A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r>
      <w:tr w:rsidR="00FA2393" w:rsidRPr="00FA2393" w14:paraId="1CAEB9C6" w14:textId="77777777" w:rsidTr="00595923">
        <w:tc>
          <w:tcPr>
            <w:tcW w:w="2160" w:type="dxa"/>
            <w:hideMark/>
          </w:tcPr>
          <w:p w14:paraId="2344AEDD"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Avg. inpat. supply (neigh.)</w:t>
            </w:r>
          </w:p>
        </w:tc>
        <w:tc>
          <w:tcPr>
            <w:tcW w:w="1050" w:type="dxa"/>
            <w:hideMark/>
          </w:tcPr>
          <w:p w14:paraId="1CF5268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0.023</w:t>
            </w:r>
          </w:p>
        </w:tc>
        <w:tc>
          <w:tcPr>
            <w:tcW w:w="1050" w:type="dxa"/>
            <w:hideMark/>
          </w:tcPr>
          <w:p w14:paraId="03D5005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hideMark/>
          </w:tcPr>
          <w:p w14:paraId="1D7B9D0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050" w:type="dxa"/>
            <w:hideMark/>
          </w:tcPr>
          <w:p w14:paraId="2A447DB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0.535</w:t>
            </w:r>
          </w:p>
        </w:tc>
        <w:tc>
          <w:tcPr>
            <w:tcW w:w="1050" w:type="dxa"/>
            <w:hideMark/>
          </w:tcPr>
          <w:p w14:paraId="2098DE8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-0.019</w:t>
            </w:r>
          </w:p>
        </w:tc>
        <w:tc>
          <w:tcPr>
            <w:tcW w:w="1050" w:type="dxa"/>
            <w:hideMark/>
          </w:tcPr>
          <w:p w14:paraId="239EC31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r>
      <w:tr w:rsidR="00FA2393" w:rsidRPr="00FA2393" w14:paraId="39163F9E" w14:textId="77777777" w:rsidTr="00595923">
        <w:tc>
          <w:tcPr>
            <w:tcW w:w="2160" w:type="dxa"/>
            <w:hideMark/>
          </w:tcPr>
          <w:p w14:paraId="76199CCB"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Care grade</w:t>
            </w:r>
          </w:p>
        </w:tc>
        <w:tc>
          <w:tcPr>
            <w:tcW w:w="1050" w:type="dxa"/>
            <w:hideMark/>
          </w:tcPr>
          <w:p w14:paraId="4FA11CF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0.010</w:t>
            </w:r>
          </w:p>
        </w:tc>
        <w:tc>
          <w:tcPr>
            <w:tcW w:w="1050" w:type="dxa"/>
            <w:hideMark/>
          </w:tcPr>
          <w:p w14:paraId="72E12E6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050" w:type="dxa"/>
            <w:hideMark/>
          </w:tcPr>
          <w:p w14:paraId="43BF381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0.058</w:t>
            </w:r>
          </w:p>
        </w:tc>
        <w:tc>
          <w:tcPr>
            <w:tcW w:w="1050" w:type="dxa"/>
            <w:hideMark/>
          </w:tcPr>
          <w:p w14:paraId="19D75CD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hideMark/>
          </w:tcPr>
          <w:p w14:paraId="76125EF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-0.068</w:t>
            </w:r>
          </w:p>
        </w:tc>
        <w:tc>
          <w:tcPr>
            <w:tcW w:w="1050" w:type="dxa"/>
            <w:hideMark/>
          </w:tcPr>
          <w:p w14:paraId="39D19A3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r>
      <w:tr w:rsidR="00FA2393" w:rsidRPr="00FA2393" w14:paraId="19C18435" w14:textId="77777777" w:rsidTr="00595923">
        <w:tc>
          <w:tcPr>
            <w:tcW w:w="2160" w:type="dxa"/>
            <w:hideMark/>
          </w:tcPr>
          <w:p w14:paraId="2593721B"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No. ADL depend.</w:t>
            </w:r>
          </w:p>
        </w:tc>
        <w:tc>
          <w:tcPr>
            <w:tcW w:w="1050" w:type="dxa"/>
            <w:hideMark/>
          </w:tcPr>
          <w:p w14:paraId="248D4A4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0.006</w:t>
            </w:r>
          </w:p>
        </w:tc>
        <w:tc>
          <w:tcPr>
            <w:tcW w:w="1050" w:type="dxa"/>
            <w:hideMark/>
          </w:tcPr>
          <w:p w14:paraId="5B666E4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0.069</w:t>
            </w:r>
          </w:p>
        </w:tc>
        <w:tc>
          <w:tcPr>
            <w:tcW w:w="1050" w:type="dxa"/>
            <w:hideMark/>
          </w:tcPr>
          <w:p w14:paraId="03A1DC1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050" w:type="dxa"/>
            <w:hideMark/>
          </w:tcPr>
          <w:p w14:paraId="7384EB3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0.753</w:t>
            </w:r>
          </w:p>
        </w:tc>
        <w:tc>
          <w:tcPr>
            <w:tcW w:w="1050" w:type="dxa"/>
            <w:hideMark/>
          </w:tcPr>
          <w:p w14:paraId="4D418CA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050" w:type="dxa"/>
            <w:hideMark/>
          </w:tcPr>
          <w:p w14:paraId="66BDC87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0.231</w:t>
            </w:r>
          </w:p>
        </w:tc>
      </w:tr>
      <w:tr w:rsidR="00FA2393" w:rsidRPr="00FA2393" w14:paraId="5DBEFC9F" w14:textId="77777777" w:rsidTr="00595923">
        <w:tc>
          <w:tcPr>
            <w:tcW w:w="2160" w:type="dxa"/>
            <w:hideMark/>
          </w:tcPr>
          <w:p w14:paraId="2FF9B774"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No. IADL depend.</w:t>
            </w:r>
          </w:p>
        </w:tc>
        <w:tc>
          <w:tcPr>
            <w:tcW w:w="1050" w:type="dxa"/>
            <w:hideMark/>
          </w:tcPr>
          <w:p w14:paraId="19FF9A9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050" w:type="dxa"/>
            <w:hideMark/>
          </w:tcPr>
          <w:p w14:paraId="7DDA1DD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0.744</w:t>
            </w:r>
          </w:p>
        </w:tc>
        <w:tc>
          <w:tcPr>
            <w:tcW w:w="1050" w:type="dxa"/>
            <w:hideMark/>
          </w:tcPr>
          <w:p w14:paraId="33B8C26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0.021</w:t>
            </w:r>
          </w:p>
        </w:tc>
        <w:tc>
          <w:tcPr>
            <w:tcW w:w="1050" w:type="dxa"/>
            <w:hideMark/>
          </w:tcPr>
          <w:p w14:paraId="520629C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hideMark/>
          </w:tcPr>
          <w:p w14:paraId="517E958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-0.019</w:t>
            </w:r>
          </w:p>
        </w:tc>
        <w:tc>
          <w:tcPr>
            <w:tcW w:w="1050" w:type="dxa"/>
            <w:hideMark/>
          </w:tcPr>
          <w:p w14:paraId="003A759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r>
      <w:tr w:rsidR="00FA2393" w:rsidRPr="00FA2393" w14:paraId="44201B2A" w14:textId="77777777" w:rsidTr="00595923">
        <w:tc>
          <w:tcPr>
            <w:tcW w:w="2160" w:type="dxa"/>
            <w:hideMark/>
          </w:tcPr>
          <w:p w14:paraId="02EE51E2"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Age</w:t>
            </w:r>
          </w:p>
        </w:tc>
        <w:tc>
          <w:tcPr>
            <w:tcW w:w="1050" w:type="dxa"/>
            <w:hideMark/>
          </w:tcPr>
          <w:p w14:paraId="0BC7FF1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050" w:type="dxa"/>
            <w:hideMark/>
          </w:tcPr>
          <w:p w14:paraId="1292648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0.496</w:t>
            </w:r>
          </w:p>
        </w:tc>
        <w:tc>
          <w:tcPr>
            <w:tcW w:w="1050" w:type="dxa"/>
            <w:hideMark/>
          </w:tcPr>
          <w:p w14:paraId="1527AF4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050" w:type="dxa"/>
            <w:hideMark/>
          </w:tcPr>
          <w:p w14:paraId="2E7D223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0.329</w:t>
            </w:r>
          </w:p>
        </w:tc>
        <w:tc>
          <w:tcPr>
            <w:tcW w:w="1050" w:type="dxa"/>
            <w:hideMark/>
          </w:tcPr>
          <w:p w14:paraId="1197204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hideMark/>
          </w:tcPr>
          <w:p w14:paraId="6DBE99D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0.236</w:t>
            </w:r>
          </w:p>
        </w:tc>
      </w:tr>
      <w:tr w:rsidR="00FA2393" w:rsidRPr="00FA2393" w14:paraId="0825393C" w14:textId="77777777" w:rsidTr="00595923">
        <w:tc>
          <w:tcPr>
            <w:tcW w:w="2160" w:type="dxa"/>
            <w:hideMark/>
          </w:tcPr>
          <w:p w14:paraId="1EBF04E2"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Valuation of</w:t>
            </w:r>
          </w:p>
        </w:tc>
        <w:tc>
          <w:tcPr>
            <w:tcW w:w="1050" w:type="dxa"/>
          </w:tcPr>
          <w:p w14:paraId="212B17C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0D3C510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5DFCB58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42CC18C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2ADED73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41F2514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r>
      <w:tr w:rsidR="00FA2393" w:rsidRPr="00FA2393" w14:paraId="3836A63B" w14:textId="77777777" w:rsidTr="00595923">
        <w:tc>
          <w:tcPr>
            <w:tcW w:w="2160" w:type="dxa"/>
            <w:hideMark/>
          </w:tcPr>
          <w:p w14:paraId="171172DD"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Autonomy</w:t>
            </w:r>
          </w:p>
        </w:tc>
        <w:tc>
          <w:tcPr>
            <w:tcW w:w="1050" w:type="dxa"/>
            <w:hideMark/>
          </w:tcPr>
          <w:p w14:paraId="1370476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hideMark/>
          </w:tcPr>
          <w:p w14:paraId="556F057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0.467</w:t>
            </w:r>
          </w:p>
        </w:tc>
        <w:tc>
          <w:tcPr>
            <w:tcW w:w="1050" w:type="dxa"/>
            <w:hideMark/>
          </w:tcPr>
          <w:p w14:paraId="1F318D0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0.010</w:t>
            </w:r>
          </w:p>
        </w:tc>
        <w:tc>
          <w:tcPr>
            <w:tcW w:w="1050" w:type="dxa"/>
            <w:hideMark/>
          </w:tcPr>
          <w:p w14:paraId="4AFC4DD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0.383</w:t>
            </w:r>
          </w:p>
        </w:tc>
        <w:tc>
          <w:tcPr>
            <w:tcW w:w="1050" w:type="dxa"/>
            <w:hideMark/>
          </w:tcPr>
          <w:p w14:paraId="4C42F41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050" w:type="dxa"/>
            <w:hideMark/>
          </w:tcPr>
          <w:p w14:paraId="3F9AFF0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0.548</w:t>
            </w:r>
          </w:p>
        </w:tc>
      </w:tr>
      <w:tr w:rsidR="00FA2393" w:rsidRPr="00FA2393" w14:paraId="17AA4ABE" w14:textId="77777777" w:rsidTr="00595923">
        <w:tc>
          <w:tcPr>
            <w:tcW w:w="2160" w:type="dxa"/>
            <w:hideMark/>
          </w:tcPr>
          <w:p w14:paraId="2393F47C"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Social Participation</w:t>
            </w:r>
          </w:p>
        </w:tc>
        <w:tc>
          <w:tcPr>
            <w:tcW w:w="1050" w:type="dxa"/>
            <w:hideMark/>
          </w:tcPr>
          <w:p w14:paraId="7E1704B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hideMark/>
          </w:tcPr>
          <w:p w14:paraId="541D189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0.454</w:t>
            </w:r>
          </w:p>
        </w:tc>
        <w:tc>
          <w:tcPr>
            <w:tcW w:w="1050" w:type="dxa"/>
            <w:hideMark/>
          </w:tcPr>
          <w:p w14:paraId="7B44CAD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050" w:type="dxa"/>
            <w:hideMark/>
          </w:tcPr>
          <w:p w14:paraId="19269B9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0.414</w:t>
            </w:r>
          </w:p>
        </w:tc>
        <w:tc>
          <w:tcPr>
            <w:tcW w:w="1050" w:type="dxa"/>
            <w:hideMark/>
          </w:tcPr>
          <w:p w14:paraId="792B782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-0.005</w:t>
            </w:r>
          </w:p>
        </w:tc>
        <w:tc>
          <w:tcPr>
            <w:tcW w:w="1050" w:type="dxa"/>
            <w:hideMark/>
          </w:tcPr>
          <w:p w14:paraId="13AE100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0.561</w:t>
            </w:r>
          </w:p>
        </w:tc>
      </w:tr>
      <w:tr w:rsidR="00FA2393" w:rsidRPr="00FA2393" w14:paraId="7EA2C2A9" w14:textId="77777777" w:rsidTr="00595923">
        <w:tc>
          <w:tcPr>
            <w:tcW w:w="2160" w:type="dxa"/>
            <w:hideMark/>
          </w:tcPr>
          <w:p w14:paraId="7B021F34"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Privacy</w:t>
            </w:r>
          </w:p>
        </w:tc>
        <w:tc>
          <w:tcPr>
            <w:tcW w:w="1050" w:type="dxa"/>
            <w:hideMark/>
          </w:tcPr>
          <w:p w14:paraId="1B74195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-0.011</w:t>
            </w:r>
          </w:p>
        </w:tc>
        <w:tc>
          <w:tcPr>
            <w:tcW w:w="1050" w:type="dxa"/>
            <w:hideMark/>
          </w:tcPr>
          <w:p w14:paraId="4FFCAD1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hideMark/>
          </w:tcPr>
          <w:p w14:paraId="2B88413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0.013</w:t>
            </w:r>
          </w:p>
        </w:tc>
        <w:tc>
          <w:tcPr>
            <w:tcW w:w="1050" w:type="dxa"/>
            <w:hideMark/>
          </w:tcPr>
          <w:p w14:paraId="2539AA6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0.153</w:t>
            </w:r>
          </w:p>
        </w:tc>
        <w:tc>
          <w:tcPr>
            <w:tcW w:w="1050" w:type="dxa"/>
            <w:hideMark/>
          </w:tcPr>
          <w:p w14:paraId="3049F9D8"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050" w:type="dxa"/>
            <w:hideMark/>
          </w:tcPr>
          <w:p w14:paraId="2102AC9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0.809</w:t>
            </w:r>
          </w:p>
        </w:tc>
      </w:tr>
      <w:tr w:rsidR="00FA2393" w:rsidRPr="00FA2393" w14:paraId="09B94E64" w14:textId="77777777" w:rsidTr="00595923">
        <w:tc>
          <w:tcPr>
            <w:tcW w:w="2160" w:type="dxa"/>
            <w:hideMark/>
          </w:tcPr>
          <w:p w14:paraId="4512CFFF"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Relationship status</w:t>
            </w:r>
          </w:p>
        </w:tc>
        <w:tc>
          <w:tcPr>
            <w:tcW w:w="1050" w:type="dxa"/>
          </w:tcPr>
          <w:p w14:paraId="7DC2343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1E590B6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5916381E"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4473B35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25B4AFC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1FC9547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r>
      <w:tr w:rsidR="00FA2393" w:rsidRPr="00FA2393" w14:paraId="1CC0201C" w14:textId="77777777" w:rsidTr="00595923">
        <w:tc>
          <w:tcPr>
            <w:tcW w:w="2160" w:type="dxa"/>
            <w:hideMark/>
          </w:tcPr>
          <w:p w14:paraId="250115EA"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Not partnered</w:t>
            </w:r>
          </w:p>
        </w:tc>
        <w:tc>
          <w:tcPr>
            <w:tcW w:w="6300" w:type="dxa"/>
            <w:gridSpan w:val="6"/>
            <w:hideMark/>
          </w:tcPr>
          <w:p w14:paraId="35B285B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Reference</w:t>
            </w:r>
          </w:p>
        </w:tc>
      </w:tr>
      <w:tr w:rsidR="00FA2393" w:rsidRPr="00FA2393" w14:paraId="2300F6BA" w14:textId="77777777" w:rsidTr="00595923">
        <w:tc>
          <w:tcPr>
            <w:tcW w:w="2160" w:type="dxa"/>
            <w:hideMark/>
          </w:tcPr>
          <w:p w14:paraId="119CA439"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Partnered</w:t>
            </w:r>
          </w:p>
        </w:tc>
        <w:tc>
          <w:tcPr>
            <w:tcW w:w="1050" w:type="dxa"/>
            <w:hideMark/>
          </w:tcPr>
          <w:p w14:paraId="4154CE3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050" w:type="dxa"/>
            <w:hideMark/>
          </w:tcPr>
          <w:p w14:paraId="6D77CD9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0.445</w:t>
            </w:r>
          </w:p>
        </w:tc>
        <w:tc>
          <w:tcPr>
            <w:tcW w:w="1050" w:type="dxa"/>
            <w:hideMark/>
          </w:tcPr>
          <w:p w14:paraId="28175A9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-0.031</w:t>
            </w:r>
          </w:p>
        </w:tc>
        <w:tc>
          <w:tcPr>
            <w:tcW w:w="1050" w:type="dxa"/>
            <w:hideMark/>
          </w:tcPr>
          <w:p w14:paraId="22FA73C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0.037</w:t>
            </w:r>
          </w:p>
        </w:tc>
        <w:tc>
          <w:tcPr>
            <w:tcW w:w="1050" w:type="dxa"/>
            <w:hideMark/>
          </w:tcPr>
          <w:p w14:paraId="7D38398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0.038</w:t>
            </w:r>
          </w:p>
        </w:tc>
        <w:tc>
          <w:tcPr>
            <w:tcW w:w="1050" w:type="dxa"/>
            <w:hideMark/>
          </w:tcPr>
          <w:p w14:paraId="71033479"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r>
      <w:tr w:rsidR="00FA2393" w:rsidRPr="00FA2393" w14:paraId="08B868AD" w14:textId="77777777" w:rsidTr="00595923">
        <w:tc>
          <w:tcPr>
            <w:tcW w:w="2160" w:type="dxa"/>
            <w:hideMark/>
          </w:tcPr>
          <w:p w14:paraId="7705FF48"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No. of children</w:t>
            </w:r>
          </w:p>
        </w:tc>
        <w:tc>
          <w:tcPr>
            <w:tcW w:w="1050" w:type="dxa"/>
            <w:hideMark/>
          </w:tcPr>
          <w:p w14:paraId="3C1F527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-0.004</w:t>
            </w:r>
          </w:p>
        </w:tc>
        <w:tc>
          <w:tcPr>
            <w:tcW w:w="1050" w:type="dxa"/>
            <w:hideMark/>
          </w:tcPr>
          <w:p w14:paraId="18AB428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0.112</w:t>
            </w:r>
          </w:p>
        </w:tc>
        <w:tc>
          <w:tcPr>
            <w:tcW w:w="1050" w:type="dxa"/>
            <w:hideMark/>
          </w:tcPr>
          <w:p w14:paraId="7D23D75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-0.003</w:t>
            </w:r>
          </w:p>
        </w:tc>
        <w:tc>
          <w:tcPr>
            <w:tcW w:w="1050" w:type="dxa"/>
            <w:hideMark/>
          </w:tcPr>
          <w:p w14:paraId="6309C59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0.593</w:t>
            </w:r>
          </w:p>
        </w:tc>
        <w:tc>
          <w:tcPr>
            <w:tcW w:w="1050" w:type="dxa"/>
            <w:hideMark/>
          </w:tcPr>
          <w:p w14:paraId="08EE956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0.007</w:t>
            </w:r>
          </w:p>
        </w:tc>
        <w:tc>
          <w:tcPr>
            <w:tcW w:w="1050" w:type="dxa"/>
            <w:hideMark/>
          </w:tcPr>
          <w:p w14:paraId="43E6CFA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0.243</w:t>
            </w:r>
          </w:p>
        </w:tc>
      </w:tr>
      <w:tr w:rsidR="00FA2393" w:rsidRPr="00FA2393" w14:paraId="1DB91623" w14:textId="77777777" w:rsidTr="00595923">
        <w:tc>
          <w:tcPr>
            <w:tcW w:w="2160" w:type="dxa"/>
            <w:hideMark/>
          </w:tcPr>
          <w:p w14:paraId="25945AC3"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NW contacts</w:t>
            </w:r>
          </w:p>
        </w:tc>
        <w:tc>
          <w:tcPr>
            <w:tcW w:w="1050" w:type="dxa"/>
            <w:hideMark/>
          </w:tcPr>
          <w:p w14:paraId="476AC13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-0.009</w:t>
            </w:r>
          </w:p>
        </w:tc>
        <w:tc>
          <w:tcPr>
            <w:tcW w:w="1050" w:type="dxa"/>
            <w:hideMark/>
          </w:tcPr>
          <w:p w14:paraId="6583DED4"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050" w:type="dxa"/>
            <w:hideMark/>
          </w:tcPr>
          <w:p w14:paraId="0F08688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0.000</w:t>
            </w:r>
          </w:p>
        </w:tc>
        <w:tc>
          <w:tcPr>
            <w:tcW w:w="1050" w:type="dxa"/>
            <w:hideMark/>
          </w:tcPr>
          <w:p w14:paraId="509E99A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0.959</w:t>
            </w:r>
          </w:p>
        </w:tc>
        <w:tc>
          <w:tcPr>
            <w:tcW w:w="1050" w:type="dxa"/>
            <w:hideMark/>
          </w:tcPr>
          <w:p w14:paraId="6F7A2FC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0.008</w:t>
            </w:r>
          </w:p>
        </w:tc>
        <w:tc>
          <w:tcPr>
            <w:tcW w:w="1050" w:type="dxa"/>
            <w:hideMark/>
          </w:tcPr>
          <w:p w14:paraId="3D87CC6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0.282</w:t>
            </w:r>
          </w:p>
        </w:tc>
      </w:tr>
      <w:tr w:rsidR="00FA2393" w:rsidRPr="00FA2393" w14:paraId="3FD4184C" w14:textId="77777777" w:rsidTr="00595923">
        <w:tc>
          <w:tcPr>
            <w:tcW w:w="2160" w:type="dxa"/>
            <w:hideMark/>
          </w:tcPr>
          <w:p w14:paraId="6092EF37"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Population share 65+</w:t>
            </w:r>
          </w:p>
        </w:tc>
        <w:tc>
          <w:tcPr>
            <w:tcW w:w="1050" w:type="dxa"/>
            <w:hideMark/>
          </w:tcPr>
          <w:p w14:paraId="7FEFFB2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-0.014</w:t>
            </w:r>
          </w:p>
        </w:tc>
        <w:tc>
          <w:tcPr>
            <w:tcW w:w="1050" w:type="dxa"/>
            <w:hideMark/>
          </w:tcPr>
          <w:p w14:paraId="3482EFC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0.001</w:t>
            </w:r>
          </w:p>
        </w:tc>
        <w:tc>
          <w:tcPr>
            <w:tcW w:w="1050" w:type="dxa"/>
            <w:hideMark/>
          </w:tcPr>
          <w:p w14:paraId="1E3521EC"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0.012</w:t>
            </w:r>
          </w:p>
        </w:tc>
        <w:tc>
          <w:tcPr>
            <w:tcW w:w="1050" w:type="dxa"/>
            <w:hideMark/>
          </w:tcPr>
          <w:p w14:paraId="77632DE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0.072</w:t>
            </w:r>
          </w:p>
        </w:tc>
        <w:tc>
          <w:tcPr>
            <w:tcW w:w="1050" w:type="dxa"/>
            <w:hideMark/>
          </w:tcPr>
          <w:p w14:paraId="32E4E89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0.002</w:t>
            </w:r>
          </w:p>
        </w:tc>
        <w:tc>
          <w:tcPr>
            <w:tcW w:w="1050" w:type="dxa"/>
            <w:hideMark/>
          </w:tcPr>
          <w:p w14:paraId="12BB8B1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0.736</w:t>
            </w:r>
          </w:p>
        </w:tc>
      </w:tr>
      <w:tr w:rsidR="00FA2393" w:rsidRPr="00FA2393" w14:paraId="65796CD5" w14:textId="77777777" w:rsidTr="00595923">
        <w:tc>
          <w:tcPr>
            <w:tcW w:w="2160" w:type="dxa"/>
            <w:hideMark/>
          </w:tcPr>
          <w:p w14:paraId="46B4E9C2"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sz w:val="24"/>
                <w:szCs w:val="24"/>
                <w:lang w:val="en-US"/>
              </w:rPr>
              <w:t>Sex</w:t>
            </w:r>
          </w:p>
        </w:tc>
        <w:tc>
          <w:tcPr>
            <w:tcW w:w="1050" w:type="dxa"/>
          </w:tcPr>
          <w:p w14:paraId="2578A2A0"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2003A43A"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46BFFF3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4EAEB90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1FFCDF1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c>
          <w:tcPr>
            <w:tcW w:w="1050" w:type="dxa"/>
          </w:tcPr>
          <w:p w14:paraId="43065862"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p>
        </w:tc>
      </w:tr>
      <w:tr w:rsidR="00FA2393" w:rsidRPr="00FA2393" w14:paraId="2FD5E333" w14:textId="77777777" w:rsidTr="00595923">
        <w:tc>
          <w:tcPr>
            <w:tcW w:w="2160" w:type="dxa"/>
            <w:hideMark/>
          </w:tcPr>
          <w:p w14:paraId="7E512149"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Female</w:t>
            </w:r>
          </w:p>
        </w:tc>
        <w:tc>
          <w:tcPr>
            <w:tcW w:w="6300" w:type="dxa"/>
            <w:gridSpan w:val="6"/>
            <w:hideMark/>
          </w:tcPr>
          <w:p w14:paraId="0976DBAB"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Reference</w:t>
            </w:r>
          </w:p>
        </w:tc>
      </w:tr>
      <w:tr w:rsidR="00FA2393" w:rsidRPr="00FA2393" w14:paraId="0BD78D08" w14:textId="77777777" w:rsidTr="00595923">
        <w:tc>
          <w:tcPr>
            <w:tcW w:w="2160" w:type="dxa"/>
            <w:tcBorders>
              <w:top w:val="nil"/>
              <w:left w:val="nil"/>
              <w:bottom w:val="single" w:sz="4" w:space="0" w:color="auto"/>
              <w:right w:val="nil"/>
            </w:tcBorders>
            <w:hideMark/>
          </w:tcPr>
          <w:p w14:paraId="3B79D838" w14:textId="77777777" w:rsidR="00FA2393" w:rsidRPr="00FA2393" w:rsidRDefault="00FA2393" w:rsidP="00FA2393">
            <w:pPr>
              <w:widowControl w:val="0"/>
              <w:autoSpaceDE w:val="0"/>
              <w:autoSpaceDN w:val="0"/>
              <w:adjustRightInd w:val="0"/>
              <w:spacing w:after="0" w:line="240" w:lineRule="auto"/>
              <w:ind w:left="113"/>
              <w:rPr>
                <w:rFonts w:ascii="Garamond" w:eastAsia="Calibri" w:hAnsi="Garamond" w:cs="Times New Roman"/>
                <w:sz w:val="24"/>
                <w:szCs w:val="24"/>
                <w:lang w:val="en-US"/>
              </w:rPr>
            </w:pPr>
            <w:r w:rsidRPr="00FA2393">
              <w:rPr>
                <w:rFonts w:ascii="Garamond" w:eastAsia="Calibri" w:hAnsi="Garamond" w:cs="Times New Roman"/>
                <w:sz w:val="24"/>
                <w:szCs w:val="24"/>
                <w:lang w:val="en-US"/>
              </w:rPr>
              <w:t>Male</w:t>
            </w:r>
          </w:p>
        </w:tc>
        <w:tc>
          <w:tcPr>
            <w:tcW w:w="1050" w:type="dxa"/>
            <w:tcBorders>
              <w:top w:val="nil"/>
              <w:left w:val="nil"/>
              <w:bottom w:val="single" w:sz="4" w:space="0" w:color="auto"/>
              <w:right w:val="nil"/>
            </w:tcBorders>
            <w:hideMark/>
          </w:tcPr>
          <w:p w14:paraId="4C68BB21"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-0.016</w:t>
            </w:r>
          </w:p>
        </w:tc>
        <w:tc>
          <w:tcPr>
            <w:tcW w:w="1050" w:type="dxa"/>
            <w:tcBorders>
              <w:top w:val="nil"/>
              <w:left w:val="nil"/>
              <w:bottom w:val="single" w:sz="4" w:space="0" w:color="auto"/>
              <w:right w:val="nil"/>
            </w:tcBorders>
            <w:hideMark/>
          </w:tcPr>
          <w:p w14:paraId="68DFB235"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0.010</w:t>
            </w:r>
          </w:p>
        </w:tc>
        <w:tc>
          <w:tcPr>
            <w:tcW w:w="1050" w:type="dxa"/>
            <w:tcBorders>
              <w:top w:val="nil"/>
              <w:left w:val="nil"/>
              <w:bottom w:val="single" w:sz="4" w:space="0" w:color="auto"/>
              <w:right w:val="nil"/>
            </w:tcBorders>
            <w:hideMark/>
          </w:tcPr>
          <w:p w14:paraId="68C4978F"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-0.009</w:t>
            </w:r>
          </w:p>
        </w:tc>
        <w:tc>
          <w:tcPr>
            <w:tcW w:w="1050" w:type="dxa"/>
            <w:tcBorders>
              <w:top w:val="nil"/>
              <w:left w:val="nil"/>
              <w:bottom w:val="single" w:sz="4" w:space="0" w:color="auto"/>
              <w:right w:val="nil"/>
            </w:tcBorders>
            <w:hideMark/>
          </w:tcPr>
          <w:p w14:paraId="58F72FE6"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0.568</w:t>
            </w:r>
          </w:p>
        </w:tc>
        <w:tc>
          <w:tcPr>
            <w:tcW w:w="1050" w:type="dxa"/>
            <w:tcBorders>
              <w:top w:val="nil"/>
              <w:left w:val="nil"/>
              <w:bottom w:val="single" w:sz="4" w:space="0" w:color="auto"/>
              <w:right w:val="nil"/>
            </w:tcBorders>
            <w:hideMark/>
          </w:tcPr>
          <w:p w14:paraId="1DF57A6D"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0.026</w:t>
            </w:r>
          </w:p>
        </w:tc>
        <w:tc>
          <w:tcPr>
            <w:tcW w:w="1050" w:type="dxa"/>
            <w:tcBorders>
              <w:top w:val="nil"/>
              <w:left w:val="nil"/>
              <w:bottom w:val="single" w:sz="4" w:space="0" w:color="auto"/>
              <w:right w:val="nil"/>
            </w:tcBorders>
            <w:hideMark/>
          </w:tcPr>
          <w:p w14:paraId="6D666257"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0.125</w:t>
            </w:r>
          </w:p>
        </w:tc>
      </w:tr>
      <w:tr w:rsidR="00FA2393" w:rsidRPr="00FA2393" w14:paraId="44A152E5" w14:textId="77777777" w:rsidTr="00595923">
        <w:tc>
          <w:tcPr>
            <w:tcW w:w="2160" w:type="dxa"/>
            <w:tcBorders>
              <w:top w:val="single" w:sz="4" w:space="0" w:color="auto"/>
              <w:left w:val="nil"/>
              <w:bottom w:val="single" w:sz="4" w:space="0" w:color="auto"/>
              <w:right w:val="nil"/>
            </w:tcBorders>
            <w:hideMark/>
          </w:tcPr>
          <w:p w14:paraId="674A3542" w14:textId="77777777" w:rsidR="00FA2393" w:rsidRPr="00FA2393" w:rsidRDefault="00FA2393" w:rsidP="00FA2393">
            <w:pPr>
              <w:widowControl w:val="0"/>
              <w:autoSpaceDE w:val="0"/>
              <w:autoSpaceDN w:val="0"/>
              <w:adjustRightInd w:val="0"/>
              <w:spacing w:after="0" w:line="240" w:lineRule="auto"/>
              <w:rPr>
                <w:rFonts w:ascii="Garamond" w:eastAsia="Calibri" w:hAnsi="Garamond" w:cs="Times New Roman"/>
                <w:sz w:val="24"/>
                <w:szCs w:val="24"/>
                <w:lang w:val="en-US"/>
              </w:rPr>
            </w:pPr>
            <w:r w:rsidRPr="00FA2393">
              <w:rPr>
                <w:rFonts w:ascii="Garamond" w:eastAsia="Calibri" w:hAnsi="Garamond" w:cs="Times New Roman"/>
                <w:i/>
                <w:iCs/>
                <w:sz w:val="24"/>
                <w:szCs w:val="24"/>
                <w:lang w:val="en-US"/>
              </w:rPr>
              <w:t>N</w:t>
            </w:r>
          </w:p>
        </w:tc>
        <w:tc>
          <w:tcPr>
            <w:tcW w:w="6300" w:type="dxa"/>
            <w:gridSpan w:val="6"/>
            <w:tcBorders>
              <w:top w:val="single" w:sz="4" w:space="0" w:color="auto"/>
              <w:left w:val="nil"/>
              <w:bottom w:val="single" w:sz="4" w:space="0" w:color="auto"/>
              <w:right w:val="nil"/>
            </w:tcBorders>
            <w:hideMark/>
          </w:tcPr>
          <w:p w14:paraId="24EA1E83" w14:textId="77777777" w:rsidR="00FA2393" w:rsidRPr="00FA2393" w:rsidRDefault="00FA2393" w:rsidP="00FA2393">
            <w:pPr>
              <w:widowControl w:val="0"/>
              <w:autoSpaceDE w:val="0"/>
              <w:autoSpaceDN w:val="0"/>
              <w:adjustRightInd w:val="0"/>
              <w:spacing w:after="0" w:line="240" w:lineRule="auto"/>
              <w:jc w:val="center"/>
              <w:rPr>
                <w:rFonts w:ascii="Garamond" w:eastAsia="Calibri" w:hAnsi="Garamond" w:cs="Times New Roman"/>
                <w:sz w:val="24"/>
                <w:szCs w:val="24"/>
                <w:lang w:val="en-US"/>
              </w:rPr>
            </w:pPr>
            <w:r w:rsidRPr="00FA2393">
              <w:rPr>
                <w:rFonts w:ascii="Garamond" w:eastAsia="Calibri" w:hAnsi="Garamond" w:cs="Times New Roman"/>
                <w:sz w:val="24"/>
                <w:szCs w:val="24"/>
                <w:lang w:val="en-US"/>
              </w:rPr>
              <w:t>1303</w:t>
            </w:r>
          </w:p>
        </w:tc>
      </w:tr>
    </w:tbl>
    <w:p w14:paraId="7BF5E3B8" w14:textId="77777777" w:rsidR="00A65721" w:rsidRPr="00A65721" w:rsidRDefault="00A65721" w:rsidP="00FA2393">
      <w:pPr>
        <w:rPr>
          <w:rFonts w:ascii="Garamond" w:eastAsia="Calibri" w:hAnsi="Garamond" w:cs="Times New Roman"/>
          <w:sz w:val="24"/>
          <w:szCs w:val="24"/>
          <w:lang w:val="en-US"/>
        </w:rPr>
      </w:pPr>
    </w:p>
    <w:p w14:paraId="232E0374" w14:textId="77777777" w:rsidR="00A65721" w:rsidRDefault="00A65721" w:rsidP="00FA2393">
      <w:pPr>
        <w:rPr>
          <w:rFonts w:ascii="Garamond" w:eastAsia="Calibri" w:hAnsi="Garamond" w:cs="Times New Roman"/>
          <w:b/>
          <w:sz w:val="24"/>
          <w:szCs w:val="24"/>
          <w:lang w:val="en-US"/>
        </w:rPr>
      </w:pPr>
      <w:r w:rsidRPr="00A65721">
        <w:rPr>
          <w:rFonts w:ascii="Garamond" w:eastAsia="Calibri" w:hAnsi="Garamond" w:cs="Times New Roman"/>
          <w:b/>
          <w:sz w:val="24"/>
          <w:szCs w:val="24"/>
          <w:lang w:val="en-US"/>
        </w:rPr>
        <w:t>References</w:t>
      </w:r>
    </w:p>
    <w:p w14:paraId="37474B7D" w14:textId="77777777" w:rsidR="00A65721" w:rsidRPr="00A65721" w:rsidRDefault="00A65721" w:rsidP="00A65721">
      <w:pPr>
        <w:pStyle w:val="Literaturverzeichnis"/>
        <w:rPr>
          <w:rFonts w:ascii="Garamond" w:hAnsi="Garamond"/>
          <w:sz w:val="24"/>
        </w:rPr>
      </w:pPr>
      <w:r>
        <w:rPr>
          <w:rFonts w:ascii="Garamond" w:eastAsia="Calibri" w:hAnsi="Garamond"/>
          <w:lang w:val="en-US"/>
        </w:rPr>
        <w:fldChar w:fldCharType="begin"/>
      </w:r>
      <w:r>
        <w:rPr>
          <w:rFonts w:ascii="Garamond" w:eastAsia="Calibri" w:hAnsi="Garamond"/>
          <w:lang w:val="en-US"/>
        </w:rPr>
        <w:instrText xml:space="preserve"> ADDIN ZOTERO_BIBL {"uncited":[],"omitted":[],"custom":[]} CSL_BIBLIOGRAPHY </w:instrText>
      </w:r>
      <w:r>
        <w:rPr>
          <w:rFonts w:ascii="Garamond" w:eastAsia="Calibri" w:hAnsi="Garamond"/>
          <w:lang w:val="en-US"/>
        </w:rPr>
        <w:fldChar w:fldCharType="separate"/>
      </w:r>
      <w:r w:rsidRPr="00A65721">
        <w:rPr>
          <w:rFonts w:ascii="Garamond" w:hAnsi="Garamond"/>
          <w:sz w:val="24"/>
          <w:lang w:val="en-GB"/>
        </w:rPr>
        <w:t xml:space="preserve">Kalbe, E., Kessler, J., Calabrese, P., Smith, R., Passmore, A. P., Brand, M., &amp; Bullock, R. (2004). DemTect: A new, sensitive cognitive screening test to support the diagnosis of mild cognitive impairment and early dementia. </w:t>
      </w:r>
      <w:r w:rsidRPr="00A65721">
        <w:rPr>
          <w:rFonts w:ascii="Garamond" w:hAnsi="Garamond"/>
          <w:i/>
          <w:iCs/>
          <w:sz w:val="24"/>
        </w:rPr>
        <w:t>International Journal of Geriatric Psychiatry</w:t>
      </w:r>
      <w:r w:rsidRPr="00A65721">
        <w:rPr>
          <w:rFonts w:ascii="Garamond" w:hAnsi="Garamond"/>
          <w:sz w:val="24"/>
        </w:rPr>
        <w:t xml:space="preserve">, </w:t>
      </w:r>
      <w:r w:rsidRPr="00A65721">
        <w:rPr>
          <w:rFonts w:ascii="Garamond" w:hAnsi="Garamond"/>
          <w:i/>
          <w:iCs/>
          <w:sz w:val="24"/>
        </w:rPr>
        <w:t>19</w:t>
      </w:r>
      <w:r w:rsidRPr="00A65721">
        <w:rPr>
          <w:rFonts w:ascii="Garamond" w:hAnsi="Garamond"/>
          <w:sz w:val="24"/>
        </w:rPr>
        <w:t>(2), 136–143. https://doi.org/10.1002/gps.1042</w:t>
      </w:r>
    </w:p>
    <w:p w14:paraId="4527C5CA" w14:textId="77777777" w:rsidR="00A65721" w:rsidRPr="00A65721" w:rsidRDefault="00A65721" w:rsidP="00FA2393">
      <w:pPr>
        <w:rPr>
          <w:rFonts w:ascii="Garamond" w:eastAsia="Calibri" w:hAnsi="Garamond" w:cs="Times New Roman"/>
          <w:sz w:val="24"/>
          <w:szCs w:val="24"/>
          <w:lang w:val="en-US"/>
        </w:rPr>
      </w:pPr>
      <w:r>
        <w:rPr>
          <w:rFonts w:ascii="Garamond" w:eastAsia="Calibri" w:hAnsi="Garamond" w:cs="Times New Roman"/>
          <w:sz w:val="24"/>
          <w:szCs w:val="24"/>
          <w:lang w:val="en-US"/>
        </w:rPr>
        <w:fldChar w:fldCharType="end"/>
      </w:r>
    </w:p>
    <w:sectPr w:rsidR="00A65721" w:rsidRPr="00A657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CF609" w14:textId="77777777" w:rsidR="0058362F" w:rsidRDefault="0058362F" w:rsidP="00997631">
      <w:pPr>
        <w:spacing w:after="0" w:line="240" w:lineRule="auto"/>
      </w:pPr>
      <w:r>
        <w:separator/>
      </w:r>
    </w:p>
  </w:endnote>
  <w:endnote w:type="continuationSeparator" w:id="0">
    <w:p w14:paraId="2D2A4929" w14:textId="77777777" w:rsidR="0058362F" w:rsidRDefault="0058362F" w:rsidP="0099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altName w:val="Garamond"/>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678C0" w14:textId="77777777" w:rsidR="00DE7BF9" w:rsidRPr="006306A3" w:rsidRDefault="00DE7BF9">
    <w:pPr>
      <w:pStyle w:val="Fuzeile"/>
      <w:jc w:val="right"/>
      <w:rPr>
        <w:rFonts w:ascii="Garamond" w:hAnsi="Garamond"/>
        <w:sz w:val="24"/>
      </w:rPr>
    </w:pPr>
  </w:p>
  <w:p w14:paraId="08831786" w14:textId="77777777" w:rsidR="00DE7BF9" w:rsidRPr="006306A3" w:rsidRDefault="00DE7BF9">
    <w:pPr>
      <w:pStyle w:val="Fuzeile"/>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7399365"/>
      <w:docPartObj>
        <w:docPartGallery w:val="Page Numbers (Bottom of Page)"/>
        <w:docPartUnique/>
      </w:docPartObj>
    </w:sdtPr>
    <w:sdtEndPr>
      <w:rPr>
        <w:rFonts w:ascii="Garamond" w:hAnsi="Garamond"/>
        <w:sz w:val="24"/>
      </w:rPr>
    </w:sdtEndPr>
    <w:sdtContent>
      <w:p w14:paraId="73D5A43A" w14:textId="77777777" w:rsidR="00DE7BF9" w:rsidRPr="006306A3" w:rsidRDefault="00DE7BF9">
        <w:pPr>
          <w:pStyle w:val="Fuzeile"/>
          <w:jc w:val="right"/>
          <w:rPr>
            <w:rFonts w:ascii="Garamond" w:hAnsi="Garamond"/>
            <w:sz w:val="24"/>
          </w:rPr>
        </w:pPr>
        <w:r w:rsidRPr="006306A3">
          <w:rPr>
            <w:rFonts w:ascii="Garamond" w:hAnsi="Garamond"/>
            <w:sz w:val="24"/>
          </w:rPr>
          <w:fldChar w:fldCharType="begin"/>
        </w:r>
        <w:r w:rsidRPr="006306A3">
          <w:rPr>
            <w:rFonts w:ascii="Garamond" w:hAnsi="Garamond"/>
            <w:sz w:val="24"/>
          </w:rPr>
          <w:instrText>PAGE   \* MERGEFORMAT</w:instrText>
        </w:r>
        <w:r w:rsidRPr="006306A3">
          <w:rPr>
            <w:rFonts w:ascii="Garamond" w:hAnsi="Garamond"/>
            <w:sz w:val="24"/>
          </w:rPr>
          <w:fldChar w:fldCharType="separate"/>
        </w:r>
        <w:r>
          <w:rPr>
            <w:rFonts w:ascii="Garamond" w:hAnsi="Garamond"/>
            <w:noProof/>
            <w:sz w:val="24"/>
          </w:rPr>
          <w:t>1</w:t>
        </w:r>
        <w:r w:rsidRPr="006306A3">
          <w:rPr>
            <w:rFonts w:ascii="Garamond" w:hAnsi="Garamond"/>
            <w:sz w:val="24"/>
          </w:rPr>
          <w:fldChar w:fldCharType="end"/>
        </w:r>
      </w:p>
    </w:sdtContent>
  </w:sdt>
  <w:p w14:paraId="660A32C3" w14:textId="77777777" w:rsidR="00DE7BF9" w:rsidRPr="006306A3" w:rsidRDefault="00DE7BF9">
    <w:pPr>
      <w:pStyle w:val="Fuzeile"/>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DF50E" w14:textId="77777777" w:rsidR="0058362F" w:rsidRDefault="0058362F" w:rsidP="00997631">
      <w:pPr>
        <w:spacing w:after="0" w:line="240" w:lineRule="auto"/>
      </w:pPr>
      <w:r>
        <w:separator/>
      </w:r>
    </w:p>
  </w:footnote>
  <w:footnote w:type="continuationSeparator" w:id="0">
    <w:p w14:paraId="6EE8D4CE" w14:textId="77777777" w:rsidR="0058362F" w:rsidRDefault="0058362F" w:rsidP="00997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7C4220"/>
    <w:multiLevelType w:val="hybridMultilevel"/>
    <w:tmpl w:val="443E55BC"/>
    <w:lvl w:ilvl="0" w:tplc="C12400B6">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649"/>
    <w:rsid w:val="00045041"/>
    <w:rsid w:val="0015432F"/>
    <w:rsid w:val="00170541"/>
    <w:rsid w:val="00194161"/>
    <w:rsid w:val="001A6061"/>
    <w:rsid w:val="001F49B7"/>
    <w:rsid w:val="002066D4"/>
    <w:rsid w:val="00232FC1"/>
    <w:rsid w:val="004058B9"/>
    <w:rsid w:val="00477A09"/>
    <w:rsid w:val="00572EB0"/>
    <w:rsid w:val="0058362F"/>
    <w:rsid w:val="00595923"/>
    <w:rsid w:val="006306A3"/>
    <w:rsid w:val="006D5E45"/>
    <w:rsid w:val="00710854"/>
    <w:rsid w:val="00777685"/>
    <w:rsid w:val="007C02FF"/>
    <w:rsid w:val="00834969"/>
    <w:rsid w:val="0085630F"/>
    <w:rsid w:val="009705BB"/>
    <w:rsid w:val="00974BCA"/>
    <w:rsid w:val="00997631"/>
    <w:rsid w:val="00A276E9"/>
    <w:rsid w:val="00A65721"/>
    <w:rsid w:val="00AB69BD"/>
    <w:rsid w:val="00AB6B55"/>
    <w:rsid w:val="00AF14C8"/>
    <w:rsid w:val="00B14518"/>
    <w:rsid w:val="00C91F76"/>
    <w:rsid w:val="00D0074D"/>
    <w:rsid w:val="00D33C93"/>
    <w:rsid w:val="00D37649"/>
    <w:rsid w:val="00D758AA"/>
    <w:rsid w:val="00DB7AAB"/>
    <w:rsid w:val="00DD55FC"/>
    <w:rsid w:val="00DE7BF9"/>
    <w:rsid w:val="00E41D5E"/>
    <w:rsid w:val="00E83492"/>
    <w:rsid w:val="00EB0D56"/>
    <w:rsid w:val="00EB6674"/>
    <w:rsid w:val="00ED03C0"/>
    <w:rsid w:val="00F42461"/>
    <w:rsid w:val="00FA2393"/>
    <w:rsid w:val="00FB29A2"/>
    <w:rsid w:val="00FC5F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63AB5"/>
  <w15:chartTrackingRefBased/>
  <w15:docId w15:val="{10DF15A1-A802-4C65-8758-F4B138E9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37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A65721"/>
    <w:pPr>
      <w:spacing w:after="0" w:line="480" w:lineRule="auto"/>
      <w:ind w:left="720" w:hanging="720"/>
    </w:pPr>
  </w:style>
  <w:style w:type="paragraph" w:styleId="Kopfzeile">
    <w:name w:val="header"/>
    <w:basedOn w:val="Standard"/>
    <w:link w:val="KopfzeileZchn"/>
    <w:uiPriority w:val="99"/>
    <w:unhideWhenUsed/>
    <w:rsid w:val="009976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97631"/>
  </w:style>
  <w:style w:type="paragraph" w:styleId="Fuzeile">
    <w:name w:val="footer"/>
    <w:basedOn w:val="Standard"/>
    <w:link w:val="FuzeileZchn"/>
    <w:uiPriority w:val="99"/>
    <w:unhideWhenUsed/>
    <w:rsid w:val="009976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97631"/>
  </w:style>
  <w:style w:type="character" w:styleId="Hyperlink">
    <w:name w:val="Hyperlink"/>
    <w:basedOn w:val="Absatz-Standardschriftart"/>
    <w:uiPriority w:val="99"/>
    <w:unhideWhenUsed/>
    <w:rsid w:val="0015432F"/>
    <w:rPr>
      <w:color w:val="0563C1" w:themeColor="hyperlink"/>
      <w:u w:val="single"/>
    </w:rPr>
  </w:style>
  <w:style w:type="character" w:styleId="Kommentarzeichen">
    <w:name w:val="annotation reference"/>
    <w:basedOn w:val="Absatz-Standardschriftart"/>
    <w:uiPriority w:val="99"/>
    <w:semiHidden/>
    <w:unhideWhenUsed/>
    <w:rsid w:val="001A6061"/>
    <w:rPr>
      <w:sz w:val="16"/>
      <w:szCs w:val="16"/>
    </w:rPr>
  </w:style>
  <w:style w:type="paragraph" w:styleId="Kommentartext">
    <w:name w:val="annotation text"/>
    <w:basedOn w:val="Standard"/>
    <w:link w:val="KommentartextZchn"/>
    <w:uiPriority w:val="99"/>
    <w:semiHidden/>
    <w:unhideWhenUsed/>
    <w:rsid w:val="001A606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A6061"/>
    <w:rPr>
      <w:sz w:val="20"/>
      <w:szCs w:val="20"/>
    </w:rPr>
  </w:style>
  <w:style w:type="paragraph" w:styleId="Kommentarthema">
    <w:name w:val="annotation subject"/>
    <w:basedOn w:val="Kommentartext"/>
    <w:next w:val="Kommentartext"/>
    <w:link w:val="KommentarthemaZchn"/>
    <w:uiPriority w:val="99"/>
    <w:semiHidden/>
    <w:unhideWhenUsed/>
    <w:rsid w:val="001A6061"/>
    <w:rPr>
      <w:b/>
      <w:bCs/>
    </w:rPr>
  </w:style>
  <w:style w:type="character" w:customStyle="1" w:styleId="KommentarthemaZchn">
    <w:name w:val="Kommentarthema Zchn"/>
    <w:basedOn w:val="KommentartextZchn"/>
    <w:link w:val="Kommentarthema"/>
    <w:uiPriority w:val="99"/>
    <w:semiHidden/>
    <w:rsid w:val="001A6061"/>
    <w:rPr>
      <w:b/>
      <w:bCs/>
      <w:sz w:val="20"/>
      <w:szCs w:val="20"/>
    </w:rPr>
  </w:style>
  <w:style w:type="paragraph" w:styleId="Sprechblasentext">
    <w:name w:val="Balloon Text"/>
    <w:basedOn w:val="Standard"/>
    <w:link w:val="SprechblasentextZchn"/>
    <w:uiPriority w:val="99"/>
    <w:semiHidden/>
    <w:unhideWhenUsed/>
    <w:rsid w:val="001A606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A60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114372">
      <w:bodyDiv w:val="1"/>
      <w:marLeft w:val="0"/>
      <w:marRight w:val="0"/>
      <w:marTop w:val="0"/>
      <w:marBottom w:val="0"/>
      <w:divBdr>
        <w:top w:val="none" w:sz="0" w:space="0" w:color="auto"/>
        <w:left w:val="none" w:sz="0" w:space="0" w:color="auto"/>
        <w:bottom w:val="none" w:sz="0" w:space="0" w:color="auto"/>
        <w:right w:val="none" w:sz="0" w:space="0" w:color="auto"/>
      </w:divBdr>
    </w:div>
    <w:div w:id="190336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2318</Words>
  <Characters>14610</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Kuppler, Mathias</dc:creator>
  <cp:keywords/>
  <dc:description/>
  <cp:lastModifiedBy>matthiaskuppler@gmail.com</cp:lastModifiedBy>
  <cp:revision>18</cp:revision>
  <dcterms:created xsi:type="dcterms:W3CDTF">2019-12-02T14:01:00Z</dcterms:created>
  <dcterms:modified xsi:type="dcterms:W3CDTF">2020-07-05T11:47:00Z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id="HgUrBwe0"/&gt;&lt;style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