
<file path=[Content_Types].xml><?xml version="1.0" encoding="utf-8"?>
<Types xmlns="http://schemas.openxmlformats.org/package/2006/content-types">
  <Default Extension="xml" ContentType="application/xml"/>
  <Default Extension="tiff" ContentType="image/tiff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4"/>
        <w:tblW w:w="8900" w:type="dxa"/>
        <w:tblInd w:w="0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359"/>
        <w:gridCol w:w="620"/>
        <w:gridCol w:w="1270"/>
        <w:gridCol w:w="760"/>
        <w:gridCol w:w="238"/>
        <w:gridCol w:w="620"/>
        <w:gridCol w:w="1270"/>
        <w:gridCol w:w="763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4" w:hRule="atLeast"/>
        </w:trPr>
        <w:tc>
          <w:tcPr>
            <w:tcW w:w="8900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b/>
                <w:bCs/>
                <w:color w:val="0000CC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0000CC"/>
                <w:kern w:val="0"/>
                <w:sz w:val="24"/>
                <w:szCs w:val="24"/>
              </w:rPr>
              <w:t xml:space="preserve">Supplementary Table 1. </w:t>
            </w:r>
            <w:r>
              <w:rPr>
                <w:rFonts w:hint="eastAsia" w:ascii="Times New Roman" w:hAnsi="Times New Roman" w:eastAsia="宋体" w:cs="Times New Roman"/>
                <w:b/>
                <w:bCs/>
                <w:color w:val="0000CC"/>
                <w:kern w:val="0"/>
                <w:sz w:val="24"/>
                <w:szCs w:val="24"/>
              </w:rPr>
              <w:t>U</w:t>
            </w:r>
            <w:r>
              <w:rPr>
                <w:rFonts w:ascii="Times New Roman" w:hAnsi="Times New Roman" w:eastAsia="宋体" w:cs="Times New Roman"/>
                <w:b/>
                <w:bCs/>
                <w:color w:val="0000CC"/>
                <w:kern w:val="0"/>
                <w:sz w:val="24"/>
                <w:szCs w:val="24"/>
              </w:rPr>
              <w:t>nivariate and multivariate Cox regression analysis of overall survival before PSM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4" w:hRule="atLeast"/>
        </w:trPr>
        <w:tc>
          <w:tcPr>
            <w:tcW w:w="3359" w:type="dxa"/>
            <w:tcBorders>
              <w:top w:val="single" w:color="000000" w:sz="4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b/>
                <w:bCs/>
                <w:color w:val="0000CC"/>
                <w:kern w:val="0"/>
                <w:sz w:val="24"/>
                <w:szCs w:val="24"/>
              </w:rPr>
            </w:pPr>
          </w:p>
        </w:tc>
        <w:tc>
          <w:tcPr>
            <w:tcW w:w="2650" w:type="dxa"/>
            <w:gridSpan w:val="3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CC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color w:val="0000CC"/>
                <w:kern w:val="0"/>
                <w:sz w:val="16"/>
                <w:szCs w:val="16"/>
              </w:rPr>
              <w:t>Univaria</w:t>
            </w:r>
            <w:r>
              <w:rPr>
                <w:rFonts w:hint="eastAsia" w:ascii="Times New Roman" w:hAnsi="Times New Roman" w:eastAsia="宋体" w:cs="Times New Roman"/>
                <w:color w:val="0000CC"/>
                <w:kern w:val="0"/>
                <w:sz w:val="16"/>
                <w:szCs w:val="16"/>
                <w:lang w:val="en-US" w:eastAsia="zh-CN"/>
              </w:rPr>
              <w:t>t</w:t>
            </w:r>
            <w:r>
              <w:rPr>
                <w:rFonts w:ascii="Times New Roman" w:hAnsi="Times New Roman" w:eastAsia="宋体" w:cs="Times New Roman"/>
                <w:color w:val="0000CC"/>
                <w:kern w:val="0"/>
                <w:sz w:val="16"/>
                <w:szCs w:val="16"/>
              </w:rPr>
              <w:t>e Cox regression</w:t>
            </w:r>
          </w:p>
        </w:tc>
        <w:tc>
          <w:tcPr>
            <w:tcW w:w="238" w:type="dxa"/>
            <w:tcBorders>
              <w:top w:val="single" w:color="000000" w:sz="4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CC"/>
                <w:kern w:val="0"/>
                <w:sz w:val="16"/>
                <w:szCs w:val="16"/>
              </w:rPr>
            </w:pPr>
          </w:p>
        </w:tc>
        <w:tc>
          <w:tcPr>
            <w:tcW w:w="2653" w:type="dxa"/>
            <w:gridSpan w:val="3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CC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color w:val="0000CC"/>
                <w:kern w:val="0"/>
                <w:sz w:val="16"/>
                <w:szCs w:val="16"/>
              </w:rPr>
              <w:t>Multivaria</w:t>
            </w:r>
            <w:r>
              <w:rPr>
                <w:rFonts w:hint="eastAsia" w:ascii="Times New Roman" w:hAnsi="Times New Roman" w:eastAsia="宋体" w:cs="Times New Roman"/>
                <w:color w:val="0000CC"/>
                <w:kern w:val="0"/>
                <w:sz w:val="16"/>
                <w:szCs w:val="16"/>
                <w:lang w:val="en-US" w:eastAsia="zh-CN"/>
              </w:rPr>
              <w:t>t</w:t>
            </w:r>
            <w:r>
              <w:rPr>
                <w:rFonts w:ascii="Times New Roman" w:hAnsi="Times New Roman" w:eastAsia="宋体" w:cs="Times New Roman"/>
                <w:color w:val="0000CC"/>
                <w:kern w:val="0"/>
                <w:sz w:val="16"/>
                <w:szCs w:val="16"/>
              </w:rPr>
              <w:t>e Cox regression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4" w:hRule="atLeast"/>
        </w:trPr>
        <w:tc>
          <w:tcPr>
            <w:tcW w:w="3359" w:type="dxa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CC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color w:val="0000CC"/>
                <w:kern w:val="0"/>
                <w:sz w:val="16"/>
                <w:szCs w:val="16"/>
              </w:rPr>
              <w:t>Variable</w:t>
            </w:r>
          </w:p>
        </w:tc>
        <w:tc>
          <w:tcPr>
            <w:tcW w:w="620" w:type="dxa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CC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color w:val="0000CC"/>
                <w:kern w:val="0"/>
                <w:sz w:val="16"/>
                <w:szCs w:val="16"/>
              </w:rPr>
              <w:t>HR</w:t>
            </w:r>
          </w:p>
        </w:tc>
        <w:tc>
          <w:tcPr>
            <w:tcW w:w="1270" w:type="dxa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CC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color w:val="0000CC"/>
                <w:kern w:val="0"/>
                <w:sz w:val="16"/>
                <w:szCs w:val="16"/>
              </w:rPr>
              <w:t>95%CI</w:t>
            </w:r>
          </w:p>
        </w:tc>
        <w:tc>
          <w:tcPr>
            <w:tcW w:w="760" w:type="dxa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CC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color w:val="0000CC"/>
                <w:kern w:val="0"/>
                <w:sz w:val="16"/>
                <w:szCs w:val="16"/>
              </w:rPr>
              <w:t>P</w:t>
            </w:r>
          </w:p>
        </w:tc>
        <w:tc>
          <w:tcPr>
            <w:tcW w:w="238" w:type="dxa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CC"/>
                <w:kern w:val="0"/>
                <w:sz w:val="16"/>
                <w:szCs w:val="16"/>
              </w:rPr>
            </w:pPr>
          </w:p>
        </w:tc>
        <w:tc>
          <w:tcPr>
            <w:tcW w:w="620" w:type="dxa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CC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color w:val="0000CC"/>
                <w:kern w:val="0"/>
                <w:sz w:val="16"/>
                <w:szCs w:val="16"/>
              </w:rPr>
              <w:t>HR</w:t>
            </w:r>
          </w:p>
        </w:tc>
        <w:tc>
          <w:tcPr>
            <w:tcW w:w="1270" w:type="dxa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CC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color w:val="0000CC"/>
                <w:kern w:val="0"/>
                <w:sz w:val="16"/>
                <w:szCs w:val="16"/>
              </w:rPr>
              <w:t>95%CI</w:t>
            </w:r>
          </w:p>
        </w:tc>
        <w:tc>
          <w:tcPr>
            <w:tcW w:w="763" w:type="dxa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CC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color w:val="0000CC"/>
                <w:kern w:val="0"/>
                <w:sz w:val="16"/>
                <w:szCs w:val="16"/>
              </w:rPr>
              <w:t>P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4" w:hRule="atLeast"/>
        </w:trPr>
        <w:tc>
          <w:tcPr>
            <w:tcW w:w="33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CC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color w:val="0000CC"/>
                <w:kern w:val="0"/>
                <w:sz w:val="16"/>
                <w:szCs w:val="16"/>
              </w:rPr>
              <w:t>Sex (male/female)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CC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color w:val="0000CC"/>
                <w:kern w:val="0"/>
                <w:sz w:val="16"/>
                <w:szCs w:val="16"/>
              </w:rPr>
              <w:t xml:space="preserve">1.020 </w:t>
            </w:r>
          </w:p>
        </w:tc>
        <w:tc>
          <w:tcPr>
            <w:tcW w:w="1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CC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color w:val="0000CC"/>
                <w:kern w:val="0"/>
                <w:sz w:val="16"/>
                <w:szCs w:val="16"/>
              </w:rPr>
              <w:t>0.731-1.424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CC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color w:val="0000CC"/>
                <w:kern w:val="0"/>
                <w:sz w:val="16"/>
                <w:szCs w:val="16"/>
              </w:rPr>
              <w:t xml:space="preserve">0.907 </w:t>
            </w:r>
          </w:p>
        </w:tc>
        <w:tc>
          <w:tcPr>
            <w:tcW w:w="2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CC"/>
                <w:kern w:val="0"/>
                <w:sz w:val="16"/>
                <w:szCs w:val="16"/>
              </w:rPr>
            </w:pP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7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4" w:hRule="atLeast"/>
        </w:trPr>
        <w:tc>
          <w:tcPr>
            <w:tcW w:w="33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CC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color w:val="0000CC"/>
                <w:kern w:val="0"/>
                <w:sz w:val="16"/>
                <w:szCs w:val="16"/>
              </w:rPr>
              <w:t>Age (≥60/&lt;60 years)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CC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color w:val="0000CC"/>
                <w:kern w:val="0"/>
                <w:sz w:val="16"/>
                <w:szCs w:val="16"/>
              </w:rPr>
              <w:t xml:space="preserve">0.750 </w:t>
            </w:r>
          </w:p>
        </w:tc>
        <w:tc>
          <w:tcPr>
            <w:tcW w:w="1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CC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color w:val="0000CC"/>
                <w:kern w:val="0"/>
                <w:sz w:val="16"/>
                <w:szCs w:val="16"/>
              </w:rPr>
              <w:t>0.594-0.947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CC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color w:val="0000CC"/>
                <w:kern w:val="0"/>
                <w:sz w:val="16"/>
                <w:szCs w:val="16"/>
              </w:rPr>
              <w:t xml:space="preserve">0.016 </w:t>
            </w:r>
          </w:p>
        </w:tc>
        <w:tc>
          <w:tcPr>
            <w:tcW w:w="2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CC"/>
                <w:kern w:val="0"/>
                <w:sz w:val="16"/>
                <w:szCs w:val="16"/>
              </w:rPr>
            </w:pP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CC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color w:val="0000CC"/>
                <w:kern w:val="0"/>
                <w:sz w:val="16"/>
                <w:szCs w:val="16"/>
              </w:rPr>
              <w:t xml:space="preserve">0.926 </w:t>
            </w:r>
          </w:p>
        </w:tc>
        <w:tc>
          <w:tcPr>
            <w:tcW w:w="1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CC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color w:val="0000CC"/>
                <w:kern w:val="0"/>
                <w:sz w:val="16"/>
                <w:szCs w:val="16"/>
              </w:rPr>
              <w:t>0.725-1.182</w:t>
            </w:r>
          </w:p>
        </w:tc>
        <w:tc>
          <w:tcPr>
            <w:tcW w:w="7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CC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color w:val="0000CC"/>
                <w:kern w:val="0"/>
                <w:sz w:val="16"/>
                <w:szCs w:val="16"/>
              </w:rPr>
              <w:t xml:space="preserve">0.535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4" w:hRule="atLeast"/>
        </w:trPr>
        <w:tc>
          <w:tcPr>
            <w:tcW w:w="33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CC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color w:val="0000CC"/>
                <w:kern w:val="0"/>
                <w:sz w:val="16"/>
                <w:szCs w:val="16"/>
              </w:rPr>
              <w:t>Child-Pugh class (B/A)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CC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color w:val="0000CC"/>
                <w:kern w:val="0"/>
                <w:sz w:val="16"/>
                <w:szCs w:val="16"/>
              </w:rPr>
              <w:t xml:space="preserve">1.447 </w:t>
            </w:r>
          </w:p>
        </w:tc>
        <w:tc>
          <w:tcPr>
            <w:tcW w:w="1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CC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color w:val="0000CC"/>
                <w:kern w:val="0"/>
                <w:sz w:val="16"/>
                <w:szCs w:val="16"/>
              </w:rPr>
              <w:t>1.151-1.819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CC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color w:val="0000CC"/>
                <w:kern w:val="0"/>
                <w:sz w:val="16"/>
                <w:szCs w:val="16"/>
              </w:rPr>
              <w:t xml:space="preserve">0.002 </w:t>
            </w:r>
          </w:p>
        </w:tc>
        <w:tc>
          <w:tcPr>
            <w:tcW w:w="2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CC"/>
                <w:kern w:val="0"/>
                <w:sz w:val="16"/>
                <w:szCs w:val="16"/>
              </w:rPr>
            </w:pP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CC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color w:val="0000CC"/>
                <w:kern w:val="0"/>
                <w:sz w:val="16"/>
                <w:szCs w:val="16"/>
              </w:rPr>
              <w:t xml:space="preserve">1.221 </w:t>
            </w:r>
          </w:p>
        </w:tc>
        <w:tc>
          <w:tcPr>
            <w:tcW w:w="1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CC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color w:val="0000CC"/>
                <w:kern w:val="0"/>
                <w:sz w:val="16"/>
                <w:szCs w:val="16"/>
              </w:rPr>
              <w:t>0.959-1.554</w:t>
            </w:r>
          </w:p>
        </w:tc>
        <w:tc>
          <w:tcPr>
            <w:tcW w:w="7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CC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color w:val="0000CC"/>
                <w:kern w:val="0"/>
                <w:sz w:val="16"/>
                <w:szCs w:val="16"/>
              </w:rPr>
              <w:t xml:space="preserve">0.105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4" w:hRule="atLeast"/>
        </w:trPr>
        <w:tc>
          <w:tcPr>
            <w:tcW w:w="33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CC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color w:val="0000CC"/>
                <w:kern w:val="0"/>
                <w:sz w:val="16"/>
                <w:szCs w:val="16"/>
              </w:rPr>
              <w:t>Number of tumor (≥2/&lt;2)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CC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color w:val="0000CC"/>
                <w:kern w:val="0"/>
                <w:sz w:val="16"/>
                <w:szCs w:val="16"/>
              </w:rPr>
              <w:t xml:space="preserve">1.825 </w:t>
            </w:r>
          </w:p>
        </w:tc>
        <w:tc>
          <w:tcPr>
            <w:tcW w:w="1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CC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color w:val="0000CC"/>
                <w:kern w:val="0"/>
                <w:sz w:val="16"/>
                <w:szCs w:val="16"/>
              </w:rPr>
              <w:t>1.360-2.448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CC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color w:val="0000CC"/>
                <w:kern w:val="0"/>
                <w:sz w:val="16"/>
                <w:szCs w:val="16"/>
              </w:rPr>
              <w:t>&lt;</w:t>
            </w:r>
            <w:r>
              <w:rPr>
                <w:rFonts w:hint="eastAsia" w:ascii="Times New Roman" w:hAnsi="Times New Roman" w:eastAsia="宋体" w:cs="Times New Roman"/>
                <w:color w:val="0000CC"/>
                <w:kern w:val="0"/>
                <w:sz w:val="16"/>
                <w:szCs w:val="16"/>
                <w:lang w:val="en-US" w:eastAsia="zh-CN"/>
              </w:rPr>
              <w:t xml:space="preserve"> </w:t>
            </w:r>
            <w:r>
              <w:rPr>
                <w:rFonts w:ascii="Times New Roman" w:hAnsi="Times New Roman" w:eastAsia="宋体" w:cs="Times New Roman"/>
                <w:color w:val="0000CC"/>
                <w:kern w:val="0"/>
                <w:sz w:val="16"/>
                <w:szCs w:val="16"/>
              </w:rPr>
              <w:t>0.001</w:t>
            </w:r>
          </w:p>
        </w:tc>
        <w:tc>
          <w:tcPr>
            <w:tcW w:w="2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CC"/>
                <w:kern w:val="0"/>
                <w:sz w:val="16"/>
                <w:szCs w:val="16"/>
              </w:rPr>
            </w:pP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CC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color w:val="0000CC"/>
                <w:kern w:val="0"/>
                <w:sz w:val="16"/>
                <w:szCs w:val="16"/>
              </w:rPr>
              <w:t xml:space="preserve">1.521 </w:t>
            </w:r>
          </w:p>
        </w:tc>
        <w:tc>
          <w:tcPr>
            <w:tcW w:w="1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CC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color w:val="0000CC"/>
                <w:kern w:val="0"/>
                <w:sz w:val="16"/>
                <w:szCs w:val="16"/>
              </w:rPr>
              <w:t>1.125-2.056</w:t>
            </w:r>
          </w:p>
        </w:tc>
        <w:tc>
          <w:tcPr>
            <w:tcW w:w="7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CC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color w:val="0000CC"/>
                <w:kern w:val="0"/>
                <w:sz w:val="16"/>
                <w:szCs w:val="16"/>
              </w:rPr>
              <w:t xml:space="preserve">0.006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4" w:hRule="atLeast"/>
        </w:trPr>
        <w:tc>
          <w:tcPr>
            <w:tcW w:w="33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CC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color w:val="0000CC"/>
                <w:kern w:val="0"/>
                <w:sz w:val="16"/>
                <w:szCs w:val="16"/>
              </w:rPr>
              <w:t>Tumor diameter (≥5/&lt;5 cm)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CC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color w:val="0000CC"/>
                <w:kern w:val="0"/>
                <w:sz w:val="16"/>
                <w:szCs w:val="16"/>
              </w:rPr>
              <w:t xml:space="preserve">1.839 </w:t>
            </w:r>
          </w:p>
        </w:tc>
        <w:tc>
          <w:tcPr>
            <w:tcW w:w="1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CC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color w:val="0000CC"/>
                <w:kern w:val="0"/>
                <w:sz w:val="16"/>
                <w:szCs w:val="16"/>
              </w:rPr>
              <w:t>1.374-2.461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CC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color w:val="0000CC"/>
                <w:kern w:val="0"/>
                <w:sz w:val="16"/>
                <w:szCs w:val="16"/>
              </w:rPr>
              <w:t>&lt;</w:t>
            </w:r>
            <w:r>
              <w:rPr>
                <w:rFonts w:hint="eastAsia" w:ascii="Times New Roman" w:hAnsi="Times New Roman" w:eastAsia="宋体" w:cs="Times New Roman"/>
                <w:color w:val="0000CC"/>
                <w:kern w:val="0"/>
                <w:sz w:val="16"/>
                <w:szCs w:val="16"/>
                <w:lang w:val="en-US" w:eastAsia="zh-CN"/>
              </w:rPr>
              <w:t xml:space="preserve"> </w:t>
            </w:r>
            <w:r>
              <w:rPr>
                <w:rFonts w:ascii="Times New Roman" w:hAnsi="Times New Roman" w:eastAsia="宋体" w:cs="Times New Roman"/>
                <w:color w:val="0000CC"/>
                <w:kern w:val="0"/>
                <w:sz w:val="16"/>
                <w:szCs w:val="16"/>
              </w:rPr>
              <w:t>0.001</w:t>
            </w:r>
          </w:p>
        </w:tc>
        <w:tc>
          <w:tcPr>
            <w:tcW w:w="2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CC"/>
                <w:kern w:val="0"/>
                <w:sz w:val="16"/>
                <w:szCs w:val="16"/>
              </w:rPr>
            </w:pP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CC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color w:val="0000CC"/>
                <w:kern w:val="0"/>
                <w:sz w:val="16"/>
                <w:szCs w:val="16"/>
              </w:rPr>
              <w:t xml:space="preserve">1.493 </w:t>
            </w:r>
          </w:p>
        </w:tc>
        <w:tc>
          <w:tcPr>
            <w:tcW w:w="1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CC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color w:val="0000CC"/>
                <w:kern w:val="0"/>
                <w:sz w:val="16"/>
                <w:szCs w:val="16"/>
              </w:rPr>
              <w:t>1.106-2.014</w:t>
            </w:r>
          </w:p>
        </w:tc>
        <w:tc>
          <w:tcPr>
            <w:tcW w:w="7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CC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color w:val="0000CC"/>
                <w:kern w:val="0"/>
                <w:sz w:val="16"/>
                <w:szCs w:val="16"/>
              </w:rPr>
              <w:t xml:space="preserve">0.009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4" w:hRule="atLeast"/>
        </w:trPr>
        <w:tc>
          <w:tcPr>
            <w:tcW w:w="33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CC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color w:val="0000CC"/>
                <w:kern w:val="0"/>
                <w:sz w:val="16"/>
                <w:szCs w:val="16"/>
              </w:rPr>
              <w:t>AFP (≥400/&lt;400 ng/ml)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CC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color w:val="0000CC"/>
                <w:kern w:val="0"/>
                <w:sz w:val="16"/>
                <w:szCs w:val="16"/>
              </w:rPr>
              <w:t xml:space="preserve">1.351 </w:t>
            </w:r>
          </w:p>
        </w:tc>
        <w:tc>
          <w:tcPr>
            <w:tcW w:w="1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CC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color w:val="0000CC"/>
                <w:kern w:val="0"/>
                <w:sz w:val="16"/>
                <w:szCs w:val="16"/>
              </w:rPr>
              <w:t>1.088-1.677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CC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color w:val="0000CC"/>
                <w:kern w:val="0"/>
                <w:sz w:val="16"/>
                <w:szCs w:val="16"/>
              </w:rPr>
              <w:t xml:space="preserve">0.006 </w:t>
            </w:r>
          </w:p>
        </w:tc>
        <w:tc>
          <w:tcPr>
            <w:tcW w:w="2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CC"/>
                <w:kern w:val="0"/>
                <w:sz w:val="16"/>
                <w:szCs w:val="16"/>
              </w:rPr>
            </w:pP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CC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color w:val="0000CC"/>
                <w:kern w:val="0"/>
                <w:sz w:val="16"/>
                <w:szCs w:val="16"/>
              </w:rPr>
              <w:t xml:space="preserve">1.177 </w:t>
            </w:r>
          </w:p>
        </w:tc>
        <w:tc>
          <w:tcPr>
            <w:tcW w:w="1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CC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color w:val="0000CC"/>
                <w:kern w:val="0"/>
                <w:sz w:val="16"/>
                <w:szCs w:val="16"/>
              </w:rPr>
              <w:t>0.941-1.473</w:t>
            </w:r>
          </w:p>
        </w:tc>
        <w:tc>
          <w:tcPr>
            <w:tcW w:w="7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CC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color w:val="0000CC"/>
                <w:kern w:val="0"/>
                <w:sz w:val="16"/>
                <w:szCs w:val="16"/>
              </w:rPr>
              <w:t xml:space="preserve">0.154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4" w:hRule="atLeast"/>
        </w:trPr>
        <w:tc>
          <w:tcPr>
            <w:tcW w:w="33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CC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color w:val="0000CC"/>
                <w:kern w:val="0"/>
                <w:sz w:val="16"/>
                <w:szCs w:val="16"/>
              </w:rPr>
              <w:t>ALP (≥125/&lt;125 U/L)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CC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color w:val="0000CC"/>
                <w:kern w:val="0"/>
                <w:sz w:val="16"/>
                <w:szCs w:val="16"/>
              </w:rPr>
              <w:t xml:space="preserve">1.851 </w:t>
            </w:r>
          </w:p>
        </w:tc>
        <w:tc>
          <w:tcPr>
            <w:tcW w:w="1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CC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color w:val="0000CC"/>
                <w:kern w:val="0"/>
                <w:sz w:val="16"/>
                <w:szCs w:val="16"/>
              </w:rPr>
              <w:t>1.442-2.375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CC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color w:val="0000CC"/>
                <w:kern w:val="0"/>
                <w:sz w:val="16"/>
                <w:szCs w:val="16"/>
              </w:rPr>
              <w:t>&lt;</w:t>
            </w:r>
            <w:r>
              <w:rPr>
                <w:rFonts w:hint="eastAsia" w:ascii="Times New Roman" w:hAnsi="Times New Roman" w:eastAsia="宋体" w:cs="Times New Roman"/>
                <w:color w:val="0000CC"/>
                <w:kern w:val="0"/>
                <w:sz w:val="16"/>
                <w:szCs w:val="16"/>
                <w:lang w:val="en-US" w:eastAsia="zh-CN"/>
              </w:rPr>
              <w:t xml:space="preserve"> </w:t>
            </w:r>
            <w:r>
              <w:rPr>
                <w:rFonts w:ascii="Times New Roman" w:hAnsi="Times New Roman" w:eastAsia="宋体" w:cs="Times New Roman"/>
                <w:color w:val="0000CC"/>
                <w:kern w:val="0"/>
                <w:sz w:val="16"/>
                <w:szCs w:val="16"/>
              </w:rPr>
              <w:t>0.001</w:t>
            </w:r>
          </w:p>
        </w:tc>
        <w:tc>
          <w:tcPr>
            <w:tcW w:w="2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CC"/>
                <w:kern w:val="0"/>
                <w:sz w:val="16"/>
                <w:szCs w:val="16"/>
              </w:rPr>
            </w:pP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CC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color w:val="0000CC"/>
                <w:kern w:val="0"/>
                <w:sz w:val="16"/>
                <w:szCs w:val="16"/>
              </w:rPr>
              <w:t xml:space="preserve">1.504 </w:t>
            </w:r>
          </w:p>
        </w:tc>
        <w:tc>
          <w:tcPr>
            <w:tcW w:w="1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CC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color w:val="0000CC"/>
                <w:kern w:val="0"/>
                <w:sz w:val="16"/>
                <w:szCs w:val="16"/>
              </w:rPr>
              <w:t>1.142-1.980</w:t>
            </w:r>
          </w:p>
        </w:tc>
        <w:tc>
          <w:tcPr>
            <w:tcW w:w="7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CC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color w:val="0000CC"/>
                <w:kern w:val="0"/>
                <w:sz w:val="16"/>
                <w:szCs w:val="16"/>
              </w:rPr>
              <w:t xml:space="preserve">0.004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4" w:hRule="atLeast"/>
        </w:trPr>
        <w:tc>
          <w:tcPr>
            <w:tcW w:w="33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CC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color w:val="0000CC"/>
                <w:kern w:val="0"/>
                <w:sz w:val="16"/>
                <w:szCs w:val="16"/>
              </w:rPr>
              <w:t>Platelet (&lt;100000/≥100000/μL)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CC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color w:val="0000CC"/>
                <w:kern w:val="0"/>
                <w:sz w:val="16"/>
                <w:szCs w:val="16"/>
              </w:rPr>
              <w:t xml:space="preserve">1.318 </w:t>
            </w:r>
          </w:p>
        </w:tc>
        <w:tc>
          <w:tcPr>
            <w:tcW w:w="1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CC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color w:val="0000CC"/>
                <w:kern w:val="0"/>
                <w:sz w:val="16"/>
                <w:szCs w:val="16"/>
              </w:rPr>
              <w:t>1.026-1.692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CC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color w:val="0000CC"/>
                <w:kern w:val="0"/>
                <w:sz w:val="16"/>
                <w:szCs w:val="16"/>
              </w:rPr>
              <w:t xml:space="preserve">0.031 </w:t>
            </w:r>
          </w:p>
        </w:tc>
        <w:tc>
          <w:tcPr>
            <w:tcW w:w="2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CC"/>
                <w:kern w:val="0"/>
                <w:sz w:val="16"/>
                <w:szCs w:val="16"/>
              </w:rPr>
            </w:pP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CC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color w:val="0000CC"/>
                <w:kern w:val="0"/>
                <w:sz w:val="16"/>
                <w:szCs w:val="16"/>
              </w:rPr>
              <w:t xml:space="preserve">1.253 </w:t>
            </w:r>
          </w:p>
        </w:tc>
        <w:tc>
          <w:tcPr>
            <w:tcW w:w="1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CC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color w:val="0000CC"/>
                <w:kern w:val="0"/>
                <w:sz w:val="16"/>
                <w:szCs w:val="16"/>
              </w:rPr>
              <w:t>0.971-1.619</w:t>
            </w:r>
          </w:p>
        </w:tc>
        <w:tc>
          <w:tcPr>
            <w:tcW w:w="7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CC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color w:val="0000CC"/>
                <w:kern w:val="0"/>
                <w:sz w:val="16"/>
                <w:szCs w:val="16"/>
              </w:rPr>
              <w:t xml:space="preserve">0.083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4" w:hRule="atLeast"/>
        </w:trPr>
        <w:tc>
          <w:tcPr>
            <w:tcW w:w="33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CC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color w:val="0000CC"/>
                <w:kern w:val="0"/>
                <w:sz w:val="16"/>
                <w:szCs w:val="16"/>
              </w:rPr>
              <w:t>ALT (≥40/&lt;40U/L)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CC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color w:val="0000CC"/>
                <w:kern w:val="0"/>
                <w:sz w:val="16"/>
                <w:szCs w:val="16"/>
              </w:rPr>
              <w:t xml:space="preserve">1.347 </w:t>
            </w:r>
          </w:p>
        </w:tc>
        <w:tc>
          <w:tcPr>
            <w:tcW w:w="1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CC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color w:val="0000CC"/>
                <w:kern w:val="0"/>
                <w:sz w:val="16"/>
                <w:szCs w:val="16"/>
              </w:rPr>
              <w:t>1.078-1.683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CC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color w:val="0000CC"/>
                <w:kern w:val="0"/>
                <w:sz w:val="16"/>
                <w:szCs w:val="16"/>
              </w:rPr>
              <w:t xml:space="preserve">0.009 </w:t>
            </w:r>
          </w:p>
        </w:tc>
        <w:tc>
          <w:tcPr>
            <w:tcW w:w="2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CC"/>
                <w:kern w:val="0"/>
                <w:sz w:val="16"/>
                <w:szCs w:val="16"/>
              </w:rPr>
            </w:pP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CC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color w:val="0000CC"/>
                <w:kern w:val="0"/>
                <w:sz w:val="16"/>
                <w:szCs w:val="16"/>
              </w:rPr>
              <w:t xml:space="preserve">1.179 </w:t>
            </w:r>
          </w:p>
        </w:tc>
        <w:tc>
          <w:tcPr>
            <w:tcW w:w="1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CC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color w:val="0000CC"/>
                <w:kern w:val="0"/>
                <w:sz w:val="16"/>
                <w:szCs w:val="16"/>
              </w:rPr>
              <w:t>0.926-1.502</w:t>
            </w:r>
          </w:p>
        </w:tc>
        <w:tc>
          <w:tcPr>
            <w:tcW w:w="7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CC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color w:val="0000CC"/>
                <w:kern w:val="0"/>
                <w:sz w:val="16"/>
                <w:szCs w:val="16"/>
              </w:rPr>
              <w:t xml:space="preserve">0.182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4" w:hRule="atLeast"/>
        </w:trPr>
        <w:tc>
          <w:tcPr>
            <w:tcW w:w="33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CC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color w:val="0000CC"/>
                <w:kern w:val="0"/>
                <w:sz w:val="16"/>
                <w:szCs w:val="16"/>
              </w:rPr>
              <w:t>Leukocyte (&lt;4000/≥4000/μL)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CC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color w:val="0000CC"/>
                <w:kern w:val="0"/>
                <w:sz w:val="16"/>
                <w:szCs w:val="16"/>
              </w:rPr>
              <w:t xml:space="preserve">1.308 </w:t>
            </w:r>
          </w:p>
        </w:tc>
        <w:tc>
          <w:tcPr>
            <w:tcW w:w="1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CC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color w:val="0000CC"/>
                <w:kern w:val="0"/>
                <w:sz w:val="16"/>
                <w:szCs w:val="16"/>
              </w:rPr>
              <w:t>0.995-1.720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CC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color w:val="0000CC"/>
                <w:kern w:val="0"/>
                <w:sz w:val="16"/>
                <w:szCs w:val="16"/>
              </w:rPr>
              <w:t xml:space="preserve">0.054 </w:t>
            </w:r>
          </w:p>
        </w:tc>
        <w:tc>
          <w:tcPr>
            <w:tcW w:w="2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CC"/>
                <w:kern w:val="0"/>
                <w:sz w:val="16"/>
                <w:szCs w:val="16"/>
              </w:rPr>
            </w:pP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7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4" w:hRule="atLeast"/>
        </w:trPr>
        <w:tc>
          <w:tcPr>
            <w:tcW w:w="33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CC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color w:val="0000CC"/>
                <w:kern w:val="0"/>
                <w:sz w:val="16"/>
                <w:szCs w:val="16"/>
              </w:rPr>
              <w:t>Cheng’s type of PVTT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CC"/>
                <w:kern w:val="0"/>
                <w:sz w:val="16"/>
                <w:szCs w:val="16"/>
              </w:rPr>
            </w:pPr>
          </w:p>
        </w:tc>
        <w:tc>
          <w:tcPr>
            <w:tcW w:w="1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CC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color w:val="0000CC"/>
                <w:kern w:val="0"/>
                <w:sz w:val="16"/>
                <w:szCs w:val="16"/>
              </w:rPr>
              <w:t xml:space="preserve">0.022 </w:t>
            </w:r>
          </w:p>
        </w:tc>
        <w:tc>
          <w:tcPr>
            <w:tcW w:w="2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CC"/>
                <w:kern w:val="0"/>
                <w:sz w:val="16"/>
                <w:szCs w:val="16"/>
              </w:rPr>
            </w:pP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7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CC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color w:val="0000CC"/>
                <w:kern w:val="0"/>
                <w:sz w:val="16"/>
                <w:szCs w:val="16"/>
              </w:rPr>
              <w:t xml:space="preserve">0.055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4" w:hRule="atLeast"/>
        </w:trPr>
        <w:tc>
          <w:tcPr>
            <w:tcW w:w="33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CC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color w:val="0000CC"/>
                <w:kern w:val="0"/>
                <w:sz w:val="16"/>
                <w:szCs w:val="16"/>
              </w:rPr>
              <w:t xml:space="preserve">    I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CC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color w:val="0000CC"/>
                <w:kern w:val="0"/>
                <w:sz w:val="16"/>
                <w:szCs w:val="16"/>
              </w:rPr>
              <w:t xml:space="preserve">1.000 </w:t>
            </w:r>
          </w:p>
        </w:tc>
        <w:tc>
          <w:tcPr>
            <w:tcW w:w="1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CC"/>
                <w:kern w:val="0"/>
                <w:sz w:val="16"/>
                <w:szCs w:val="16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CC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color w:val="0000CC"/>
                <w:kern w:val="0"/>
                <w:sz w:val="16"/>
                <w:szCs w:val="16"/>
              </w:rPr>
              <w:t xml:space="preserve">1.000 </w:t>
            </w:r>
          </w:p>
        </w:tc>
        <w:tc>
          <w:tcPr>
            <w:tcW w:w="1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CC"/>
                <w:kern w:val="0"/>
                <w:sz w:val="16"/>
                <w:szCs w:val="16"/>
              </w:rPr>
            </w:pPr>
          </w:p>
        </w:tc>
        <w:tc>
          <w:tcPr>
            <w:tcW w:w="7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4" w:hRule="atLeast"/>
        </w:trPr>
        <w:tc>
          <w:tcPr>
            <w:tcW w:w="33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CC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color w:val="0000CC"/>
                <w:kern w:val="0"/>
                <w:sz w:val="16"/>
                <w:szCs w:val="16"/>
              </w:rPr>
              <w:t xml:space="preserve">    II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CC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color w:val="0000CC"/>
                <w:kern w:val="0"/>
                <w:sz w:val="16"/>
                <w:szCs w:val="16"/>
              </w:rPr>
              <w:t xml:space="preserve">0.561 </w:t>
            </w:r>
          </w:p>
        </w:tc>
        <w:tc>
          <w:tcPr>
            <w:tcW w:w="1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CC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color w:val="0000CC"/>
                <w:kern w:val="0"/>
                <w:sz w:val="16"/>
                <w:szCs w:val="16"/>
              </w:rPr>
              <w:t>0.381-0.825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CC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color w:val="0000CC"/>
                <w:kern w:val="0"/>
                <w:sz w:val="16"/>
                <w:szCs w:val="16"/>
              </w:rPr>
              <w:t xml:space="preserve">0.003 </w:t>
            </w:r>
          </w:p>
        </w:tc>
        <w:tc>
          <w:tcPr>
            <w:tcW w:w="2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CC"/>
                <w:kern w:val="0"/>
                <w:sz w:val="16"/>
                <w:szCs w:val="16"/>
              </w:rPr>
            </w:pP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CC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color w:val="0000CC"/>
                <w:kern w:val="0"/>
                <w:sz w:val="16"/>
                <w:szCs w:val="16"/>
              </w:rPr>
              <w:t xml:space="preserve">0.609 </w:t>
            </w:r>
          </w:p>
        </w:tc>
        <w:tc>
          <w:tcPr>
            <w:tcW w:w="1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CC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color w:val="0000CC"/>
                <w:kern w:val="0"/>
                <w:sz w:val="16"/>
                <w:szCs w:val="16"/>
              </w:rPr>
              <w:t>0.411-0.901</w:t>
            </w:r>
          </w:p>
        </w:tc>
        <w:tc>
          <w:tcPr>
            <w:tcW w:w="7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CC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color w:val="0000CC"/>
                <w:kern w:val="0"/>
                <w:sz w:val="16"/>
                <w:szCs w:val="16"/>
              </w:rPr>
              <w:t xml:space="preserve">0.013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4" w:hRule="atLeast"/>
        </w:trPr>
        <w:tc>
          <w:tcPr>
            <w:tcW w:w="33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CC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color w:val="0000CC"/>
                <w:kern w:val="0"/>
                <w:sz w:val="16"/>
                <w:szCs w:val="16"/>
              </w:rPr>
              <w:t xml:space="preserve">    III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CC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color w:val="0000CC"/>
                <w:kern w:val="0"/>
                <w:sz w:val="16"/>
                <w:szCs w:val="16"/>
              </w:rPr>
              <w:t xml:space="preserve">0.728 </w:t>
            </w:r>
          </w:p>
        </w:tc>
        <w:tc>
          <w:tcPr>
            <w:tcW w:w="1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CC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color w:val="0000CC"/>
                <w:kern w:val="0"/>
                <w:sz w:val="16"/>
                <w:szCs w:val="16"/>
              </w:rPr>
              <w:t>0.534-0.993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CC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color w:val="0000CC"/>
                <w:kern w:val="0"/>
                <w:sz w:val="16"/>
                <w:szCs w:val="16"/>
              </w:rPr>
              <w:t xml:space="preserve">0.045 </w:t>
            </w:r>
          </w:p>
        </w:tc>
        <w:tc>
          <w:tcPr>
            <w:tcW w:w="2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CC"/>
                <w:kern w:val="0"/>
                <w:sz w:val="16"/>
                <w:szCs w:val="16"/>
              </w:rPr>
            </w:pP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CC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color w:val="0000CC"/>
                <w:kern w:val="0"/>
                <w:sz w:val="16"/>
                <w:szCs w:val="16"/>
              </w:rPr>
              <w:t xml:space="preserve">0.689 </w:t>
            </w:r>
          </w:p>
        </w:tc>
        <w:tc>
          <w:tcPr>
            <w:tcW w:w="1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CC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color w:val="0000CC"/>
                <w:kern w:val="0"/>
                <w:sz w:val="16"/>
                <w:szCs w:val="16"/>
              </w:rPr>
              <w:t>0.503-0.942</w:t>
            </w:r>
          </w:p>
        </w:tc>
        <w:tc>
          <w:tcPr>
            <w:tcW w:w="7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CC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color w:val="0000CC"/>
                <w:kern w:val="0"/>
                <w:sz w:val="16"/>
                <w:szCs w:val="16"/>
              </w:rPr>
              <w:t xml:space="preserve">0.020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4" w:hRule="atLeast"/>
        </w:trPr>
        <w:tc>
          <w:tcPr>
            <w:tcW w:w="33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CC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color w:val="0000CC"/>
                <w:kern w:val="0"/>
                <w:sz w:val="16"/>
                <w:szCs w:val="16"/>
              </w:rPr>
              <w:t xml:space="preserve">    IV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CC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color w:val="0000CC"/>
                <w:kern w:val="0"/>
                <w:sz w:val="16"/>
                <w:szCs w:val="16"/>
              </w:rPr>
              <w:t xml:space="preserve">0.828 </w:t>
            </w:r>
          </w:p>
        </w:tc>
        <w:tc>
          <w:tcPr>
            <w:tcW w:w="1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CC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color w:val="0000CC"/>
                <w:kern w:val="0"/>
                <w:sz w:val="16"/>
                <w:szCs w:val="16"/>
              </w:rPr>
              <w:t>0.605-1.133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CC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color w:val="0000CC"/>
                <w:kern w:val="0"/>
                <w:sz w:val="16"/>
                <w:szCs w:val="16"/>
              </w:rPr>
              <w:t xml:space="preserve">0.239 </w:t>
            </w:r>
          </w:p>
        </w:tc>
        <w:tc>
          <w:tcPr>
            <w:tcW w:w="2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CC"/>
                <w:kern w:val="0"/>
                <w:sz w:val="16"/>
                <w:szCs w:val="16"/>
              </w:rPr>
            </w:pP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CC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color w:val="0000CC"/>
                <w:kern w:val="0"/>
                <w:sz w:val="16"/>
                <w:szCs w:val="16"/>
              </w:rPr>
              <w:t xml:space="preserve">0.749 </w:t>
            </w:r>
          </w:p>
        </w:tc>
        <w:tc>
          <w:tcPr>
            <w:tcW w:w="1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CC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color w:val="0000CC"/>
                <w:kern w:val="0"/>
                <w:sz w:val="16"/>
                <w:szCs w:val="16"/>
              </w:rPr>
              <w:t>0.545-1.03</w:t>
            </w:r>
          </w:p>
        </w:tc>
        <w:tc>
          <w:tcPr>
            <w:tcW w:w="7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CC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color w:val="0000CC"/>
                <w:kern w:val="0"/>
                <w:sz w:val="16"/>
                <w:szCs w:val="16"/>
              </w:rPr>
              <w:t xml:space="preserve">0.075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4" w:hRule="atLeast"/>
        </w:trPr>
        <w:tc>
          <w:tcPr>
            <w:tcW w:w="33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CC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color w:val="0000CC"/>
                <w:kern w:val="0"/>
                <w:sz w:val="16"/>
                <w:szCs w:val="16"/>
              </w:rPr>
              <w:t>HBV (positive/negative)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CC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color w:val="0000CC"/>
                <w:kern w:val="0"/>
                <w:sz w:val="16"/>
                <w:szCs w:val="16"/>
              </w:rPr>
              <w:t xml:space="preserve">1.013 </w:t>
            </w:r>
          </w:p>
        </w:tc>
        <w:tc>
          <w:tcPr>
            <w:tcW w:w="1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CC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color w:val="0000CC"/>
                <w:kern w:val="0"/>
                <w:sz w:val="16"/>
                <w:szCs w:val="16"/>
              </w:rPr>
              <w:t>0.813-1.263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CC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color w:val="0000CC"/>
                <w:kern w:val="0"/>
                <w:sz w:val="16"/>
                <w:szCs w:val="16"/>
              </w:rPr>
              <w:t xml:space="preserve">0.908 </w:t>
            </w:r>
          </w:p>
        </w:tc>
        <w:tc>
          <w:tcPr>
            <w:tcW w:w="2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CC"/>
                <w:kern w:val="0"/>
                <w:sz w:val="16"/>
                <w:szCs w:val="16"/>
              </w:rPr>
            </w:pP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7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4" w:hRule="atLeast"/>
        </w:trPr>
        <w:tc>
          <w:tcPr>
            <w:tcW w:w="33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CC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color w:val="0000CC"/>
                <w:kern w:val="0"/>
                <w:sz w:val="16"/>
                <w:szCs w:val="16"/>
              </w:rPr>
              <w:t>HCV (positive/negative)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CC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color w:val="0000CC"/>
                <w:kern w:val="0"/>
                <w:sz w:val="16"/>
                <w:szCs w:val="16"/>
              </w:rPr>
              <w:t xml:space="preserve">1.307 </w:t>
            </w:r>
          </w:p>
        </w:tc>
        <w:tc>
          <w:tcPr>
            <w:tcW w:w="1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CC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color w:val="0000CC"/>
                <w:kern w:val="0"/>
                <w:sz w:val="16"/>
                <w:szCs w:val="16"/>
              </w:rPr>
              <w:t>0.716-2.383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CC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color w:val="0000CC"/>
                <w:kern w:val="0"/>
                <w:sz w:val="16"/>
                <w:szCs w:val="16"/>
              </w:rPr>
              <w:t xml:space="preserve">0.383 </w:t>
            </w:r>
          </w:p>
        </w:tc>
        <w:tc>
          <w:tcPr>
            <w:tcW w:w="2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CC"/>
                <w:kern w:val="0"/>
                <w:sz w:val="16"/>
                <w:szCs w:val="16"/>
              </w:rPr>
            </w:pP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7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4" w:hRule="atLeast"/>
        </w:trPr>
        <w:tc>
          <w:tcPr>
            <w:tcW w:w="33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CC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color w:val="0000CC"/>
                <w:kern w:val="0"/>
                <w:sz w:val="16"/>
                <w:szCs w:val="16"/>
              </w:rPr>
              <w:t>Alcoholism (positive/negative)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CC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color w:val="0000CC"/>
                <w:kern w:val="0"/>
                <w:sz w:val="16"/>
                <w:szCs w:val="16"/>
              </w:rPr>
              <w:t xml:space="preserve">1.035 </w:t>
            </w:r>
          </w:p>
        </w:tc>
        <w:tc>
          <w:tcPr>
            <w:tcW w:w="1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CC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color w:val="0000CC"/>
                <w:kern w:val="0"/>
                <w:sz w:val="16"/>
                <w:szCs w:val="16"/>
              </w:rPr>
              <w:t>0.834-1.284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CC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color w:val="0000CC"/>
                <w:kern w:val="0"/>
                <w:sz w:val="16"/>
                <w:szCs w:val="16"/>
              </w:rPr>
              <w:t xml:space="preserve">0.757 </w:t>
            </w:r>
          </w:p>
        </w:tc>
        <w:tc>
          <w:tcPr>
            <w:tcW w:w="2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CC"/>
                <w:kern w:val="0"/>
                <w:sz w:val="16"/>
                <w:szCs w:val="16"/>
              </w:rPr>
            </w:pP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7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4" w:hRule="atLeast"/>
        </w:trPr>
        <w:tc>
          <w:tcPr>
            <w:tcW w:w="33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CC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color w:val="0000CC"/>
                <w:kern w:val="0"/>
                <w:sz w:val="16"/>
                <w:szCs w:val="16"/>
              </w:rPr>
              <w:t>Lymph node metastasis (yes/no)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CC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color w:val="0000CC"/>
                <w:kern w:val="0"/>
                <w:sz w:val="16"/>
                <w:szCs w:val="16"/>
              </w:rPr>
              <w:t xml:space="preserve">1.273 </w:t>
            </w:r>
          </w:p>
        </w:tc>
        <w:tc>
          <w:tcPr>
            <w:tcW w:w="1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CC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color w:val="0000CC"/>
                <w:kern w:val="0"/>
                <w:sz w:val="16"/>
                <w:szCs w:val="16"/>
              </w:rPr>
              <w:t>1.026-1.581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CC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color w:val="0000CC"/>
                <w:kern w:val="0"/>
                <w:sz w:val="16"/>
                <w:szCs w:val="16"/>
              </w:rPr>
              <w:t xml:space="preserve">0.029 </w:t>
            </w:r>
          </w:p>
        </w:tc>
        <w:tc>
          <w:tcPr>
            <w:tcW w:w="2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CC"/>
                <w:kern w:val="0"/>
                <w:sz w:val="16"/>
                <w:szCs w:val="16"/>
              </w:rPr>
            </w:pP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CC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color w:val="0000CC"/>
                <w:kern w:val="0"/>
                <w:sz w:val="16"/>
                <w:szCs w:val="16"/>
              </w:rPr>
              <w:t xml:space="preserve">1.117 </w:t>
            </w:r>
          </w:p>
        </w:tc>
        <w:tc>
          <w:tcPr>
            <w:tcW w:w="1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CC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color w:val="0000CC"/>
                <w:kern w:val="0"/>
                <w:sz w:val="16"/>
                <w:szCs w:val="16"/>
              </w:rPr>
              <w:t>0.892-1.399</w:t>
            </w:r>
          </w:p>
        </w:tc>
        <w:tc>
          <w:tcPr>
            <w:tcW w:w="7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CC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color w:val="0000CC"/>
                <w:kern w:val="0"/>
                <w:sz w:val="16"/>
                <w:szCs w:val="16"/>
              </w:rPr>
              <w:t xml:space="preserve">0.336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4" w:hRule="atLeast"/>
        </w:trPr>
        <w:tc>
          <w:tcPr>
            <w:tcW w:w="33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CC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color w:val="0000CC"/>
                <w:kern w:val="0"/>
                <w:sz w:val="16"/>
                <w:szCs w:val="16"/>
              </w:rPr>
              <w:t>Extrahepatic metastases (yes/no)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CC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color w:val="0000CC"/>
                <w:kern w:val="0"/>
                <w:sz w:val="16"/>
                <w:szCs w:val="16"/>
              </w:rPr>
              <w:t xml:space="preserve">1.109 </w:t>
            </w:r>
          </w:p>
        </w:tc>
        <w:tc>
          <w:tcPr>
            <w:tcW w:w="1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CC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color w:val="0000CC"/>
                <w:kern w:val="0"/>
                <w:sz w:val="16"/>
                <w:szCs w:val="16"/>
              </w:rPr>
              <w:t>0.877-1.402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CC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color w:val="0000CC"/>
                <w:kern w:val="0"/>
                <w:sz w:val="16"/>
                <w:szCs w:val="16"/>
              </w:rPr>
              <w:t xml:space="preserve">0.389 </w:t>
            </w:r>
          </w:p>
        </w:tc>
        <w:tc>
          <w:tcPr>
            <w:tcW w:w="2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CC"/>
                <w:kern w:val="0"/>
                <w:sz w:val="16"/>
                <w:szCs w:val="16"/>
              </w:rPr>
            </w:pP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7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4" w:hRule="atLeast"/>
        </w:trPr>
        <w:tc>
          <w:tcPr>
            <w:tcW w:w="33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CC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color w:val="0000CC"/>
                <w:kern w:val="0"/>
                <w:sz w:val="16"/>
                <w:szCs w:val="16"/>
              </w:rPr>
              <w:t>Previous therapy (yes/no)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CC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color w:val="0000CC"/>
                <w:kern w:val="0"/>
                <w:sz w:val="16"/>
                <w:szCs w:val="16"/>
              </w:rPr>
              <w:t xml:space="preserve">0.693 </w:t>
            </w:r>
          </w:p>
        </w:tc>
        <w:tc>
          <w:tcPr>
            <w:tcW w:w="1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CC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color w:val="0000CC"/>
                <w:kern w:val="0"/>
                <w:sz w:val="16"/>
                <w:szCs w:val="16"/>
              </w:rPr>
              <w:t>0.546-0.88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CC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color w:val="0000CC"/>
                <w:kern w:val="0"/>
                <w:sz w:val="16"/>
                <w:szCs w:val="16"/>
              </w:rPr>
              <w:t xml:space="preserve">0.003 </w:t>
            </w:r>
          </w:p>
        </w:tc>
        <w:tc>
          <w:tcPr>
            <w:tcW w:w="2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CC"/>
                <w:kern w:val="0"/>
                <w:sz w:val="16"/>
                <w:szCs w:val="16"/>
              </w:rPr>
            </w:pP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CC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color w:val="0000CC"/>
                <w:kern w:val="0"/>
                <w:sz w:val="16"/>
                <w:szCs w:val="16"/>
              </w:rPr>
              <w:t xml:space="preserve">1.065 </w:t>
            </w:r>
          </w:p>
        </w:tc>
        <w:tc>
          <w:tcPr>
            <w:tcW w:w="1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CC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color w:val="0000CC"/>
                <w:kern w:val="0"/>
                <w:sz w:val="16"/>
                <w:szCs w:val="16"/>
              </w:rPr>
              <w:t>0.82-1.382</w:t>
            </w:r>
          </w:p>
        </w:tc>
        <w:tc>
          <w:tcPr>
            <w:tcW w:w="7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CC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color w:val="0000CC"/>
                <w:kern w:val="0"/>
                <w:sz w:val="16"/>
                <w:szCs w:val="16"/>
              </w:rPr>
              <w:t xml:space="preserve">0.637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4" w:hRule="atLeast"/>
        </w:trPr>
        <w:tc>
          <w:tcPr>
            <w:tcW w:w="33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CC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color w:val="0000CC"/>
                <w:kern w:val="0"/>
                <w:sz w:val="16"/>
                <w:szCs w:val="16"/>
              </w:rPr>
              <w:t>Treatment (GKR/TACE)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CC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color w:val="0000CC"/>
                <w:kern w:val="0"/>
                <w:sz w:val="16"/>
                <w:szCs w:val="16"/>
              </w:rPr>
              <w:t xml:space="preserve">0.504 </w:t>
            </w:r>
          </w:p>
        </w:tc>
        <w:tc>
          <w:tcPr>
            <w:tcW w:w="1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CC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color w:val="0000CC"/>
                <w:kern w:val="0"/>
                <w:sz w:val="16"/>
                <w:szCs w:val="16"/>
              </w:rPr>
              <w:t>0.399-0.636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CC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color w:val="0000CC"/>
                <w:kern w:val="0"/>
                <w:sz w:val="16"/>
                <w:szCs w:val="16"/>
              </w:rPr>
              <w:t>&lt;</w:t>
            </w:r>
            <w:r>
              <w:rPr>
                <w:rFonts w:hint="eastAsia" w:ascii="Times New Roman" w:hAnsi="Times New Roman" w:eastAsia="宋体" w:cs="Times New Roman"/>
                <w:color w:val="0000CC"/>
                <w:kern w:val="0"/>
                <w:sz w:val="16"/>
                <w:szCs w:val="16"/>
                <w:lang w:val="en-US" w:eastAsia="zh-CN"/>
              </w:rPr>
              <w:t xml:space="preserve"> </w:t>
            </w:r>
            <w:r>
              <w:rPr>
                <w:rFonts w:ascii="Times New Roman" w:hAnsi="Times New Roman" w:eastAsia="宋体" w:cs="Times New Roman"/>
                <w:color w:val="0000CC"/>
                <w:kern w:val="0"/>
                <w:sz w:val="16"/>
                <w:szCs w:val="16"/>
              </w:rPr>
              <w:t>0.001</w:t>
            </w:r>
          </w:p>
        </w:tc>
        <w:tc>
          <w:tcPr>
            <w:tcW w:w="2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CC"/>
                <w:kern w:val="0"/>
                <w:sz w:val="16"/>
                <w:szCs w:val="16"/>
              </w:rPr>
            </w:pP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CC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color w:val="0000CC"/>
                <w:kern w:val="0"/>
                <w:sz w:val="16"/>
                <w:szCs w:val="16"/>
              </w:rPr>
              <w:t xml:space="preserve">0.536 </w:t>
            </w:r>
          </w:p>
        </w:tc>
        <w:tc>
          <w:tcPr>
            <w:tcW w:w="1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CC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color w:val="0000CC"/>
                <w:kern w:val="0"/>
                <w:sz w:val="16"/>
                <w:szCs w:val="16"/>
              </w:rPr>
              <w:t>0.418-0.687</w:t>
            </w:r>
          </w:p>
        </w:tc>
        <w:tc>
          <w:tcPr>
            <w:tcW w:w="7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CC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color w:val="0000CC"/>
                <w:kern w:val="0"/>
                <w:sz w:val="16"/>
                <w:szCs w:val="16"/>
              </w:rPr>
              <w:t>&lt;</w:t>
            </w:r>
            <w:r>
              <w:rPr>
                <w:rFonts w:hint="eastAsia" w:ascii="Times New Roman" w:hAnsi="Times New Roman" w:eastAsia="宋体" w:cs="Times New Roman"/>
                <w:color w:val="0000CC"/>
                <w:kern w:val="0"/>
                <w:sz w:val="16"/>
                <w:szCs w:val="16"/>
                <w:lang w:val="en-US" w:eastAsia="zh-CN"/>
              </w:rPr>
              <w:t xml:space="preserve"> </w:t>
            </w:r>
            <w:r>
              <w:rPr>
                <w:rFonts w:ascii="Times New Roman" w:hAnsi="Times New Roman" w:eastAsia="宋体" w:cs="Times New Roman"/>
                <w:color w:val="0000CC"/>
                <w:kern w:val="0"/>
                <w:sz w:val="16"/>
                <w:szCs w:val="16"/>
              </w:rPr>
              <w:t>0.001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2" w:hRule="atLeast"/>
        </w:trPr>
        <w:tc>
          <w:tcPr>
            <w:tcW w:w="8900" w:type="dxa"/>
            <w:gridSpan w:val="8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CC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color w:val="0000CC"/>
                <w:kern w:val="0"/>
                <w:sz w:val="16"/>
                <w:szCs w:val="16"/>
              </w:rPr>
              <w:t>Abbreviations: PSM, propensity score matching; HR, hazard ratio; PVTT, portal vein tumor thrombus; AFP, alpha fetoprotein; ALP, alkaline phosphatase; ALT, alanine transaminase; HBV, hepatitis B virus; HCV, hepatitis C virus; GKR, gamma knife radiosurgery; TACE, transcatheter arterial chemoembolization.</w:t>
            </w:r>
          </w:p>
        </w:tc>
      </w:tr>
    </w:tbl>
    <w:p>
      <w:pPr>
        <w:spacing w:before="156" w:beforeLines="50" w:after="156" w:afterLines="50"/>
        <w:rPr>
          <w:rFonts w:ascii="Times New Roman" w:hAnsi="Times New Roman"/>
          <w:b/>
          <w:bCs/>
          <w:color w:val="000000"/>
          <w:sz w:val="24"/>
          <w:szCs w:val="24"/>
        </w:rPr>
      </w:pPr>
    </w:p>
    <w:p>
      <w:pPr>
        <w:spacing w:before="156" w:beforeLines="50" w:after="156" w:afterLines="50"/>
        <w:rPr>
          <w:rFonts w:ascii="Times New Roman" w:hAnsi="Times New Roman"/>
          <w:b/>
          <w:bCs/>
          <w:color w:val="000000"/>
          <w:sz w:val="24"/>
          <w:szCs w:val="24"/>
        </w:rPr>
      </w:pPr>
    </w:p>
    <w:p>
      <w:pPr>
        <w:spacing w:before="156" w:beforeLines="50" w:after="156" w:afterLines="50"/>
        <w:rPr>
          <w:rFonts w:ascii="Times New Roman" w:hAnsi="Times New Roman"/>
          <w:b/>
          <w:bCs/>
          <w:color w:val="000000"/>
          <w:sz w:val="24"/>
          <w:szCs w:val="24"/>
        </w:rPr>
      </w:pPr>
    </w:p>
    <w:p>
      <w:pPr>
        <w:spacing w:before="156" w:beforeLines="50" w:after="156" w:afterLines="50"/>
        <w:rPr>
          <w:rFonts w:ascii="Times New Roman" w:hAnsi="Times New Roman"/>
          <w:b/>
          <w:bCs/>
          <w:color w:val="000000"/>
          <w:sz w:val="24"/>
          <w:szCs w:val="24"/>
        </w:rPr>
      </w:pPr>
    </w:p>
    <w:p>
      <w:pPr>
        <w:spacing w:before="156" w:beforeLines="50" w:after="156" w:afterLines="50"/>
        <w:rPr>
          <w:rFonts w:ascii="Times New Roman" w:hAnsi="Times New Roman"/>
          <w:b/>
          <w:bCs/>
          <w:color w:val="000000"/>
          <w:sz w:val="24"/>
          <w:szCs w:val="24"/>
        </w:rPr>
      </w:pPr>
    </w:p>
    <w:p>
      <w:pPr>
        <w:spacing w:before="156" w:beforeLines="50" w:after="156" w:afterLines="50"/>
        <w:rPr>
          <w:rFonts w:ascii="Times New Roman" w:hAnsi="Times New Roman"/>
          <w:b/>
          <w:bCs/>
          <w:color w:val="000000"/>
          <w:sz w:val="24"/>
          <w:szCs w:val="24"/>
        </w:rPr>
      </w:pPr>
    </w:p>
    <w:p>
      <w:pPr>
        <w:spacing w:before="156" w:beforeLines="50" w:after="156" w:afterLines="50"/>
        <w:rPr>
          <w:rFonts w:ascii="Times New Roman" w:hAnsi="Times New Roman"/>
          <w:b/>
          <w:bCs/>
          <w:color w:val="000000"/>
          <w:sz w:val="24"/>
          <w:szCs w:val="24"/>
        </w:rPr>
      </w:pPr>
    </w:p>
    <w:p>
      <w:pPr>
        <w:spacing w:before="156" w:beforeLines="50" w:after="156" w:afterLines="50"/>
        <w:rPr>
          <w:rFonts w:ascii="Times New Roman" w:hAnsi="Times New Roman"/>
          <w:b/>
          <w:bCs/>
          <w:color w:val="000000"/>
          <w:sz w:val="24"/>
          <w:szCs w:val="24"/>
        </w:rPr>
      </w:pPr>
    </w:p>
    <w:p>
      <w:pPr>
        <w:spacing w:before="156" w:beforeLines="50" w:after="156" w:afterLines="50"/>
        <w:rPr>
          <w:rFonts w:ascii="Times New Roman" w:hAnsi="Times New Roman"/>
          <w:b/>
          <w:bCs/>
          <w:color w:val="000000"/>
          <w:sz w:val="24"/>
          <w:szCs w:val="24"/>
        </w:rPr>
      </w:pPr>
    </w:p>
    <w:p>
      <w:pPr>
        <w:spacing w:before="156" w:beforeLines="50" w:after="156" w:afterLines="50"/>
        <w:rPr>
          <w:rFonts w:ascii="Times New Roman" w:hAnsi="Times New Roman"/>
          <w:b/>
          <w:bCs/>
          <w:color w:val="000000"/>
          <w:sz w:val="24"/>
          <w:szCs w:val="24"/>
        </w:rPr>
      </w:pPr>
    </w:p>
    <w:p>
      <w:pPr>
        <w:spacing w:before="156" w:beforeLines="50" w:after="156" w:afterLines="50"/>
        <w:rPr>
          <w:rFonts w:hint="eastAsia"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  <w:t xml:space="preserve">Supplementary </w:t>
      </w:r>
      <w:r>
        <w:rPr>
          <w:rFonts w:hint="eastAsia" w:ascii="Times New Roman" w:hAnsi="Times New Roman"/>
          <w:b/>
          <w:bCs/>
          <w:color w:val="000000"/>
          <w:sz w:val="24"/>
          <w:szCs w:val="24"/>
        </w:rPr>
        <w:t>Fig. 1</w:t>
      </w:r>
      <w:r>
        <w:rPr>
          <w:rFonts w:ascii="Times New Roman" w:hAnsi="Times New Roman"/>
          <w:b/>
          <w:bCs/>
          <w:color w:val="000000"/>
          <w:sz w:val="24"/>
          <w:szCs w:val="24"/>
        </w:rPr>
        <w:t>.</w:t>
      </w:r>
      <w:r>
        <w:rPr>
          <w:rFonts w:ascii="Times New Roman" w:hAnsi="Times New Roman"/>
          <w:color w:val="000000"/>
          <w:sz w:val="24"/>
          <w:szCs w:val="24"/>
        </w:rPr>
        <w:t xml:space="preserve"> Patient selection flow chart</w:t>
      </w:r>
      <w:r>
        <w:rPr>
          <w:rFonts w:hint="eastAsia" w:ascii="Times New Roman" w:hAnsi="Times New Roman"/>
          <w:color w:val="000000"/>
          <w:sz w:val="24"/>
          <w:szCs w:val="24"/>
        </w:rPr>
        <w:t xml:space="preserve">. </w:t>
      </w:r>
      <w:r>
        <w:rPr>
          <w:rFonts w:ascii="Times New Roman" w:hAnsi="Times New Roman"/>
          <w:color w:val="000000"/>
          <w:sz w:val="24"/>
          <w:szCs w:val="24"/>
        </w:rPr>
        <w:t xml:space="preserve">Abbreviations: </w:t>
      </w:r>
      <w:r>
        <w:rPr>
          <w:rFonts w:hint="eastAsia" w:ascii="Times New Roman" w:hAnsi="Times New Roman"/>
          <w:color w:val="000000"/>
          <w:sz w:val="24"/>
          <w:szCs w:val="24"/>
        </w:rPr>
        <w:t xml:space="preserve">GKR, gamma knife radiosurgery; TACE, transcatheter arterial chemoembolization; HCC, hepatocellular carcinoma; ECOG, </w:t>
      </w:r>
      <w:r>
        <w:rPr>
          <w:rFonts w:ascii="Times New Roman" w:hAnsi="Times New Roman"/>
          <w:color w:val="000000"/>
          <w:sz w:val="24"/>
          <w:szCs w:val="24"/>
        </w:rPr>
        <w:t>Eastern Cooperative Oncology Group performance status;</w:t>
      </w:r>
      <w:r>
        <w:rPr>
          <w:rFonts w:hint="eastAsia" w:ascii="Times New Roman" w:hAnsi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PVTT, portal vein tumor thrombus</w:t>
      </w:r>
      <w:r>
        <w:rPr>
          <w:rFonts w:hint="eastAsia" w:ascii="Times New Roman" w:hAnsi="Times New Roman"/>
          <w:color w:val="000000"/>
          <w:sz w:val="24"/>
          <w:szCs w:val="24"/>
        </w:rPr>
        <w:t>.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</w:p>
    <w:p>
      <w:pPr>
        <w:widowControl/>
        <w:jc w:val="left"/>
        <w:rPr>
          <w:rFonts w:ascii="Times New Roman" w:hAnsi="Times New Roman"/>
          <w:color w:val="000000"/>
          <w:sz w:val="24"/>
          <w:szCs w:val="24"/>
        </w:rPr>
      </w:pPr>
      <w:r>
        <w:drawing>
          <wp:inline distT="0" distB="0" distL="0" distR="0">
            <wp:extent cx="5274310" cy="5335905"/>
            <wp:effectExtent l="0" t="0" r="2540" b="0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53359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widowControl/>
        <w:jc w:val="left"/>
        <w:rPr>
          <w:rFonts w:ascii="Times New Roman" w:hAnsi="Times New Roman"/>
          <w:color w:val="000000"/>
          <w:sz w:val="24"/>
          <w:szCs w:val="24"/>
        </w:rPr>
      </w:pPr>
    </w:p>
    <w:p/>
    <w:p/>
    <w:p/>
    <w:p/>
    <w:p/>
    <w:p/>
    <w:p/>
    <w:p/>
    <w:p/>
    <w:p>
      <w:pPr>
        <w:rPr>
          <w:rFonts w:hint="eastAsia"/>
        </w:rPr>
      </w:pPr>
    </w:p>
    <w:p/>
    <w:p>
      <w:pPr>
        <w:widowControl/>
        <w:jc w:val="left"/>
        <w:rPr>
          <w:rFonts w:hint="eastAsia"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  <w:t>Supplementary Fig.</w:t>
      </w:r>
      <w:r>
        <w:rPr>
          <w:rFonts w:hint="eastAsia" w:ascii="Times New Roman" w:hAnsi="Times New Roman"/>
          <w:b/>
          <w:bCs/>
          <w:color w:val="000000"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color w:val="000000"/>
          <w:sz w:val="24"/>
          <w:szCs w:val="24"/>
        </w:rPr>
        <w:t>2</w:t>
      </w:r>
      <w:r>
        <w:rPr>
          <w:rFonts w:ascii="Times New Roman" w:hAnsi="Times New Roman"/>
          <w:color w:val="000000"/>
          <w:sz w:val="24"/>
          <w:szCs w:val="24"/>
        </w:rPr>
        <w:t>: Exploratory subgroup analysis of associated factors</w:t>
      </w:r>
      <w:r>
        <w:rPr>
          <w:rFonts w:hint="eastAsia" w:ascii="Times New Roman" w:hAnsi="Times New Roman"/>
          <w:color w:val="000000"/>
          <w:sz w:val="24"/>
          <w:szCs w:val="24"/>
        </w:rPr>
        <w:t>.</w:t>
      </w:r>
      <w:r>
        <w:rPr>
          <w:rFonts w:ascii="Times New Roman" w:hAnsi="Times New Roman"/>
          <w:color w:val="000000"/>
          <w:sz w:val="24"/>
          <w:szCs w:val="24"/>
        </w:rPr>
        <w:t xml:space="preserve"> Forest plots show factors associated with overall survival. Abbreviations: HR, hazard ratio; AFP, alpha fetoprotein; ALP, </w:t>
      </w:r>
      <w:r>
        <w:rPr>
          <w:rFonts w:hint="eastAsia" w:ascii="Times New Roman" w:hAnsi="Times New Roman"/>
          <w:color w:val="000000"/>
          <w:sz w:val="24"/>
          <w:szCs w:val="24"/>
        </w:rPr>
        <w:t>a</w:t>
      </w:r>
      <w:r>
        <w:rPr>
          <w:rFonts w:ascii="Times New Roman" w:hAnsi="Times New Roman"/>
          <w:color w:val="000000"/>
          <w:sz w:val="24"/>
          <w:szCs w:val="24"/>
        </w:rPr>
        <w:t>lkaline phosphatase; ALT, alanine transaminase; PVTT, portal vein tumor thrombus; HBV, hepatitis B virus; GKR, gamma knife radiosurgery; TACE, transcatheter arterial chemoembolization.</w:t>
      </w:r>
    </w:p>
    <w:p>
      <w:pPr>
        <w:rPr>
          <w:rFonts w:hint="eastAsia"/>
        </w:rPr>
      </w:pPr>
      <w:r>
        <w:drawing>
          <wp:inline distT="0" distB="0" distL="0" distR="0">
            <wp:extent cx="4743450" cy="7756525"/>
            <wp:effectExtent l="0" t="0" r="0" b="0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751484" cy="77702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>
      <w:footerReference r:id="rId3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-702480483"/>
    </w:sdtPr>
    <w:sdtContent>
      <w:p>
        <w:pPr>
          <w:pStyle w:val="2"/>
          <w:jc w:val="right"/>
        </w:pPr>
        <w:r>
          <w:fldChar w:fldCharType="begin"/>
        </w:r>
        <w:r>
          <w:instrText xml:space="preserve">PAGE   \* MERGEFORMAT</w:instrText>
        </w:r>
        <w:r>
          <w:fldChar w:fldCharType="separate"/>
        </w:r>
        <w:r>
          <w:rPr>
            <w:lang w:val="zh-CN"/>
          </w:rPr>
          <w:t>2</w:t>
        </w:r>
        <w:r>
          <w:fldChar w:fldCharType="end"/>
        </w:r>
      </w:p>
    </w:sdtContent>
  </w:sdt>
  <w:p>
    <w:pPr>
      <w:pStyle w:val="2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C108D"/>
    <w:rsid w:val="00032915"/>
    <w:rsid w:val="000622E9"/>
    <w:rsid w:val="00087FB3"/>
    <w:rsid w:val="000A3636"/>
    <w:rsid w:val="000B2438"/>
    <w:rsid w:val="0010258E"/>
    <w:rsid w:val="00115EAE"/>
    <w:rsid w:val="001C5359"/>
    <w:rsid w:val="001E2D1B"/>
    <w:rsid w:val="00276E48"/>
    <w:rsid w:val="002B5687"/>
    <w:rsid w:val="00387B41"/>
    <w:rsid w:val="00404C83"/>
    <w:rsid w:val="004533A3"/>
    <w:rsid w:val="004A5BE5"/>
    <w:rsid w:val="0054015E"/>
    <w:rsid w:val="005D45DF"/>
    <w:rsid w:val="0060755D"/>
    <w:rsid w:val="00631E69"/>
    <w:rsid w:val="00690141"/>
    <w:rsid w:val="006E6887"/>
    <w:rsid w:val="0071185A"/>
    <w:rsid w:val="0076523A"/>
    <w:rsid w:val="00777FA8"/>
    <w:rsid w:val="008166F0"/>
    <w:rsid w:val="00867A41"/>
    <w:rsid w:val="008C6FBE"/>
    <w:rsid w:val="00952D66"/>
    <w:rsid w:val="00974B76"/>
    <w:rsid w:val="009B7BBA"/>
    <w:rsid w:val="009E2742"/>
    <w:rsid w:val="00AF056C"/>
    <w:rsid w:val="00B03069"/>
    <w:rsid w:val="00B74256"/>
    <w:rsid w:val="00BD7403"/>
    <w:rsid w:val="00BE7A65"/>
    <w:rsid w:val="00BF489E"/>
    <w:rsid w:val="00CE3552"/>
    <w:rsid w:val="00D44A9A"/>
    <w:rsid w:val="00D94D97"/>
    <w:rsid w:val="00E043F4"/>
    <w:rsid w:val="00E32DEE"/>
    <w:rsid w:val="00FC108D"/>
    <w:rsid w:val="01F524D9"/>
    <w:rsid w:val="0C9476E6"/>
    <w:rsid w:val="0D5D0D53"/>
    <w:rsid w:val="105A4C63"/>
    <w:rsid w:val="23612F13"/>
    <w:rsid w:val="23A81223"/>
    <w:rsid w:val="2E7C2C21"/>
    <w:rsid w:val="4E1F0C18"/>
    <w:rsid w:val="58760969"/>
    <w:rsid w:val="5C8B24AB"/>
    <w:rsid w:val="6F8C6A91"/>
    <w:rsid w:val="70795F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nhideWhenUsed/>
    <w:uiPriority w:val="1"/>
  </w:style>
  <w:style w:type="table" w:default="1" w:styleId="4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13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12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font31"/>
    <w:basedOn w:val="5"/>
    <w:qFormat/>
    <w:uiPriority w:val="0"/>
    <w:rPr>
      <w:rFonts w:hint="eastAsia" w:ascii="宋体" w:hAnsi="宋体" w:eastAsia="宋体"/>
      <w:color w:val="000000"/>
      <w:sz w:val="16"/>
      <w:szCs w:val="16"/>
      <w:u w:val="none"/>
    </w:rPr>
  </w:style>
  <w:style w:type="character" w:customStyle="1" w:styleId="7">
    <w:name w:val="font01"/>
    <w:basedOn w:val="5"/>
    <w:qFormat/>
    <w:uiPriority w:val="0"/>
    <w:rPr>
      <w:rFonts w:hint="default" w:ascii="Times New Roman" w:hAnsi="Times New Roman" w:cs="Times New Roman"/>
      <w:color w:val="000000"/>
      <w:sz w:val="16"/>
      <w:szCs w:val="16"/>
      <w:u w:val="none"/>
    </w:rPr>
  </w:style>
  <w:style w:type="character" w:customStyle="1" w:styleId="8">
    <w:name w:val="font61"/>
    <w:basedOn w:val="5"/>
    <w:qFormat/>
    <w:uiPriority w:val="0"/>
    <w:rPr>
      <w:rFonts w:hint="default" w:ascii="Times New Roman" w:hAnsi="Times New Roman" w:cs="Times New Roman"/>
      <w:color w:val="000000"/>
      <w:sz w:val="16"/>
      <w:szCs w:val="16"/>
      <w:u w:val="none"/>
      <w:vertAlign w:val="superscript"/>
    </w:rPr>
  </w:style>
  <w:style w:type="character" w:customStyle="1" w:styleId="9">
    <w:name w:val="font11"/>
    <w:basedOn w:val="5"/>
    <w:qFormat/>
    <w:uiPriority w:val="0"/>
    <w:rPr>
      <w:rFonts w:hint="default" w:ascii="Times New Roman" w:hAnsi="Times New Roman" w:cs="Times New Roman"/>
      <w:color w:val="000000"/>
      <w:sz w:val="16"/>
      <w:szCs w:val="16"/>
      <w:u w:val="none"/>
    </w:rPr>
  </w:style>
  <w:style w:type="character" w:customStyle="1" w:styleId="10">
    <w:name w:val="font51"/>
    <w:basedOn w:val="5"/>
    <w:qFormat/>
    <w:uiPriority w:val="0"/>
    <w:rPr>
      <w:rFonts w:hint="default" w:ascii="Times New Roman" w:hAnsi="Times New Roman" w:cs="Times New Roman"/>
      <w:color w:val="000000"/>
      <w:sz w:val="16"/>
      <w:szCs w:val="16"/>
      <w:u w:val="none"/>
      <w:vertAlign w:val="superscript"/>
    </w:rPr>
  </w:style>
  <w:style w:type="paragraph" w:styleId="11">
    <w:name w:val="List Paragraph"/>
    <w:basedOn w:val="1"/>
    <w:qFormat/>
    <w:uiPriority w:val="34"/>
    <w:pPr>
      <w:ind w:firstLine="420" w:firstLineChars="200"/>
    </w:pPr>
  </w:style>
  <w:style w:type="character" w:customStyle="1" w:styleId="12">
    <w:name w:val="页眉 字符"/>
    <w:basedOn w:val="5"/>
    <w:link w:val="3"/>
    <w:qFormat/>
    <w:uiPriority w:val="99"/>
    <w:rPr>
      <w:sz w:val="18"/>
      <w:szCs w:val="18"/>
    </w:rPr>
  </w:style>
  <w:style w:type="character" w:customStyle="1" w:styleId="13">
    <w:name w:val="页脚 字符"/>
    <w:basedOn w:val="5"/>
    <w:link w:val="2"/>
    <w:qFormat/>
    <w:uiPriority w:val="99"/>
    <w:rPr>
      <w:sz w:val="18"/>
      <w:szCs w:val="18"/>
    </w:rPr>
  </w:style>
  <w:style w:type="character" w:customStyle="1" w:styleId="14">
    <w:name w:val="font21"/>
    <w:basedOn w:val="5"/>
    <w:uiPriority w:val="0"/>
    <w:rPr>
      <w:rFonts w:hint="default" w:ascii="Times New Roman" w:hAnsi="Times New Roman" w:cs="Times New Roman"/>
      <w:color w:val="0000CC"/>
      <w:sz w:val="16"/>
      <w:szCs w:val="16"/>
      <w:u w:val="none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1.xml"/><Relationship Id="rId6" Type="http://schemas.openxmlformats.org/officeDocument/2006/relationships/image" Target="media/image2.tiff"/><Relationship Id="rId5" Type="http://schemas.openxmlformats.org/officeDocument/2006/relationships/image" Target="media/image1.tiff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3</Pages>
  <Words>392</Words>
  <Characters>2239</Characters>
  <Lines>18</Lines>
  <Paragraphs>5</Paragraphs>
  <TotalTime>110</TotalTime>
  <ScaleCrop>false</ScaleCrop>
  <LinksUpToDate>false</LinksUpToDate>
  <CharactersWithSpaces>2626</CharactersWithSpaces>
  <Application>WPS Office_11.1.0.11365_F1E327BC-269C-435d-A152-05C5408002CA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2021-11-12T10:25:00Z</dcterms:created>
  <dc:creator>572515617@qq.com</dc:creator>
  <cp:lastModifiedBy>一天不学习浑身难受！</cp:lastModifiedBy>
  <dcterms:modified xsi:type="dcterms:W3CDTF">2022-03-15T05:05:00Z</dcterms:modified>
  <cp:revision>11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2052-11.1.0.11365</vt:lpwstr>
  </property>
  <property fmtid="{D5CDD505-2E9C-101B-9397-08002B2CF9AE}" pid="3" name="ICV">
    <vt:lpwstr>2F1A476FEACB47E79D0E23CD3DD5F1B3</vt:lpwstr>
  </property>
</Properties>
</file>